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1478cb0a44d39d46f87d188793ef2b8ecbb11c6"/>
      <w:r>
        <w:t xml:space="preserve">Modelo Edge AI / TinyML — Detección de columnas de humo</w:t>
      </w:r>
      <w:bookmarkEnd w:id="20"/>
    </w:p>
    <w:p>
      <w:pPr>
        <w:pStyle w:val="Heading3"/>
      </w:pPr>
      <w:bookmarkStart w:id="21" w:name="X41db38d7db84157b0c57ef12195b63a8802a76f"/>
      <w:r>
        <w:t xml:space="preserve">Dataset, entrenamiento, métricas y despliegue por versión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 curso</w:t>
            </w:r>
          </w:p>
        </w:tc>
        <w:tc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p>
            <w:pPr>
              <w:pStyle w:val="Compact"/>
              <w:jc w:val="left"/>
            </w:pPr>
            <w:r>
              <w:t xml:space="preserve">2026-06-11</w:t>
            </w:r>
          </w:p>
        </w:tc>
        <w:tc>
          <w:p>
            <w:pPr>
              <w:pStyle w:val="Compact"/>
              <w:jc w:val="left"/>
            </w:pPr>
            <w:r>
              <w:t xml:space="preserve">Área Técnica DSFFFS</w:t>
            </w:r>
          </w:p>
        </w:tc>
      </w:tr>
    </w:tbl>
    <w:p>
      <w:pPr>
        <w:pStyle w:val="BlockText"/>
      </w:pPr>
      <w:r>
        <w:rPr>
          <w:b/>
        </w:rPr>
        <w:t xml:space="preserve">Propósito.</w:t>
      </w:r>
      <w:r>
        <w:t xml:space="preserve"> </w:t>
      </w:r>
      <w:r>
        <w:t xml:space="preserve">Definir cómo se entrena y despliega el modelo de detección de</w:t>
      </w:r>
      <w:r>
        <w:t xml:space="preserve"> </w:t>
      </w:r>
      <w:r>
        <w:rPr>
          <w:b/>
        </w:rPr>
        <w:t xml:space="preserve">columnas de</w:t>
      </w:r>
      <w:r>
        <w:rPr>
          <w:b/>
        </w:rPr>
        <w:t xml:space="preserve"> </w:t>
      </w:r>
      <w:r>
        <w:rPr>
          <w:b/>
        </w:rPr>
        <w:t xml:space="preserve">humo</w:t>
      </w:r>
      <w:r>
        <w:t xml:space="preserve"> </w:t>
      </w:r>
      <w:r>
        <w:t xml:space="preserve">en cada versión de nodo (V1/V2/V3), y cómo se mide su desempeño. Es insumo de la</w:t>
      </w:r>
      <w:r>
        <w:t xml:space="preserve"> </w:t>
      </w:r>
      <w:r>
        <w:t xml:space="preserve">decisión</w:t>
      </w:r>
      <w:r>
        <w:t xml:space="preserve"> </w:t>
      </w:r>
      <w:r>
        <w:rPr>
          <w:rStyle w:val="VerbatimChar"/>
        </w:rPr>
        <w:t xml:space="preserve">ADR-001</w:t>
      </w:r>
      <w:r>
        <w:t xml:space="preserve"> </w:t>
      </w:r>
      <w:r>
        <w:t xml:space="preserve">(la energía no diferencia V1/V2; el</w:t>
      </w:r>
      <w:r>
        <w:t xml:space="preserve"> </w:t>
      </w:r>
      <w:r>
        <w:rPr>
          <w:b/>
        </w:rPr>
        <w:t xml:space="preserve">modelo</w:t>
      </w:r>
      <w:r>
        <w:t xml:space="preserve"> </w:t>
      </w:r>
      <w:r>
        <w:t xml:space="preserve">sí).</w:t>
      </w:r>
    </w:p>
    <w:p>
      <w:pPr>
        <w:pStyle w:val="Heading2"/>
      </w:pPr>
      <w:bookmarkStart w:id="22" w:name="tarea-y-enfoque"/>
      <w:r>
        <w:t xml:space="preserve">1. Tarea y enfoque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Tarea:</w:t>
      </w:r>
      <w:r>
        <w:t xml:space="preserve"> </w:t>
      </w:r>
      <w:r>
        <w:t xml:space="preserve">detección/clasificación de</w:t>
      </w:r>
      <w:r>
        <w:t xml:space="preserve"> </w:t>
      </w:r>
      <w:r>
        <w:rPr>
          <w:b/>
        </w:rPr>
        <w:t xml:space="preserve">columna de humo</w:t>
      </w:r>
      <w:r>
        <w:t xml:space="preserve"> </w:t>
      </w:r>
      <w:r>
        <w:t xml:space="preserve">en imagen diurna (objetivo</w:t>
      </w:r>
      <w:r>
        <w:t xml:space="preserve"> </w:t>
      </w:r>
      <w:r>
        <w:t xml:space="preserve">primario). El humo es el primer signo visible de día [R02][R04].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Condición crítica (Amazonía):</w:t>
      </w:r>
      <w:r>
        <w:t xml:space="preserve"> </w:t>
      </w:r>
      <w:r>
        <w:rPr>
          <w:b/>
        </w:rPr>
        <w:t xml:space="preserve">falsos positivos</w:t>
      </w:r>
      <w:r>
        <w:t xml:space="preserve"> </w:t>
      </w:r>
      <w:r>
        <w:t xml:space="preserve">por niebla matinal, nubes bajas y</w:t>
      </w:r>
      <w:r>
        <w:t xml:space="preserve"> </w:t>
      </w:r>
      <w:r>
        <w:t xml:space="preserve">neblina sobre dosel. Mitigación: análisis</w:t>
      </w:r>
      <w:r>
        <w:t xml:space="preserve"> </w:t>
      </w:r>
      <w:r>
        <w:rPr>
          <w:b/>
        </w:rPr>
        <w:t xml:space="preserve">multi-frame/temporal</w:t>
      </w:r>
      <w:r>
        <w:t xml:space="preserve"> </w:t>
      </w:r>
      <w:r>
        <w:t xml:space="preserve">— los modelos secuenciales</w:t>
      </w:r>
      <w:r>
        <w:t xml:space="preserve"> </w:t>
      </w:r>
      <w:r>
        <w:t xml:space="preserve">mejoran el recall manteniendo precisión [R03][R16].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Resolución de entrada:</w:t>
      </w:r>
      <w:r>
        <w:t xml:space="preserve"> </w:t>
      </w:r>
      <w:r>
        <w:t xml:space="preserve">96×96 o 160×160 en escala de grises para TinyML [R12].</w:t>
      </w:r>
    </w:p>
    <w:p>
      <w:pPr>
        <w:pStyle w:val="Heading2"/>
      </w:pPr>
      <w:bookmarkStart w:id="23" w:name="datasets-de-referencia"/>
      <w:r>
        <w:t xml:space="preserve">2. Datasets de referencia</w:t>
      </w:r>
      <w:bookmarkEnd w:id="23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Contenido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Fuente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PyroNear-2025</w:t>
            </w:r>
          </w:p>
        </w:tc>
        <w:tc>
          <w:p>
            <w:pPr>
              <w:pStyle w:val="Compact"/>
              <w:jc w:val="left"/>
            </w:pPr>
            <w:r>
              <w:t xml:space="preserve">~50 000 imágenes, ~150 000 anotaciones, 640 incendios; imágenes y</w:t>
            </w:r>
            <w:r>
              <w:t xml:space="preserve"> </w:t>
            </w:r>
            <w:r>
              <w:rPr>
                <w:b/>
              </w:rPr>
              <w:t xml:space="preserve">video</w:t>
            </w:r>
          </w:p>
        </w:tc>
        <w:tc>
          <w:p>
            <w:pPr>
              <w:pStyle w:val="Compact"/>
              <w:jc w:val="left"/>
            </w:pPr>
            <w:r>
              <w:t xml:space="preserve">Entrenamiento/benchmark; F1 ~60 % (difícil)</w:t>
            </w:r>
          </w:p>
        </w:tc>
        <w:tc>
          <w:p>
            <w:pPr>
              <w:pStyle w:val="Compact"/>
              <w:jc w:val="left"/>
            </w:pPr>
            <w:r>
              <w:t xml:space="preserve">[R03]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FIgLib (HPWREN)</w:t>
            </w:r>
          </w:p>
        </w:tc>
        <w:tc>
          <w:p>
            <w:pPr>
              <w:pStyle w:val="Compact"/>
              <w:jc w:val="left"/>
            </w:pPr>
            <w:r>
              <w:t xml:space="preserve">~24 800 imágenes de cámaras fijas en montaña</w:t>
            </w:r>
          </w:p>
        </w:tc>
        <w:tc>
          <w:p>
            <w:pPr>
              <w:pStyle w:val="Compact"/>
              <w:jc w:val="left"/>
            </w:pPr>
            <w:r>
              <w:t xml:space="preserve">Entrenamiento; modelo de referencia SmokeyNet</w:t>
            </w:r>
          </w:p>
        </w:tc>
        <w:tc>
          <w:p>
            <w:pPr>
              <w:pStyle w:val="Compact"/>
              <w:jc w:val="left"/>
            </w:pPr>
            <w:r>
              <w:t xml:space="preserve">[R16]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Boreal Forest Fire (UAV)</w:t>
            </w:r>
          </w:p>
        </w:tc>
        <w:tc>
          <w:p>
            <w:pPr>
              <w:pStyle w:val="Compact"/>
              <w:jc w:val="left"/>
            </w:pPr>
            <w:r>
              <w:t xml:space="preserve">Detección + segmentación de humo desde dron</w:t>
            </w:r>
          </w:p>
        </w:tc>
        <w:tc>
          <w:p>
            <w:pPr>
              <w:pStyle w:val="Compact"/>
              <w:jc w:val="left"/>
            </w:pPr>
            <w:r>
              <w:t xml:space="preserve">Aumentar variedad de vistas</w:t>
            </w:r>
          </w:p>
        </w:tc>
        <w:tc>
          <w:p>
            <w:pPr>
              <w:pStyle w:val="Compact"/>
              <w:jc w:val="left"/>
            </w:pPr>
            <w:r>
              <w:t xml:space="preserve">[R18]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Dataset local Amazonía</w:t>
            </w:r>
          </w:p>
        </w:tc>
        <w:tc>
          <w:p>
            <w:pPr>
              <w:pStyle w:val="Compact"/>
              <w:jc w:val="left"/>
            </w:pPr>
            <w:r>
              <w:t xml:space="preserve">A construir en campo (Pahoyan)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Fine-tuning</w:t>
            </w:r>
            <w:r>
              <w:t xml:space="preserve"> </w:t>
            </w:r>
            <w:r>
              <w:t xml:space="preserve">y reducción de falsos positivos con niebla local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Heading2"/>
      </w:pPr>
      <w:bookmarkStart w:id="24" w:name="arquitectura-por-versión-despliegue"/>
      <w:r>
        <w:t xml:space="preserve">3. Arquitectura por versión (despliegue)</w:t>
      </w:r>
      <w:bookmarkEnd w:id="24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Framework / cuantización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Notas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V1 · MCU TinyML</w:t>
            </w:r>
          </w:p>
        </w:tc>
        <w:tc>
          <w:p>
            <w:pPr>
              <w:pStyle w:val="Compact"/>
              <w:jc w:val="left"/>
            </w:pPr>
            <w:r>
              <w:t xml:space="preserve">CNN pequeña (clasificación humo/no-humo)</w:t>
            </w:r>
          </w:p>
        </w:tc>
        <w:tc>
          <w:p>
            <w:pPr>
              <w:pStyle w:val="Compact"/>
              <w:jc w:val="left"/>
            </w:pPr>
            <w:r>
              <w:t xml:space="preserve">TFLite-Micro</w:t>
            </w:r>
            <w:r>
              <w:t xml:space="preserve"> </w:t>
            </w:r>
            <w:r>
              <w:rPr>
                <w:b/>
              </w:rPr>
              <w:t xml:space="preserve">INT8 (PTQ)</w:t>
            </w:r>
            <w:r>
              <w:t xml:space="preserve"> </w:t>
            </w:r>
            <w:r>
              <w:t xml:space="preserve">con TF Model Optimization Toolkit [R19][R20]</w:t>
            </w:r>
          </w:p>
        </w:tc>
        <w:tc>
          <w:p>
            <w:pPr>
              <w:pStyle w:val="Compact"/>
              <w:jc w:val="left"/>
            </w:pPr>
            <w:r>
              <w:t xml:space="preserve">Cabe en flash/RAM del ESP32-S3; medir latencia on-device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V2 · IA on-sensor</w:t>
            </w:r>
          </w:p>
        </w:tc>
        <w:tc>
          <w:p>
            <w:pPr>
              <w:pStyle w:val="Compact"/>
              <w:jc w:val="left"/>
            </w:pPr>
            <w:r>
              <w:t xml:space="preserve">Detector ligero on-sensor (Himax WiseEye2 / Sony IMX500)</w:t>
            </w:r>
          </w:p>
        </w:tc>
        <w:tc>
          <w:p>
            <w:pPr>
              <w:pStyle w:val="Compact"/>
              <w:jc w:val="left"/>
            </w:pPr>
            <w:r>
              <w:t xml:space="preserve">Cadena del fabricante (Himax/Edge Impulse · IMX500/Sony)</w:t>
            </w:r>
          </w:p>
        </w:tc>
        <w:tc>
          <w:p>
            <w:pPr>
              <w:pStyle w:val="Compact"/>
              <w:jc w:val="left"/>
            </w:pPr>
            <w:r>
              <w:t xml:space="preserve">La IA vive en el sensor → MCU casi en sleep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V3 · NPU</w:t>
            </w:r>
          </w:p>
        </w:tc>
        <w:tc>
          <w:p>
            <w:pPr>
              <w:pStyle w:val="Compact"/>
              <w:jc w:val="left"/>
            </w:pPr>
            <w:r>
              <w:t xml:space="preserve">Detector tipo YOLO-tiny / objeto</w:t>
            </w:r>
          </w:p>
        </w:tc>
        <w:tc>
          <w:p>
            <w:pPr>
              <w:pStyle w:val="Compact"/>
              <w:jc w:val="left"/>
            </w:pPr>
            <w:r>
              <w:t xml:space="preserve">Compilado para</w:t>
            </w:r>
            <w:r>
              <w:t xml:space="preserve"> </w:t>
            </w:r>
            <w:r>
              <w:rPr>
                <w:b/>
              </w:rPr>
              <w:t xml:space="preserve">Hailo-8</w:t>
            </w:r>
          </w:p>
        </w:tc>
        <w:tc>
          <w:p>
            <w:pPr>
              <w:pStyle w:val="Compact"/>
              <w:jc w:val="left"/>
            </w:pPr>
            <w:r>
              <w:t xml:space="preserve">Mayor precisión; benchmark de referencia</w:t>
            </w:r>
          </w:p>
        </w:tc>
      </w:tr>
    </w:tbl>
    <w:p>
      <w:pPr>
        <w:pStyle w:val="Heading2"/>
      </w:pPr>
      <w:bookmarkStart w:id="25" w:name="entrenamiento"/>
      <w:r>
        <w:t xml:space="preserve">4. Entrenamiento</w:t>
      </w:r>
      <w:bookmarkEnd w:id="25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Preparación:</w:t>
      </w:r>
      <w:r>
        <w:t xml:space="preserve"> </w:t>
      </w:r>
      <w:r>
        <w:t xml:space="preserve">unificar PyroNear+FIgLib, balancear humo/no-humo,</w:t>
      </w:r>
      <w:r>
        <w:t xml:space="preserve"> </w:t>
      </w:r>
      <w:r>
        <w:rPr>
          <w:b/>
        </w:rPr>
        <w:t xml:space="preserve">incluir negativos</w:t>
      </w:r>
      <w:r>
        <w:rPr>
          <w:b/>
        </w:rPr>
        <w:t xml:space="preserve"> </w:t>
      </w:r>
      <w:r>
        <w:rPr>
          <w:b/>
        </w:rPr>
        <w:t xml:space="preserve">difíciles</w:t>
      </w:r>
      <w:r>
        <w:t xml:space="preserve"> </w:t>
      </w:r>
      <w:r>
        <w:t xml:space="preserve">(niebla/nube/amanecer) para bajar la FPR.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Aumentado:</w:t>
      </w:r>
      <w:r>
        <w:t xml:space="preserve"> </w:t>
      </w:r>
      <w:r>
        <w:t xml:space="preserve">brillo, neblina sintética, recortes, rotaciones suaves.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Transferencia:</w:t>
      </w:r>
      <w:r>
        <w:t xml:space="preserve"> </w:t>
      </w:r>
      <w:r>
        <w:t xml:space="preserve">backbone ligero (p. ej. MobileNet/efficient-lite) →</w:t>
      </w:r>
      <w:r>
        <w:t xml:space="preserve"> </w:t>
      </w:r>
      <w:r>
        <w:rPr>
          <w:i/>
        </w:rPr>
        <w:t xml:space="preserve">fine-tuning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Cuantización:</w:t>
      </w:r>
      <w:r>
        <w:t xml:space="preserve"> </w:t>
      </w:r>
      <w:r>
        <w:t xml:space="preserve">PTQ</w:t>
      </w:r>
      <w:r>
        <w:t xml:space="preserve"> </w:t>
      </w:r>
      <w:r>
        <w:rPr>
          <w:b/>
        </w:rPr>
        <w:t xml:space="preserve">INT8</w:t>
      </w:r>
      <w:r>
        <w:t xml:space="preserve"> </w:t>
      </w:r>
      <w:r>
        <w:t xml:space="preserve">y medición de exactitud antes/después [R19].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Temporal (opcional V2/V3):</w:t>
      </w:r>
      <w:r>
        <w:t xml:space="preserve"> </w:t>
      </w:r>
      <w:r>
        <w:t xml:space="preserve">secuencia de N frames para confirmar columna persistente [R03].</w:t>
      </w:r>
    </w:p>
    <w:p>
      <w:pPr>
        <w:pStyle w:val="Heading2"/>
      </w:pPr>
      <w:bookmarkStart w:id="26" w:name="métricas"/>
      <w:r>
        <w:t xml:space="preserve">5. Métricas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 qué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Meta inicial (a refinar)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Recall (TPR)</w:t>
            </w:r>
          </w:p>
        </w:tc>
        <w:tc>
          <w:p>
            <w:pPr>
              <w:pStyle w:val="Compact"/>
              <w:jc w:val="left"/>
            </w:pPr>
            <w:r>
              <w:t xml:space="preserve">No perder incendios reales</w:t>
            </w:r>
          </w:p>
        </w:tc>
        <w:tc>
          <w:p>
            <w:pPr>
              <w:pStyle w:val="Compact"/>
              <w:jc w:val="left"/>
            </w:pPr>
            <w:r>
              <w:t xml:space="preserve">≥ 0,90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Precisión</w:t>
            </w:r>
          </w:p>
        </w:tc>
        <w:tc>
          <w:p>
            <w:pPr>
              <w:pStyle w:val="Compact"/>
              <w:jc w:val="left"/>
            </w:pPr>
            <w:r>
              <w:t xml:space="preserve">Limitar falsas alarmas</w:t>
            </w:r>
          </w:p>
        </w:tc>
        <w:tc>
          <w:p>
            <w:pPr>
              <w:pStyle w:val="Compact"/>
              <w:jc w:val="left"/>
            </w:pPr>
            <w:r>
              <w:t xml:space="preserve">≥ 0,80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F1</w:t>
            </w:r>
          </w:p>
        </w:tc>
        <w:tc>
          <w:p>
            <w:pPr>
              <w:pStyle w:val="Compact"/>
              <w:jc w:val="left"/>
            </w:pPr>
            <w:r>
              <w:t xml:space="preserve">Balance</w:t>
            </w:r>
          </w:p>
        </w:tc>
        <w:tc>
          <w:p>
            <w:pPr>
              <w:pStyle w:val="Compact"/>
              <w:jc w:val="left"/>
            </w:pPr>
            <w:r>
              <w:t xml:space="preserve">≥ 0,75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FPR (falsos positivos)</w:t>
            </w:r>
          </w:p>
        </w:tc>
        <w:tc>
          <w:p>
            <w:pPr>
              <w:pStyle w:val="Compact"/>
              <w:jc w:val="left"/>
            </w:pPr>
            <w:r>
              <w:t xml:space="preserve">Determinante con niebla amazónica</w:t>
            </w:r>
          </w:p>
        </w:tc>
        <w:tc>
          <w:p>
            <w:pPr>
              <w:pStyle w:val="Compact"/>
              <w:jc w:val="left"/>
            </w:pPr>
            <w:r>
              <w:t xml:space="preserve">≤ 0,10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Latencia on-device</w:t>
            </w:r>
          </w:p>
        </w:tc>
        <w:tc>
          <w:p>
            <w:pPr>
              <w:pStyle w:val="Compact"/>
              <w:jc w:val="left"/>
            </w:pPr>
            <w:r>
              <w:t xml:space="preserve">Viabilidad en MCU</w:t>
            </w:r>
          </w:p>
        </w:tc>
        <w:tc>
          <w:p>
            <w:pPr>
              <w:pStyle w:val="Compact"/>
              <w:jc w:val="left"/>
            </w:pPr>
            <w:r>
              <w:t xml:space="preserve">medir (ms)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Flash / RAM</w:t>
            </w:r>
          </w:p>
        </w:tc>
        <w:tc>
          <w:p>
            <w:pPr>
              <w:pStyle w:val="Compact"/>
              <w:jc w:val="left"/>
            </w:pPr>
            <w:r>
              <w:t xml:space="preserve">Cabida en el target</w:t>
            </w:r>
          </w:p>
        </w:tc>
        <w:tc>
          <w:p>
            <w:pPr>
              <w:pStyle w:val="Compact"/>
              <w:jc w:val="left"/>
            </w:pPr>
            <w:r>
              <w:t xml:space="preserve">medir</w:t>
            </w:r>
          </w:p>
        </w:tc>
      </w:tr>
    </w:tbl>
    <w:p>
      <w:pPr>
        <w:pStyle w:val="BlockText"/>
      </w:pPr>
      <w:r>
        <w:t xml:space="preserve">Referencia de literatura: sistemas reportan ~89,6 % recall, ~82,9 % precisión y ~7,5 % FPR</w:t>
      </w:r>
      <w:r>
        <w:t xml:space="preserve"> </w:t>
      </w:r>
      <w:r>
        <w:t xml:space="preserve">[R22]; PyroNear (modelo ligero) ~60 % F1 cruzado — la tarea presenta dificultad considerable [R03].</w:t>
      </w:r>
    </w:p>
    <w:p>
      <w:pPr>
        <w:pStyle w:val="Heading2"/>
      </w:pPr>
      <w:bookmarkStart w:id="27" w:name="validación"/>
      <w:r>
        <w:t xml:space="preserve">6. Validación</w:t>
      </w:r>
      <w:bookmarkEnd w:id="27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Cruzada</w:t>
      </w:r>
      <w:r>
        <w:t xml:space="preserve"> </w:t>
      </w:r>
      <w:r>
        <w:t xml:space="preserve">entre datasets (entrenar en uno, probar en otro) para medir generalización [R03].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En campo (Pahoyan):</w:t>
      </w:r>
      <w:r>
        <w:t xml:space="preserve"> </w:t>
      </w:r>
      <w:r>
        <w:t xml:space="preserve">medir FPR real con niebla matinal antes de fijar umbrales de alarma.</w:t>
      </w:r>
    </w:p>
    <w:p>
      <w:pPr>
        <w:numPr>
          <w:ilvl w:val="0"/>
          <w:numId w:val="1003"/>
        </w:numPr>
        <w:pStyle w:val="Compact"/>
      </w:pPr>
      <w:r>
        <w:t xml:space="preserve">El umbral de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 </w:t>
      </w:r>
      <w:r>
        <w:t xml:space="preserve">que dispara la alerta LoRa se fija aquí (véase «Protocolo LoRaWAN y diseño del payload»).</w:t>
      </w:r>
    </w:p>
    <w:p>
      <w:pPr>
        <w:pStyle w:val="Heading2"/>
      </w:pPr>
      <w:bookmarkStart w:id="28" w:name="trazabilidad"/>
      <w:r>
        <w:t xml:space="preserve">7. Trazabilidad</w:t>
      </w:r>
      <w:bookmarkEnd w:id="28"/>
    </w:p>
    <w:p>
      <w:pPr>
        <w:pStyle w:val="FirstParagraph"/>
      </w:pPr>
      <w:r>
        <w:t xml:space="preserve">REQ-SYS-001 (detección Edge AI), REQ-SYS-002 (procesamiento local), REQ-SYS-008 (latencia).</w:t>
      </w:r>
      <w:r>
        <w:t xml:space="preserve"> </w:t>
      </w:r>
      <w:r>
        <w:t xml:space="preserve">Resultados → «Comparación de versiones de nodo» y decisión</w:t>
      </w:r>
      <w:r>
        <w:t xml:space="preserve"> </w:t>
      </w:r>
      <w:r>
        <w:rPr>
          <w:rStyle w:val="VerbatimChar"/>
        </w:rPr>
        <w:t xml:space="preserve">ADR-001</w:t>
      </w:r>
      <w:r>
        <w:t xml:space="preserve">.</w:t>
      </w:r>
    </w:p>
    <w:p>
      <w:pPr>
        <w:pStyle w:val="Heading2"/>
      </w:pPr>
      <w:bookmarkStart w:id="29" w:name="referencias"/>
      <w:r>
        <w:t xml:space="preserve">Referencias</w:t>
      </w:r>
      <w:bookmarkEnd w:id="29"/>
    </w:p>
    <w:p>
      <w:pPr>
        <w:numPr>
          <w:ilvl w:val="0"/>
          <w:numId w:val="1004"/>
        </w:numPr>
        <w:pStyle w:val="Compact"/>
      </w:pPr>
      <w:r>
        <w:t xml:space="preserve">[R02] Fernandes, Utkin, Chaves (2023). Automatic early detection of wildfire smoke with visible-light cameras and EfficientDet. https://journals.sagepub.com/doi/10.1177/07349041231163451</w:t>
      </w:r>
    </w:p>
    <w:p>
      <w:pPr>
        <w:numPr>
          <w:ilvl w:val="0"/>
          <w:numId w:val="1004"/>
        </w:numPr>
        <w:pStyle w:val="Compact"/>
      </w:pPr>
      <w:r>
        <w:t xml:space="preserve">[R03] Constructing a Real-World Benchmark for Early Wildfire Detection with the PyroNear-2025 Dataset (arXiv:2402.05349). https://arxiv.org/abs/2402.05349</w:t>
      </w:r>
    </w:p>
    <w:p>
      <w:pPr>
        <w:numPr>
          <w:ilvl w:val="0"/>
          <w:numId w:val="1004"/>
        </w:numPr>
        <w:pStyle w:val="Compact"/>
      </w:pPr>
      <w:r>
        <w:t xml:space="preserve">[R04] Spatio-Temporal Data Model for Early Wildfire Detection, Fire 9(4):175. https://doi.org/10.3390/fire9040175</w:t>
      </w:r>
    </w:p>
    <w:p>
      <w:pPr>
        <w:numPr>
          <w:ilvl w:val="0"/>
          <w:numId w:val="1004"/>
        </w:numPr>
        <w:pStyle w:val="Compact"/>
      </w:pPr>
      <w:r>
        <w:t xml:space="preserve">[R12] An Ultra-low Power TinyML System for Real-time Visual Processing at Edge (arXiv:2207.04663). https://arxiv.org/pdf/2207.04663</w:t>
      </w:r>
    </w:p>
    <w:p>
      <w:pPr>
        <w:numPr>
          <w:ilvl w:val="0"/>
          <w:numId w:val="1004"/>
        </w:numPr>
        <w:pStyle w:val="Compact"/>
      </w:pPr>
      <w:r>
        <w:t xml:space="preserve">[R16] Dewangan et al. FIgLib &amp; SmokeyNet (arXiv:2112.08598). https://arxiv.org/pdf/2112.08598</w:t>
      </w:r>
    </w:p>
    <w:p>
      <w:pPr>
        <w:numPr>
          <w:ilvl w:val="0"/>
          <w:numId w:val="1004"/>
        </w:numPr>
        <w:pStyle w:val="Compact"/>
      </w:pPr>
      <w:r>
        <w:t xml:space="preserve">[R18] Boreal Forest Fire: UAV-collected Wildfire Detection and Smoke Segmentation Dataset, Scientific Data (2025). https://www.nature.com/articles/s41597-025-05634-0</w:t>
      </w:r>
    </w:p>
    <w:p>
      <w:pPr>
        <w:numPr>
          <w:ilvl w:val="0"/>
          <w:numId w:val="1004"/>
        </w:numPr>
        <w:pStyle w:val="Compact"/>
      </w:pPr>
      <w:r>
        <w:t xml:space="preserve">[R19] Image-based Early Detection System for Wildfires (arXiv:2211.01629). https://arxiv.org/pdf/2211.01629</w:t>
      </w:r>
    </w:p>
    <w:p>
      <w:pPr>
        <w:numPr>
          <w:ilvl w:val="0"/>
          <w:numId w:val="1004"/>
        </w:numPr>
        <w:pStyle w:val="Compact"/>
      </w:pPr>
      <w:r>
        <w:t xml:space="preserve">[R20] Wildfire Smoke Detection System: Model Architecture, Training Mechanism, and Dataset (arXiv:2311.10116). https://arxiv.org/pdf/2311.10116</w:t>
      </w:r>
    </w:p>
    <w:p>
      <w:pPr>
        <w:numPr>
          <w:ilvl w:val="0"/>
          <w:numId w:val="1004"/>
        </w:numPr>
        <w:pStyle w:val="Compact"/>
      </w:pPr>
      <w:r>
        <w:t xml:space="preserve">[R22] Integrating Color and Contour Analysis with Deep Learning for Robust Fire and Smoke Detection, PMC11991653. https://www.ncbi.nlm.nih.gov/pmc/articles/PMC11991653/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2026-06-12T05:20:36Z</dcterms:created>
  <dcterms:modified xsi:type="dcterms:W3CDTF">2026-06-12T05:20:36Z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