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tocolo-de-pruebas-de-energía"/>
      <w:r>
        <w:t xml:space="preserve">Protocolo de pruebas de energía</w:t>
      </w:r>
      <w:bookmarkEnd w:id="20"/>
    </w:p>
    <w:p>
      <w:pPr>
        <w:pStyle w:val="Heading3"/>
      </w:pPr>
      <w:bookmarkStart w:id="21" w:name="X2093036216f4a253bc3e2066ae3168faf11764b"/>
      <w:r>
        <w:t xml:space="preserve">Verificación del consumo real — Nodo (V1/V2/V3) y Gateway UG67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  <w:tc>
          <w:p>
            <w:pPr>
              <w:pStyle w:val="Compact"/>
              <w:jc w:val="left"/>
            </w:pPr>
            <w:r>
              <w:t xml:space="preserve">Área Técnica DSFFFS</w:t>
            </w:r>
          </w:p>
        </w:tc>
      </w:tr>
    </w:tbl>
    <w:p>
      <w:pPr>
        <w:pStyle w:val="BlockText"/>
      </w:pPr>
      <w:r>
        <w:rPr>
          <w:b/>
        </w:rPr>
        <w:t xml:space="preserve">Propósito.</w:t>
      </w:r>
      <w:r>
        <w:t xml:space="preserve"> </w:t>
      </w:r>
      <w:r>
        <w:t xml:space="preserve">Medir el consumo real de cada subsistema y modo para</w:t>
      </w:r>
      <w:r>
        <w:t xml:space="preserve"> </w:t>
      </w:r>
      <w:r>
        <w:rPr>
          <w:b/>
        </w:rPr>
        <w:t xml:space="preserve">validar el modelo de</w:t>
      </w:r>
      <w:r>
        <w:rPr>
          <w:b/>
        </w:rPr>
        <w:t xml:space="preserve"> </w:t>
      </w:r>
      <w:r>
        <w:rPr>
          <w:b/>
        </w:rPr>
        <w:t xml:space="preserve">energía</w:t>
      </w:r>
      <w:r>
        <w:t xml:space="preserve"> </w:t>
      </w:r>
      <w:r>
        <w:t xml:space="preserve">(«Análisis de potencia y balance energético») y</w:t>
      </w:r>
      <w:r>
        <w:t xml:space="preserve"> </w:t>
      </w:r>
      <w:r>
        <w:rPr>
          <w:b/>
        </w:rPr>
        <w:t xml:space="preserve">cerrar el dimensionamiento</w:t>
      </w:r>
      <w:r>
        <w:rPr>
          <w:b/>
        </w:rPr>
        <w:t xml:space="preserve"> </w:t>
      </w:r>
      <w:r>
        <w:rPr>
          <w:b/>
        </w:rPr>
        <w:t xml:space="preserve">del sistema fotovoltaico</w:t>
      </w:r>
      <w:r>
        <w:t xml:space="preserve">. Verifica el requisito</w:t>
      </w:r>
      <w:r>
        <w:t xml:space="preserve"> </w:t>
      </w:r>
      <w:r>
        <w:rPr>
          <w:b/>
        </w:rPr>
        <w:t xml:space="preserve">REQ-SYS-004</w:t>
      </w:r>
      <w:r>
        <w:t xml:space="preserve"> </w:t>
      </w:r>
      <w:r>
        <w:t xml:space="preserve">(autonomía).</w:t>
      </w:r>
    </w:p>
    <w:p>
      <w:pPr>
        <w:pStyle w:val="Heading2"/>
      </w:pPr>
      <w:bookmarkStart w:id="22" w:name="alcance"/>
      <w:r>
        <w:t xml:space="preserve">1. Alcance</w:t>
      </w:r>
      <w:bookmarkEnd w:id="22"/>
    </w:p>
    <w:p>
      <w:pPr>
        <w:pStyle w:val="FirstParagraph"/>
      </w:pPr>
      <w:r>
        <w:t xml:space="preserve">Mide V1 (MCU TinyML), V2 (IA on-sensor), V3 (NPU) y el gateway UG67, en cada</w:t>
      </w:r>
      <w:r>
        <w:t xml:space="preserve"> </w:t>
      </w:r>
      <w:r>
        <w:rPr>
          <w:b/>
        </w:rPr>
        <w:t xml:space="preserve">modo de</w:t>
      </w:r>
      <w:r>
        <w:rPr>
          <w:b/>
        </w:rPr>
        <w:t xml:space="preserve"> </w:t>
      </w:r>
      <w:r>
        <w:rPr>
          <w:b/>
        </w:rPr>
        <w:t xml:space="preserve">operación</w:t>
      </w:r>
      <w:r>
        <w:t xml:space="preserve">: deep-sleep, despertar, captura, inferencia y transmisión LoRa.</w:t>
      </w:r>
    </w:p>
    <w:p>
      <w:pPr>
        <w:pStyle w:val="Heading2"/>
      </w:pPr>
      <w:bookmarkStart w:id="23" w:name="instrumentos"/>
      <w:r>
        <w:t xml:space="preserve">2. Instrumentos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Analizador de potencia /</w:t>
            </w:r>
            <w:r>
              <w:t xml:space="preserve"> </w:t>
            </w:r>
            <w:r>
              <w:rPr>
                <w:b/>
              </w:rPr>
              <w:t xml:space="preserve">Nordic PPK2</w:t>
            </w:r>
            <w:r>
              <w:t xml:space="preserve"> </w:t>
            </w:r>
            <w:r>
              <w:t xml:space="preserve">o equivalente</w:t>
            </w:r>
          </w:p>
        </w:tc>
        <w:tc>
          <w:p>
            <w:pPr>
              <w:pStyle w:val="Compact"/>
              <w:jc w:val="left"/>
            </w:pPr>
            <w:r>
              <w:t xml:space="preserve">Corriente µA–A con registro temporal</w:t>
            </w:r>
          </w:p>
        </w:tc>
        <w:tc>
          <w:p>
            <w:pPr>
              <w:pStyle w:val="Compact"/>
              <w:jc w:val="left"/>
            </w:pPr>
            <w:r>
              <w:t xml:space="preserve">Adecuado para perfiles de deep-sleep y picos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Módulo</w:t>
            </w:r>
            <w:r>
              <w:t xml:space="preserve"> </w:t>
            </w:r>
            <w:r>
              <w:rPr>
                <w:b/>
              </w:rPr>
              <w:t xml:space="preserve">INA226/INA219</w:t>
            </w:r>
            <w:r>
              <w:t xml:space="preserve"> </w:t>
            </w:r>
            <w:r>
              <w:t xml:space="preserve">+ datalogger (o DAQ)</w:t>
            </w:r>
          </w:p>
        </w:tc>
        <w:tc>
          <w:p>
            <w:pPr>
              <w:pStyle w:val="Compact"/>
              <w:jc w:val="left"/>
            </w:pPr>
            <w:r>
              <w:t xml:space="preserve">Medición continua de I y V en el riel</w:t>
            </w:r>
          </w:p>
        </w:tc>
        <w:tc>
          <w:p>
            <w:pPr>
              <w:pStyle w:val="Compact"/>
              <w:jc w:val="left"/>
            </w:pPr>
            <w:r>
              <w:t xml:space="preserve">Bajo costo; registro a ≥10 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Fuente DC programable</w:t>
            </w:r>
          </w:p>
        </w:tc>
        <w:tc>
          <w:p>
            <w:pPr>
              <w:pStyle w:val="Compact"/>
              <w:jc w:val="left"/>
            </w:pPr>
            <w:r>
              <w:t xml:space="preserve">Alimentar a tensión fija (12,8 V / 5 V / 3,3 V)</w:t>
            </w:r>
          </w:p>
        </w:tc>
        <w:tc>
          <w:p>
            <w:pPr>
              <w:pStyle w:val="Compact"/>
              <w:jc w:val="left"/>
            </w:pPr>
            <w:r>
              <w:t xml:space="preserve">Sustituye batería en banco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Multímetro true-RMS con registro</w:t>
            </w:r>
          </w:p>
        </w:tc>
        <w:tc>
          <w:p>
            <w:pPr>
              <w:pStyle w:val="Compact"/>
              <w:jc w:val="left"/>
            </w:pPr>
            <w:r>
              <w:t xml:space="preserve">Verificación puntual</w:t>
            </w:r>
          </w:p>
        </w:tc>
        <w:tc>
          <w:p>
            <w:pPr>
              <w:pStyle w:val="Compact"/>
              <w:jc w:val="left"/>
            </w:pPr>
            <w:r>
              <w:t xml:space="preserve">Respaldo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Medidor de energía USB</w:t>
            </w:r>
            <w:r>
              <w:t xml:space="preserve"> </w:t>
            </w:r>
            <w:r>
              <w:t xml:space="preserve">(Wh)</w:t>
            </w:r>
          </w:p>
        </w:tc>
        <w:tc>
          <w:p>
            <w:pPr>
              <w:pStyle w:val="Compact"/>
              <w:jc w:val="left"/>
            </w:pPr>
            <w:r>
              <w:t xml:space="preserve">Verificación integrada del gateway</w:t>
            </w:r>
          </w:p>
        </w:tc>
        <w:tc>
          <w:p>
            <w:pPr>
              <w:pStyle w:val="Compact"/>
              <w:jc w:val="left"/>
            </w:pPr>
            <w:r>
              <w:t xml:space="preserve">UG67 vía PoE/DC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Pinza amperimétrica DC</w:t>
            </w:r>
          </w:p>
        </w:tc>
        <w:tc>
          <w:p>
            <w:pPr>
              <w:pStyle w:val="Compact"/>
              <w:jc w:val="left"/>
            </w:pPr>
            <w:r>
              <w:t xml:space="preserve">Gateway en sitio</w:t>
            </w:r>
          </w:p>
        </w:tc>
        <w:tc>
          <w:p>
            <w:pPr>
              <w:pStyle w:val="Compact"/>
              <w:jc w:val="left"/>
            </w:pPr>
            <w:r>
              <w:t xml:space="preserve">Campo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(Opcional) Piranómetro</w:t>
            </w:r>
          </w:p>
        </w:tc>
        <w:tc>
          <w:p>
            <w:pPr>
              <w:pStyle w:val="Compact"/>
              <w:jc w:val="left"/>
            </w:pPr>
            <w:r>
              <w:t xml:space="preserve">Validar HSP local</w:t>
            </w:r>
          </w:p>
        </w:tc>
        <w:tc>
          <w:p>
            <w:pPr>
              <w:pStyle w:val="Compact"/>
              <w:jc w:val="left"/>
            </w:pPr>
            <w:r>
              <w:t xml:space="preserve">Correlación con generación solar</w:t>
            </w:r>
          </w:p>
        </w:tc>
      </w:tr>
    </w:tbl>
    <w:p>
      <w:pPr>
        <w:pStyle w:val="Heading2"/>
      </w:pPr>
      <w:bookmarkStart w:id="24" w:name="magnitudes"/>
      <w:r>
        <w:t xml:space="preserve">3. Magnitudes</w:t>
      </w:r>
      <w:bookmarkEnd w:id="24"/>
    </w:p>
    <w:p>
      <w:pPr>
        <w:pStyle w:val="FirstParagraph"/>
      </w:pPr>
      <w:r>
        <w:t xml:space="preserve">Corriente promedio y pico por modo (mA), tensión de riel (V),</w:t>
      </w:r>
      <w:r>
        <w:t xml:space="preserve"> </w:t>
      </w:r>
      <w:r>
        <w:rPr>
          <w:b/>
        </w:rPr>
        <w:t xml:space="preserve">energía por evento</w:t>
      </w:r>
      <w:r>
        <w:t xml:space="preserve"> </w:t>
      </w:r>
      <w:r>
        <w:t xml:space="preserve">(Wh),</w:t>
      </w:r>
      <w:r>
        <w:t xml:space="preserve"> </w:t>
      </w:r>
      <w:r>
        <w:t xml:space="preserve">potencia de standby (W) y</w:t>
      </w:r>
      <w:r>
        <w:t xml:space="preserve"> </w:t>
      </w:r>
      <w:r>
        <w:rPr>
          <w:b/>
        </w:rPr>
        <w:t xml:space="preserve">Wh/día integrado</w:t>
      </w:r>
      <w:r>
        <w:t xml:space="preserve"> </w:t>
      </w:r>
      <w:r>
        <w:t xml:space="preserve">(medición de 24 h).</w:t>
      </w:r>
    </w:p>
    <w:p>
      <w:pPr>
        <w:pStyle w:val="Heading2"/>
      </w:pPr>
      <w:bookmarkStart w:id="25" w:name="procedimiento"/>
      <w:r>
        <w:t xml:space="preserve">4. Procedimiento</w:t>
      </w:r>
      <w:bookmarkEnd w:id="25"/>
    </w:p>
    <w:p>
      <w:pPr>
        <w:pStyle w:val="Heading3"/>
      </w:pPr>
      <w:bookmarkStart w:id="26" w:name="por-modo-cada-versión"/>
      <w:r>
        <w:t xml:space="preserve">4.1 Por modo (cada versión)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Deep-sleep:</w:t>
      </w:r>
      <w:r>
        <w:t xml:space="preserve"> </w:t>
      </w:r>
      <w:r>
        <w:t xml:space="preserve">medir corriente de reposo durante ≥10 min; registrar promedio.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Despertar + captura:</w:t>
      </w:r>
      <w:r>
        <w:t xml:space="preserve"> </w:t>
      </w:r>
      <w:r>
        <w:t xml:space="preserve">disparar un ciclo; registrar perfil I(t) y energía del evento.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Inferencia:</w:t>
      </w:r>
      <w:r>
        <w:t xml:space="preserve"> </w:t>
      </w:r>
      <w:r>
        <w:t xml:space="preserve">aislar el tiempo/energía de inferencia (marca de tiempo por GPIO).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Transmisión LoRa:</w:t>
      </w:r>
      <w:r>
        <w:t xml:space="preserve"> </w:t>
      </w:r>
      <w:r>
        <w:t xml:space="preserve">registrar pico y energía de una TX a SF y potencia objetivo.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24 h integrado:</w:t>
      </w:r>
      <w:r>
        <w:t xml:space="preserve"> </w:t>
      </w:r>
      <w:r>
        <w:t xml:space="preserve">dejar el nodo operando con la cadencia objetivo (diurna) y medir Wh reales.</w:t>
      </w:r>
    </w:p>
    <w:p>
      <w:pPr>
        <w:pStyle w:val="Heading3"/>
      </w:pPr>
      <w:bookmarkStart w:id="27" w:name="gateway-ug67"/>
      <w:r>
        <w:t xml:space="preserve">4.2 Gateway UG67</w:t>
      </w:r>
      <w:bookmarkEnd w:id="27"/>
    </w:p>
    <w:p>
      <w:pPr>
        <w:pStyle w:val="FirstParagraph"/>
      </w:pPr>
      <w:r>
        <w:t xml:space="preserve">Medir consumo en idle, con tráfico LoRa y con backhaul 4G activo; integrar 24 h.</w:t>
      </w:r>
    </w:p>
    <w:p>
      <w:pPr>
        <w:pStyle w:val="Heading3"/>
      </w:pPr>
      <w:bookmarkStart w:id="28" w:name="condiciones"/>
      <w:r>
        <w:t xml:space="preserve">4.3 Condiciones</w:t>
      </w:r>
      <w:bookmarkEnd w:id="28"/>
    </w:p>
    <w:p>
      <w:pPr>
        <w:pStyle w:val="FirstParagraph"/>
      </w:pPr>
      <w:r>
        <w:t xml:space="preserve">Repetir a temperatura ambiente y a ~35 °C (cámara/sol) para capturar el efecto térmico.</w:t>
      </w:r>
      <w:r>
        <w:t xml:space="preserve"> </w:t>
      </w:r>
      <w:r>
        <w:t xml:space="preserve">Tensión de batería al 100 % y al 50 % de SoC.</w:t>
      </w:r>
    </w:p>
    <w:p>
      <w:pPr>
        <w:pStyle w:val="Heading2"/>
      </w:pPr>
      <w:bookmarkStart w:id="29" w:name="criterios-de-aceptación"/>
      <w:r>
        <w:t xml:space="preserve">5. Criterios de aceptación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Desviación medido vs modelo (Wh/día)</w:t>
            </w:r>
          </w:p>
        </w:tc>
        <w:tc>
          <w:p>
            <w:pPr>
              <w:pStyle w:val="Compact"/>
              <w:jc w:val="left"/>
            </w:pPr>
            <w:r>
              <w:t xml:space="preserve">≤ ±25 % (si mayor, recalibrar el modelo de energía)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Autonomía verificada del gateway</w:t>
            </w:r>
          </w:p>
        </w:tc>
        <w:tc>
          <w:p>
            <w:pPr>
              <w:pStyle w:val="Compact"/>
              <w:jc w:val="left"/>
            </w:pPr>
            <w:r>
              <w:t xml:space="preserve">≥ 2,5 días sin sol (REQ-SYS-004)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Recuperación de batería tras descarga</w:t>
            </w:r>
          </w:p>
        </w:tc>
        <w:tc>
          <w:p>
            <w:pPr>
              <w:pStyle w:val="Compact"/>
              <w:jc w:val="left"/>
            </w:pPr>
            <w:r>
              <w:t xml:space="preserve">Carga completa en ≤ 3 días soleados</w:t>
            </w:r>
          </w:p>
        </w:tc>
      </w:tr>
    </w:tbl>
    <w:p>
      <w:pPr>
        <w:pStyle w:val="Heading2"/>
      </w:pPr>
      <w:bookmarkStart w:id="30" w:name="registro"/>
      <w:r>
        <w:t xml:space="preserve">6. Registro</w:t>
      </w:r>
      <w:bookmarkEnd w:id="30"/>
    </w:p>
    <w:p>
      <w:pPr>
        <w:pStyle w:val="FirstParagraph"/>
      </w:pPr>
      <w:r>
        <w:t xml:space="preserve">Registrar cada medición en la plantilla de registro de energía (una fila por medición). Adjuntar los</w:t>
      </w:r>
      <w:r>
        <w:t xml:space="preserve"> </w:t>
      </w:r>
      <w:r>
        <w:t xml:space="preserve">perfiles I(t) exportados del instrumento. Volcar los Wh/día medidos al modelo y recalcular el</w:t>
      </w:r>
      <w:r>
        <w:t xml:space="preserve"> </w:t>
      </w:r>
      <w:r>
        <w:t xml:space="preserve">dimensionamiento.</w:t>
      </w:r>
    </w:p>
    <w:p>
      <w:pPr>
        <w:pStyle w:val="Heading2"/>
      </w:pPr>
      <w:bookmarkStart w:id="31" w:name="casos-de-prueba"/>
      <w:r>
        <w:t xml:space="preserve">7. Casos de prueba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TC-ENE-01</w:t>
            </w:r>
          </w:p>
        </w:tc>
        <w:tc>
          <w:p>
            <w:pPr>
              <w:pStyle w:val="Compact"/>
              <w:jc w:val="left"/>
            </w:pPr>
            <w:r>
              <w:t xml:space="preserve">Deep-sleep por versión</w:t>
            </w:r>
          </w:p>
        </w:tc>
        <w:tc>
          <w:p>
            <w:pPr>
              <w:pStyle w:val="Compact"/>
              <w:jc w:val="left"/>
            </w:pPr>
            <w:r>
              <w:t xml:space="preserve">REQ-SYS-004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TC-ENE-02</w:t>
            </w:r>
          </w:p>
        </w:tc>
        <w:tc>
          <w:p>
            <w:pPr>
              <w:pStyle w:val="Compact"/>
              <w:jc w:val="left"/>
            </w:pPr>
            <w:r>
              <w:t xml:space="preserve">Energía por evento (captura+inferencia)</w:t>
            </w:r>
          </w:p>
        </w:tc>
        <w:tc>
          <w:p>
            <w:pPr>
              <w:pStyle w:val="Compact"/>
              <w:jc w:val="left"/>
            </w:pPr>
            <w:r>
              <w:t xml:space="preserve">REQ-SYS-004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TC-ENE-03</w:t>
            </w:r>
          </w:p>
        </w:tc>
        <w:tc>
          <w:p>
            <w:pPr>
              <w:pStyle w:val="Compact"/>
              <w:jc w:val="left"/>
            </w:pPr>
            <w:r>
              <w:t xml:space="preserve">Energía de TX LoRa</w:t>
            </w:r>
          </w:p>
        </w:tc>
        <w:tc>
          <w:p>
            <w:pPr>
              <w:pStyle w:val="Compact"/>
              <w:jc w:val="left"/>
            </w:pPr>
            <w:r>
              <w:t xml:space="preserve">REQ-SYS-004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TC-ENE-04</w:t>
            </w:r>
          </w:p>
        </w:tc>
        <w:tc>
          <w:p>
            <w:pPr>
              <w:pStyle w:val="Compact"/>
              <w:jc w:val="left"/>
            </w:pPr>
            <w:r>
              <w:t xml:space="preserve">Wh/día integrado 24 h (nodo)</w:t>
            </w:r>
          </w:p>
        </w:tc>
        <w:tc>
          <w:p>
            <w:pPr>
              <w:pStyle w:val="Compact"/>
              <w:jc w:val="left"/>
            </w:pPr>
            <w:r>
              <w:t xml:space="preserve">REQ-SYS-004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TC-ENE-05</w:t>
            </w:r>
          </w:p>
        </w:tc>
        <w:tc>
          <w:p>
            <w:pPr>
              <w:pStyle w:val="Compact"/>
              <w:jc w:val="left"/>
            </w:pPr>
            <w:r>
              <w:t xml:space="preserve">Wh/día integrado 24 h (gateway)</w:t>
            </w:r>
          </w:p>
        </w:tc>
        <w:tc>
          <w:p>
            <w:pPr>
              <w:pStyle w:val="Compact"/>
              <w:jc w:val="left"/>
            </w:pPr>
            <w:r>
              <w:t xml:space="preserve">REQ-SYS-004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TC-ENE-06</w:t>
            </w:r>
          </w:p>
        </w:tc>
        <w:tc>
          <w:p>
            <w:pPr>
              <w:pStyle w:val="Compact"/>
              <w:jc w:val="left"/>
            </w:pPr>
            <w:r>
              <w:t xml:space="preserve">Autonomía y recuperación de batería</w:t>
            </w:r>
          </w:p>
        </w:tc>
        <w:tc>
          <w:p>
            <w:pPr>
              <w:pStyle w:val="Compact"/>
              <w:jc w:val="left"/>
            </w:pPr>
            <w:r>
              <w:t xml:space="preserve">REQ-SYS-004</w:t>
            </w:r>
          </w:p>
        </w:tc>
      </w:tr>
    </w:tbl>
    <w:p>
      <w:pPr>
        <w:pStyle w:val="Heading2"/>
      </w:pPr>
      <w:bookmarkStart w:id="32" w:name="salida"/>
      <w:r>
        <w:t xml:space="preserve">8. Salida</w:t>
      </w:r>
      <w:bookmarkEnd w:id="32"/>
    </w:p>
    <w:p>
      <w:pPr>
        <w:pStyle w:val="FirstParagraph"/>
      </w:pPr>
      <w:r>
        <w:t xml:space="preserve">Tabla de consumos validados → actualización de «Análisis de potencia y balance energético» y</w:t>
      </w:r>
      <w:r>
        <w:t xml:space="preserve"> </w:t>
      </w:r>
      <w:r>
        <w:rPr>
          <w:b/>
        </w:rPr>
        <w:t xml:space="preserve">decisión final de</w:t>
      </w:r>
      <w:r>
        <w:rPr>
          <w:b/>
        </w:rPr>
        <w:t xml:space="preserve"> </w:t>
      </w:r>
      <w:r>
        <w:rPr>
          <w:b/>
        </w:rPr>
        <w:t xml:space="preserve">specs de panel/batería/MPPT del sistema fotovoltaico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2026-06-12T05:20:36Z</dcterms:created>
  <dcterms:modified xsi:type="dcterms:W3CDTF">2026-06-12T05:20:36Z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