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Step 5: Orchestration, Monitoring and Alerts</w:t>
      </w:r>
    </w:p>
    <w:p>
      <w:r>
        <w:rPr>
          <w:i/>
        </w:rPr>
        <w:t>Healthcare Data Pipeline · Bootcamp Project 1 · Anupa</w:t>
      </w:r>
    </w:p>
    <w:p>
      <w:pPr>
        <w:pStyle w:val="Heading1"/>
      </w:pPr>
      <w:r>
        <w:t>1. What this step does</w:t>
      </w:r>
    </w:p>
    <w:p>
      <w:r>
        <w:t>A master pipeline, pl_master, runs the whole process in the right order with one click: ingest to Landing, validate into Staging, then load SQL. Each step starts only if the previous one succeeded, so bad data is never published to SQL. ADF Monitor records every run, and an Azure Monitor alert emails the owner when any pipeline fails.</w:t>
      </w:r>
    </w:p>
    <w:p>
      <w:pPr>
        <w:pStyle w:val="Heading1"/>
      </w:pPr>
      <w:r>
        <w:t>2. Steps</w:t>
      </w:r>
    </w:p>
    <w:p>
      <w:pPr>
        <w:pStyle w:val="ListNumber"/>
      </w:pPr>
      <w:r>
        <w:t>Created pipeline pl_master with three Execute Pipeline activities: run_ingest → run_staging → run_load_sql, each on Success, with 'Wait on completion' ticked.</w:t>
      </w:r>
    </w:p>
    <w:p>
      <w:pPr>
        <w:pStyle w:val="ListNumber"/>
      </w:pPr>
      <w:r>
        <w:t>run_ingest passes fileList = the four file names.</w:t>
      </w:r>
    </w:p>
    <w:p>
      <w:pPr>
        <w:pStyle w:val="ListNumber"/>
      </w:pPr>
      <w:r>
        <w:t>run_staging and run_load_sql receive the RunId of run_ingest as runId, so all three layers use the same batch id.</w:t>
      </w:r>
    </w:p>
    <w:p>
      <w:pPr>
        <w:pStyle w:val="ListNumber"/>
      </w:pPr>
      <w:r>
        <w:t>Debugged pl_master and confirmed all three activities Succeeded, then Publish all. The parameterized version (runId passed from run_ingest) ran end to end and Succeeded on 25 Oct 2026.</w:t>
      </w:r>
    </w:p>
    <w:p>
      <w:pPr>
        <w:pStyle w:val="ListNumber"/>
      </w:pPr>
      <w:r>
        <w:t>Registered resource provider microsoft.insights on the subscription.</w:t>
      </w:r>
    </w:p>
    <w:p>
      <w:pPr>
        <w:pStyle w:val="ListNumber"/>
      </w:pPr>
      <w:r>
        <w:t>Created alert rule alert_pipeline_failed on the data factory: metric Failed pipeline runs &gt; 0, checked every 5 minutes, Severity 1.</w:t>
      </w:r>
    </w:p>
    <w:p>
      <w:pPr>
        <w:pStyle w:val="ListNumber"/>
      </w:pPr>
      <w:r>
        <w:t>Created action group ag_healthcare with an email notification to the owner.</w:t>
      </w:r>
    </w:p>
    <w:p>
      <w:pPr>
        <w:pStyle w:val="Heading1"/>
      </w:pPr>
      <w:r>
        <w:t>3. Configuration</w:t>
      </w:r>
    </w:p>
    <w:tbl>
      <w:tblPr>
        <w:tblStyle w:val="TableGrid"/>
        <w:tblW w:type="auto" w:w="0"/>
        <w:jc w:val="center"/>
        <w:tblLook w:firstColumn="1" w:firstRow="1" w:lastColumn="0" w:lastRow="0" w:noHBand="0" w:noVBand="1" w:val="04A0"/>
      </w:tblPr>
      <w:tblGrid>
        <w:gridCol w:w="4824"/>
        <w:gridCol w:w="4824"/>
      </w:tblGrid>
      <w:tr>
        <w:tc>
          <w:tcPr>
            <w:tcW w:type="dxa" w:w="2736"/>
            <w:shd w:val="clear" w:color="auto" w:fill="1F4E79"/>
          </w:tcPr>
          <w:p>
            <w:r>
              <w:rPr>
                <w:sz w:val="20"/>
              </w:rPr>
            </w:r>
            <w:r>
              <w:rPr>
                <w:b/>
                <w:color w:val="FFFFFF"/>
                <w:sz w:val="20"/>
              </w:rPr>
              <w:t>Item</w:t>
            </w:r>
          </w:p>
        </w:tc>
        <w:tc>
          <w:tcPr>
            <w:tcW w:type="dxa" w:w="6768"/>
            <w:shd w:val="clear" w:color="auto" w:fill="1F4E79"/>
          </w:tcPr>
          <w:p>
            <w:r>
              <w:rPr>
                <w:sz w:val="20"/>
              </w:rPr>
            </w:r>
            <w:r>
              <w:rPr>
                <w:b/>
                <w:color w:val="FFFFFF"/>
                <w:sz w:val="20"/>
              </w:rPr>
              <w:t>Value</w:t>
            </w:r>
          </w:p>
        </w:tc>
      </w:tr>
      <w:tr>
        <w:tc>
          <w:tcPr>
            <w:tcW w:type="dxa" w:w="2736"/>
          </w:tcPr>
          <w:p>
            <w:r>
              <w:rPr>
                <w:sz w:val="20"/>
              </w:rPr>
              <w:t>Master pipeline</w:t>
            </w:r>
          </w:p>
        </w:tc>
        <w:tc>
          <w:tcPr>
            <w:tcW w:type="dxa" w:w="6768"/>
          </w:tcPr>
          <w:p>
            <w:r>
              <w:rPr>
                <w:sz w:val="20"/>
              </w:rPr>
              <w:t>pl_master: run_ingest → run_staging → run_load_sql</w:t>
            </w:r>
          </w:p>
        </w:tc>
      </w:tr>
      <w:tr>
        <w:tc>
          <w:tcPr>
            <w:tcW w:type="dxa" w:w="2736"/>
          </w:tcPr>
          <w:p>
            <w:r>
              <w:rPr>
                <w:sz w:val="20"/>
              </w:rPr>
              <w:t>Batch id flow</w:t>
            </w:r>
          </w:p>
        </w:tc>
        <w:tc>
          <w:tcPr>
            <w:tcW w:type="dxa" w:w="6768"/>
          </w:tcPr>
          <w:p>
            <w:r>
              <w:rPr>
                <w:sz w:val="20"/>
              </w:rPr>
              <w:t>runId = @activity('run_ingest').output.pipelineRunId</w:t>
            </w:r>
          </w:p>
        </w:tc>
      </w:tr>
      <w:tr>
        <w:tc>
          <w:tcPr>
            <w:tcW w:type="dxa" w:w="2736"/>
          </w:tcPr>
          <w:p>
            <w:r>
              <w:rPr>
                <w:sz w:val="20"/>
              </w:rPr>
              <w:t>Alert rule</w:t>
            </w:r>
          </w:p>
        </w:tc>
        <w:tc>
          <w:tcPr>
            <w:tcW w:type="dxa" w:w="6768"/>
          </w:tcPr>
          <w:p>
            <w:r>
              <w:rPr>
                <w:sz w:val="20"/>
              </w:rPr>
              <w:t>alert_pipeline_failed: Failed pipeline runs &gt; 0, 5 min, Sev 1</w:t>
            </w:r>
          </w:p>
        </w:tc>
      </w:tr>
      <w:tr>
        <w:tc>
          <w:tcPr>
            <w:tcW w:type="dxa" w:w="2736"/>
          </w:tcPr>
          <w:p>
            <w:r>
              <w:rPr>
                <w:sz w:val="20"/>
              </w:rPr>
              <w:t>Action group</w:t>
            </w:r>
          </w:p>
        </w:tc>
        <w:tc>
          <w:tcPr>
            <w:tcW w:type="dxa" w:w="6768"/>
          </w:tcPr>
          <w:p>
            <w:r>
              <w:rPr>
                <w:sz w:val="20"/>
              </w:rPr>
              <w:t>ag_healthcare (email)</w:t>
            </w:r>
          </w:p>
        </w:tc>
      </w:tr>
      <w:tr>
        <w:tc>
          <w:tcPr>
            <w:tcW w:type="dxa" w:w="2736"/>
          </w:tcPr>
          <w:p>
            <w:r>
              <w:rPr>
                <w:sz w:val="20"/>
              </w:rPr>
              <w:t>Run logging</w:t>
            </w:r>
          </w:p>
        </w:tc>
        <w:tc>
          <w:tcPr>
            <w:tcW w:type="dxa" w:w="6768"/>
          </w:tcPr>
          <w:p>
            <w:r>
              <w:rPr>
                <w:sz w:val="20"/>
              </w:rPr>
              <w:t>ADF Monitor: pipeline and activity status, start/end time, duration, rows read/written, error details</w:t>
            </w:r>
          </w:p>
        </w:tc>
      </w:tr>
    </w:tbl>
    <w:p/>
    <w:p>
      <w:pPr>
        <w:pStyle w:val="Heading1"/>
      </w:pPr>
      <w:r>
        <w:t>4. Code snippets</w:t>
      </w:r>
    </w:p>
    <w:p>
      <w:r>
        <w:rPr>
          <w:b/>
        </w:rPr>
        <w:t>run_ingest parameter:</w:t>
      </w:r>
    </w:p>
    <w:tbl>
      <w:tblPr>
        <w:tblStyle w:val="TableGrid"/>
        <w:tblW w:type="auto" w:w="0"/>
        <w:tblLook w:firstColumn="1" w:firstRow="1" w:lastColumn="0" w:lastRow="0" w:noHBand="0" w:noVBand="1" w:val="04A0"/>
      </w:tblPr>
      <w:tblGrid>
        <w:gridCol w:w="9648"/>
      </w:tblGrid>
      <w:tr>
        <w:tc>
          <w:tcPr>
            <w:tcW w:type="dxa" w:w="9648"/>
            <w:shd w:val="clear" w:color="auto" w:fill="F2F2F2"/>
          </w:tcPr>
          <w:p>
            <w:r/>
            <w:r>
              <w:rPr>
                <w:rFonts w:ascii="Consolas" w:hAnsi="Consolas" w:eastAsia="Consolas"/>
                <w:sz w:val="18"/>
              </w:rPr>
              <w:t>fileList = @createArray('patient_raw.csv','hospital_raw.csv','diagnosis_raw.csv','visit_raw.csv')</w:t>
            </w:r>
          </w:p>
        </w:tc>
      </w:tr>
    </w:tbl>
    <w:p/>
    <w:p>
      <w:r>
        <w:rPr>
          <w:b/>
        </w:rPr>
        <w:t>run_staging parameters:</w:t>
      </w:r>
    </w:p>
    <w:tbl>
      <w:tblPr>
        <w:tblStyle w:val="TableGrid"/>
        <w:tblW w:type="auto" w:w="0"/>
        <w:tblLook w:firstColumn="1" w:firstRow="1" w:lastColumn="0" w:lastRow="0" w:noHBand="0" w:noVBand="1" w:val="04A0"/>
      </w:tblPr>
      <w:tblGrid>
        <w:gridCol w:w="9648"/>
      </w:tblGrid>
      <w:tr>
        <w:tc>
          <w:tcPr>
            <w:tcW w:type="dxa" w:w="9648"/>
            <w:shd w:val="clear" w:color="auto" w:fill="F2F2F2"/>
          </w:tcPr>
          <w:p>
            <w:r/>
            <w:r>
              <w:rPr>
                <w:rFonts w:ascii="Consolas" w:hAnsi="Consolas" w:eastAsia="Consolas"/>
                <w:sz w:val="18"/>
              </w:rPr>
              <w:t>runId   = @activity('run_ingest').output.pipelineRunId</w:t>
              <w:br/>
            </w:r>
            <w:r>
              <w:rPr>
                <w:rFonts w:ascii="Consolas" w:hAnsi="Consolas" w:eastAsia="Consolas"/>
                <w:sz w:val="18"/>
              </w:rPr>
              <w:t>runDate = @formatDateTime(utcnow(),'yyyy-MM-dd')</w:t>
            </w:r>
          </w:p>
        </w:tc>
      </w:tr>
    </w:tbl>
    <w:p/>
    <w:p>
      <w:r>
        <w:rPr>
          <w:b/>
        </w:rPr>
        <w:t>run_load_sql parameter:</w:t>
      </w:r>
    </w:p>
    <w:tbl>
      <w:tblPr>
        <w:tblStyle w:val="TableGrid"/>
        <w:tblW w:type="auto" w:w="0"/>
        <w:tblLook w:firstColumn="1" w:firstRow="1" w:lastColumn="0" w:lastRow="0" w:noHBand="0" w:noVBand="1" w:val="04A0"/>
      </w:tblPr>
      <w:tblGrid>
        <w:gridCol w:w="9648"/>
      </w:tblGrid>
      <w:tr>
        <w:tc>
          <w:tcPr>
            <w:tcW w:type="dxa" w:w="9648"/>
            <w:shd w:val="clear" w:color="auto" w:fill="F2F2F2"/>
          </w:tcPr>
          <w:p>
            <w:r/>
            <w:r>
              <w:rPr>
                <w:rFonts w:ascii="Consolas" w:hAnsi="Consolas" w:eastAsia="Consolas"/>
                <w:sz w:val="18"/>
              </w:rPr>
              <w:t>runId = @activity('run_ingest').output.pipelineRunId</w:t>
            </w:r>
          </w:p>
        </w:tc>
      </w:tr>
    </w:tbl>
    <w:p/>
    <w:p>
      <w:pPr>
        <w:pStyle w:val="Heading1"/>
      </w:pPr>
      <w:r>
        <w:t>5. Execution order</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576"/>
            <w:shd w:val="clear" w:color="auto" w:fill="1F4E79"/>
          </w:tcPr>
          <w:p>
            <w:r>
              <w:rPr>
                <w:sz w:val="20"/>
              </w:rPr>
            </w:r>
            <w:r>
              <w:rPr>
                <w:b/>
                <w:color w:val="FFFFFF"/>
                <w:sz w:val="20"/>
              </w:rPr>
              <w:t>#</w:t>
            </w:r>
          </w:p>
        </w:tc>
        <w:tc>
          <w:tcPr>
            <w:tcW w:type="dxa" w:w="2016"/>
            <w:shd w:val="clear" w:color="auto" w:fill="1F4E79"/>
          </w:tcPr>
          <w:p>
            <w:r>
              <w:rPr>
                <w:sz w:val="20"/>
              </w:rPr>
            </w:r>
            <w:r>
              <w:rPr>
                <w:b/>
                <w:color w:val="FFFFFF"/>
                <w:sz w:val="20"/>
              </w:rPr>
              <w:t>Activity</w:t>
            </w:r>
          </w:p>
        </w:tc>
        <w:tc>
          <w:tcPr>
            <w:tcW w:type="dxa" w:w="2592"/>
            <w:shd w:val="clear" w:color="auto" w:fill="1F4E79"/>
          </w:tcPr>
          <w:p>
            <w:r>
              <w:rPr>
                <w:sz w:val="20"/>
              </w:rPr>
            </w:r>
            <w:r>
              <w:rPr>
                <w:b/>
                <w:color w:val="FFFFFF"/>
                <w:sz w:val="20"/>
              </w:rPr>
              <w:t>Runs pipeline</w:t>
            </w:r>
          </w:p>
        </w:tc>
        <w:tc>
          <w:tcPr>
            <w:tcW w:type="dxa" w:w="4320"/>
            <w:shd w:val="clear" w:color="auto" w:fill="1F4E79"/>
          </w:tcPr>
          <w:p>
            <w:r>
              <w:rPr>
                <w:sz w:val="20"/>
              </w:rPr>
            </w:r>
            <w:r>
              <w:rPr>
                <w:b/>
                <w:color w:val="FFFFFF"/>
                <w:sz w:val="20"/>
              </w:rPr>
              <w:t>Starts when</w:t>
            </w:r>
          </w:p>
        </w:tc>
      </w:tr>
      <w:tr>
        <w:tc>
          <w:tcPr>
            <w:tcW w:type="dxa" w:w="576"/>
          </w:tcPr>
          <w:p>
            <w:r>
              <w:rPr>
                <w:sz w:val="20"/>
              </w:rPr>
              <w:t>1</w:t>
            </w:r>
          </w:p>
        </w:tc>
        <w:tc>
          <w:tcPr>
            <w:tcW w:type="dxa" w:w="2016"/>
          </w:tcPr>
          <w:p>
            <w:r>
              <w:rPr>
                <w:sz w:val="20"/>
              </w:rPr>
              <w:t>run_ingest</w:t>
            </w:r>
          </w:p>
        </w:tc>
        <w:tc>
          <w:tcPr>
            <w:tcW w:type="dxa" w:w="2592"/>
          </w:tcPr>
          <w:p>
            <w:r>
              <w:rPr>
                <w:sz w:val="20"/>
              </w:rPr>
              <w:t>pl_ingest_landing</w:t>
            </w:r>
          </w:p>
        </w:tc>
        <w:tc>
          <w:tcPr>
            <w:tcW w:type="dxa" w:w="4320"/>
          </w:tcPr>
          <w:p>
            <w:r>
              <w:rPr>
                <w:sz w:val="20"/>
              </w:rPr>
              <w:t>pl_master is triggered</w:t>
            </w:r>
          </w:p>
        </w:tc>
      </w:tr>
      <w:tr>
        <w:tc>
          <w:tcPr>
            <w:tcW w:type="dxa" w:w="576"/>
          </w:tcPr>
          <w:p>
            <w:r>
              <w:rPr>
                <w:sz w:val="20"/>
              </w:rPr>
              <w:t>2</w:t>
            </w:r>
          </w:p>
        </w:tc>
        <w:tc>
          <w:tcPr>
            <w:tcW w:type="dxa" w:w="2016"/>
          </w:tcPr>
          <w:p>
            <w:r>
              <w:rPr>
                <w:sz w:val="20"/>
              </w:rPr>
              <w:t>run_staging</w:t>
            </w:r>
          </w:p>
        </w:tc>
        <w:tc>
          <w:tcPr>
            <w:tcW w:type="dxa" w:w="2592"/>
          </w:tcPr>
          <w:p>
            <w:r>
              <w:rPr>
                <w:sz w:val="20"/>
              </w:rPr>
              <w:t>pl_staging</w:t>
            </w:r>
          </w:p>
        </w:tc>
        <w:tc>
          <w:tcPr>
            <w:tcW w:type="dxa" w:w="4320"/>
          </w:tcPr>
          <w:p>
            <w:r>
              <w:rPr>
                <w:sz w:val="20"/>
              </w:rPr>
              <w:t>run_ingest Succeeded</w:t>
            </w:r>
          </w:p>
        </w:tc>
      </w:tr>
      <w:tr>
        <w:tc>
          <w:tcPr>
            <w:tcW w:type="dxa" w:w="576"/>
          </w:tcPr>
          <w:p>
            <w:r>
              <w:rPr>
                <w:sz w:val="20"/>
              </w:rPr>
              <w:t>3</w:t>
            </w:r>
          </w:p>
        </w:tc>
        <w:tc>
          <w:tcPr>
            <w:tcW w:type="dxa" w:w="2016"/>
          </w:tcPr>
          <w:p>
            <w:r>
              <w:rPr>
                <w:sz w:val="20"/>
              </w:rPr>
              <w:t>run_load_sql</w:t>
            </w:r>
          </w:p>
        </w:tc>
        <w:tc>
          <w:tcPr>
            <w:tcW w:type="dxa" w:w="2592"/>
          </w:tcPr>
          <w:p>
            <w:r>
              <w:rPr>
                <w:sz w:val="20"/>
              </w:rPr>
              <w:t>pl_load_sql</w:t>
            </w:r>
          </w:p>
        </w:tc>
        <w:tc>
          <w:tcPr>
            <w:tcW w:type="dxa" w:w="4320"/>
          </w:tcPr>
          <w:p>
            <w:r>
              <w:rPr>
                <w:sz w:val="20"/>
              </w:rPr>
              <w:t>run_staging Succeeded</w:t>
            </w:r>
          </w:p>
        </w:tc>
      </w:tr>
    </w:tbl>
    <w:p/>
    <w:p>
      <w:pPr>
        <w:pStyle w:val="Heading1"/>
      </w:pPr>
      <w:r>
        <w:t>6. Failure and recovery</w:t>
      </w:r>
    </w:p>
    <w:p>
      <w:pPr>
        <w:pStyle w:val="ListBullet"/>
      </w:pPr>
      <w:r>
        <w:t>A failure stops the chain, so SQL is never loaded from a failed or half-validated batch.</w:t>
      </w:r>
    </w:p>
    <w:p>
      <w:pPr>
        <w:pStyle w:val="ListBullet"/>
      </w:pPr>
      <w:r>
        <w:t>The alert emails the owner within about 5 minutes.</w:t>
      </w:r>
    </w:p>
    <w:p>
      <w:pPr>
        <w:pStyle w:val="ListBullet"/>
      </w:pPr>
      <w:r>
        <w:t>Open Monitor &gt; Pipeline runs, click the failed run, read the error on the failed activity.</w:t>
      </w:r>
    </w:p>
    <w:p>
      <w:pPr>
        <w:pStyle w:val="ListBullet"/>
      </w:pPr>
      <w:r>
        <w:t>Fix the cause (for example start the VM, correct the file, fix the expression), then use Rerun from failed activity, or rerun pl_staging / pl_load_sql with the same runId.</w:t>
      </w:r>
    </w:p>
    <w:p>
      <w:pPr>
        <w:pStyle w:val="ListBullet"/>
      </w:pPr>
      <w:r>
        <w:t>Reruns are safe: Landing keeps every batch in its own folder, Staging rewrites the same runId folder, and SQL uses upsert so no duplicates appear.</w:t>
      </w:r>
    </w:p>
    <w:p>
      <w:pPr>
        <w:pStyle w:val="Heading1"/>
      </w:pPr>
      <w:r>
        <w:t>7. Challenges and fixes</w:t>
      </w:r>
    </w:p>
    <w:tbl>
      <w:tblPr>
        <w:tblStyle w:val="TableGrid"/>
        <w:tblW w:type="auto" w:w="0"/>
        <w:jc w:val="center"/>
        <w:tblLook w:firstColumn="1" w:firstRow="1" w:lastColumn="0" w:lastRow="0" w:noHBand="0" w:noVBand="1" w:val="04A0"/>
      </w:tblPr>
      <w:tblGrid>
        <w:gridCol w:w="3216"/>
        <w:gridCol w:w="3216"/>
        <w:gridCol w:w="3216"/>
      </w:tblGrid>
      <w:tr>
        <w:tc>
          <w:tcPr>
            <w:tcW w:type="dxa" w:w="2448"/>
            <w:shd w:val="clear" w:color="auto" w:fill="1F4E79"/>
          </w:tcPr>
          <w:p>
            <w:r>
              <w:rPr>
                <w:sz w:val="20"/>
              </w:rPr>
            </w:r>
            <w:r>
              <w:rPr>
                <w:b/>
                <w:color w:val="FFFFFF"/>
                <w:sz w:val="20"/>
              </w:rPr>
              <w:t>Challenge</w:t>
            </w:r>
          </w:p>
        </w:tc>
        <w:tc>
          <w:tcPr>
            <w:tcW w:type="dxa" w:w="3168"/>
            <w:shd w:val="clear" w:color="auto" w:fill="1F4E79"/>
          </w:tcPr>
          <w:p>
            <w:r>
              <w:rPr>
                <w:sz w:val="20"/>
              </w:rPr>
            </w:r>
            <w:r>
              <w:rPr>
                <w:b/>
                <w:color w:val="FFFFFF"/>
                <w:sz w:val="20"/>
              </w:rPr>
              <w:t>Cause</w:t>
            </w:r>
          </w:p>
        </w:tc>
        <w:tc>
          <w:tcPr>
            <w:tcW w:type="dxa" w:w="3888"/>
            <w:shd w:val="clear" w:color="auto" w:fill="1F4E79"/>
          </w:tcPr>
          <w:p>
            <w:r>
              <w:rPr>
                <w:sz w:val="20"/>
              </w:rPr>
            </w:r>
            <w:r>
              <w:rPr>
                <w:b/>
                <w:color w:val="FFFFFF"/>
                <w:sz w:val="20"/>
              </w:rPr>
              <w:t>How it was fixed</w:t>
            </w:r>
          </w:p>
        </w:tc>
      </w:tr>
      <w:tr>
        <w:tc>
          <w:tcPr>
            <w:tcW w:type="dxa" w:w="2448"/>
          </w:tcPr>
          <w:p>
            <w:r>
              <w:rPr>
                <w:sz w:val="20"/>
              </w:rPr>
              <w:t>Alert creation failed</w:t>
            </w:r>
          </w:p>
        </w:tc>
        <w:tc>
          <w:tcPr>
            <w:tcW w:type="dxa" w:w="3168"/>
          </w:tcPr>
          <w:p>
            <w:r>
              <w:rPr>
                <w:sz w:val="20"/>
              </w:rPr>
              <w:t>Resource provider microsoft.insights was not registered</w:t>
            </w:r>
          </w:p>
        </w:tc>
        <w:tc>
          <w:tcPr>
            <w:tcW w:type="dxa" w:w="3888"/>
          </w:tcPr>
          <w:p>
            <w:r>
              <w:rPr>
                <w:sz w:val="20"/>
              </w:rPr>
              <w:t>Subscription &gt; Resource providers &gt; register microsoft.insights</w:t>
            </w:r>
          </w:p>
        </w:tc>
      </w:tr>
      <w:tr>
        <w:tc>
          <w:tcPr>
            <w:tcW w:type="dxa" w:w="2448"/>
          </w:tcPr>
          <w:p>
            <w:r>
              <w:rPr>
                <w:sz w:val="20"/>
              </w:rPr>
              <w:t>Lost work</w:t>
            </w:r>
          </w:p>
        </w:tc>
        <w:tc>
          <w:tcPr>
            <w:tcW w:type="dxa" w:w="3168"/>
          </w:tcPr>
          <w:p>
            <w:r>
              <w:rPr>
                <w:sz w:val="20"/>
              </w:rPr>
              <w:t>Laptop broke; changes that were not published were lost</w:t>
            </w:r>
          </w:p>
        </w:tc>
        <w:tc>
          <w:tcPr>
            <w:tcW w:type="dxa" w:w="3888"/>
          </w:tcPr>
          <w:p>
            <w:r>
              <w:rPr>
                <w:sz w:val="20"/>
              </w:rPr>
              <w:t>Rebuilt the work; now click Publish all after every step</w:t>
            </w:r>
          </w:p>
        </w:tc>
      </w:tr>
      <w:tr>
        <w:tc>
          <w:tcPr>
            <w:tcW w:type="dxa" w:w="2448"/>
          </w:tcPr>
          <w:p>
            <w:r>
              <w:rPr>
                <w:sz w:val="20"/>
              </w:rPr>
              <w:t>Pipeline fails at night</w:t>
            </w:r>
          </w:p>
        </w:tc>
        <w:tc>
          <w:tcPr>
            <w:tcW w:type="dxa" w:w="3168"/>
          </w:tcPr>
          <w:p>
            <w:r>
              <w:rPr>
                <w:sz w:val="20"/>
              </w:rPr>
              <w:t>VM auto-shutdown 12 AM ET stops the SHIR</w:t>
            </w:r>
          </w:p>
        </w:tc>
        <w:tc>
          <w:tcPr>
            <w:tcW w:type="dxa" w:w="3888"/>
          </w:tcPr>
          <w:p>
            <w:r>
              <w:rPr>
                <w:sz w:val="20"/>
              </w:rPr>
              <w:t>Start the VM before every run (listed in the README)</w:t>
            </w:r>
          </w:p>
        </w:tc>
      </w:tr>
      <w:tr>
        <w:tc>
          <w:tcPr>
            <w:tcW w:type="dxa" w:w="2448"/>
          </w:tcPr>
          <w:p>
            <w:r>
              <w:rPr>
                <w:sz w:val="20"/>
              </w:rPr>
              <w:t>Same batch id across layers</w:t>
            </w:r>
          </w:p>
        </w:tc>
        <w:tc>
          <w:tcPr>
            <w:tcW w:type="dxa" w:w="3168"/>
          </w:tcPr>
          <w:p>
            <w:r>
              <w:rPr>
                <w:sz w:val="20"/>
              </w:rPr>
              <w:t>Each child pipeline has its own RunId</w:t>
            </w:r>
          </w:p>
        </w:tc>
        <w:tc>
          <w:tcPr>
            <w:tcW w:type="dxa" w:w="3888"/>
          </w:tcPr>
          <w:p>
            <w:r>
              <w:rPr>
                <w:sz w:val="20"/>
              </w:rPr>
              <w:t>Passed run_ingest's pipelineRunId into the next two pipelines</w:t>
            </w:r>
          </w:p>
        </w:tc>
      </w:tr>
    </w:tbl>
    <w:p/>
    <w:p>
      <w:pPr>
        <w:pStyle w:val="Heading1"/>
      </w:pPr>
      <w:r>
        <w:t>8. Evidence (Screenshots folder)</w:t>
      </w:r>
    </w:p>
    <w:tbl>
      <w:tblPr>
        <w:tblStyle w:val="TableGrid"/>
        <w:tblW w:type="auto" w:w="0"/>
        <w:jc w:val="center"/>
        <w:tblLook w:firstColumn="1" w:firstRow="1" w:lastColumn="0" w:lastRow="0" w:noHBand="0" w:noVBand="1" w:val="04A0"/>
      </w:tblPr>
      <w:tblGrid>
        <w:gridCol w:w="4824"/>
        <w:gridCol w:w="4824"/>
      </w:tblGrid>
      <w:tr>
        <w:tc>
          <w:tcPr>
            <w:tcW w:type="dxa" w:w="3168"/>
            <w:shd w:val="clear" w:color="auto" w:fill="1F4E79"/>
          </w:tcPr>
          <w:p>
            <w:r>
              <w:rPr>
                <w:sz w:val="20"/>
              </w:rPr>
            </w:r>
            <w:r>
              <w:rPr>
                <w:b/>
                <w:color w:val="FFFFFF"/>
                <w:sz w:val="20"/>
              </w:rPr>
              <w:t>Screenshot file</w:t>
            </w:r>
          </w:p>
        </w:tc>
        <w:tc>
          <w:tcPr>
            <w:tcW w:type="dxa" w:w="6336"/>
            <w:shd w:val="clear" w:color="auto" w:fill="1F4E79"/>
          </w:tcPr>
          <w:p>
            <w:r>
              <w:rPr>
                <w:sz w:val="20"/>
              </w:rPr>
            </w:r>
            <w:r>
              <w:rPr>
                <w:b/>
                <w:color w:val="FFFFFF"/>
                <w:sz w:val="20"/>
              </w:rPr>
              <w:t>What it shows</w:t>
            </w:r>
          </w:p>
        </w:tc>
      </w:tr>
      <w:tr>
        <w:tc>
          <w:tcPr>
            <w:tcW w:type="dxa" w:w="3168"/>
          </w:tcPr>
          <w:p>
            <w:r>
              <w:rPr>
                <w:sz w:val="20"/>
              </w:rPr>
              <w:t>Step_5_Screenshot_1.png</w:t>
            </w:r>
          </w:p>
        </w:tc>
        <w:tc>
          <w:tcPr>
            <w:tcW w:type="dxa" w:w="6336"/>
          </w:tcPr>
          <w:p>
            <w:r>
              <w:rPr>
                <w:sz w:val="20"/>
              </w:rPr>
              <w:t>pl_master: run_ingest, run_staging, run_load_sql all Succeeded</w:t>
            </w:r>
          </w:p>
        </w:tc>
      </w:tr>
      <w:tr>
        <w:tc>
          <w:tcPr>
            <w:tcW w:type="dxa" w:w="3168"/>
          </w:tcPr>
          <w:p>
            <w:r>
              <w:rPr>
                <w:sz w:val="20"/>
              </w:rPr>
              <w:t>Step_5_Screenshot_2.png</w:t>
            </w:r>
          </w:p>
        </w:tc>
        <w:tc>
          <w:tcPr>
            <w:tcW w:type="dxa" w:w="6336"/>
          </w:tcPr>
          <w:p>
            <w:r>
              <w:rPr>
                <w:sz w:val="20"/>
              </w:rPr>
              <w:t>Alert rule condition (Failed pipeline runs &gt; 0)</w:t>
            </w:r>
          </w:p>
        </w:tc>
      </w:tr>
      <w:tr>
        <w:tc>
          <w:tcPr>
            <w:tcW w:type="dxa" w:w="3168"/>
          </w:tcPr>
          <w:p>
            <w:r>
              <w:rPr>
                <w:sz w:val="20"/>
              </w:rPr>
              <w:t>Step_5_Screenshot_3.png</w:t>
            </w:r>
          </w:p>
        </w:tc>
        <w:tc>
          <w:tcPr>
            <w:tcW w:type="dxa" w:w="6336"/>
          </w:tcPr>
          <w:p>
            <w:r>
              <w:rPr>
                <w:sz w:val="20"/>
              </w:rPr>
              <w:t>Action group ag_healthcare with email</w:t>
            </w:r>
          </w:p>
        </w:tc>
      </w:tr>
      <w:tr>
        <w:tc>
          <w:tcPr>
            <w:tcW w:type="dxa" w:w="3168"/>
          </w:tcPr>
          <w:p>
            <w:r>
              <w:rPr>
                <w:sz w:val="20"/>
              </w:rPr>
              <w:t>Step_5_Screenshot_4.png</w:t>
            </w:r>
          </w:p>
        </w:tc>
        <w:tc>
          <w:tcPr>
            <w:tcW w:type="dxa" w:w="6336"/>
          </w:tcPr>
          <w:p>
            <w:r>
              <w:rPr>
                <w:sz w:val="20"/>
              </w:rPr>
              <w:t>alert_pipeline_failed enabled</w:t>
            </w:r>
          </w:p>
        </w:tc>
      </w:tr>
      <w:tr>
        <w:tc>
          <w:tcPr>
            <w:tcW w:type="dxa" w:w="3168"/>
          </w:tcPr>
          <w:p>
            <w:r>
              <w:rPr>
                <w:sz w:val="20"/>
              </w:rPr>
              <w:t>Step_5_Screenshot_5.png</w:t>
            </w:r>
          </w:p>
        </w:tc>
        <w:tc>
          <w:tcPr>
            <w:tcW w:type="dxa" w:w="6336"/>
          </w:tcPr>
          <w:p>
            <w:r>
              <w:rPr>
                <w:sz w:val="20"/>
              </w:rPr>
              <w:t>Parameterized pl_master (batch id passed between pipelines) Succeeded, 25 Oct 2026</w:t>
            </w:r>
          </w:p>
        </w:tc>
      </w:tr>
    </w:tbl>
    <w:p/>
    <w:p>
      <w:r>
        <w:drawing>
          <wp:inline xmlns:a="http://schemas.openxmlformats.org/drawingml/2006/main" xmlns:pic="http://schemas.openxmlformats.org/drawingml/2006/picture">
            <wp:extent cx="5669280" cy="3211100"/>
            <wp:docPr id="1" name="Picture 1"/>
            <wp:cNvGraphicFramePr>
              <a:graphicFrameLocks noChangeAspect="1"/>
            </wp:cNvGraphicFramePr>
            <a:graphic>
              <a:graphicData uri="http://schemas.openxmlformats.org/drawingml/2006/picture">
                <pic:pic>
                  <pic:nvPicPr>
                    <pic:cNvPr id="0" name="Step_5_Screenshot_1.png"/>
                    <pic:cNvPicPr/>
                  </pic:nvPicPr>
                  <pic:blipFill>
                    <a:blip r:embed="rId9"/>
                    <a:stretch>
                      <a:fillRect/>
                    </a:stretch>
                  </pic:blipFill>
                  <pic:spPr>
                    <a:xfrm>
                      <a:off x="0" y="0"/>
                      <a:ext cx="5669280" cy="3211100"/>
                    </a:xfrm>
                    <a:prstGeom prst="rect"/>
                  </pic:spPr>
                </pic:pic>
              </a:graphicData>
            </a:graphic>
          </wp:inline>
        </w:drawing>
      </w:r>
    </w:p>
    <w:p>
      <w:r>
        <w:rPr>
          <w:i/>
          <w:sz w:val="18"/>
        </w:rPr>
        <w:t>Step_5_Screenshot_1.png: pl_master: run_ingest, run_staging, run_load_sql all Succeeded</w:t>
      </w:r>
    </w:p>
    <w:p>
      <w:r>
        <w:drawing>
          <wp:inline xmlns:a="http://schemas.openxmlformats.org/drawingml/2006/main" xmlns:pic="http://schemas.openxmlformats.org/drawingml/2006/picture">
            <wp:extent cx="5669280" cy="3252145"/>
            <wp:docPr id="2" name="Picture 2"/>
            <wp:cNvGraphicFramePr>
              <a:graphicFrameLocks noChangeAspect="1"/>
            </wp:cNvGraphicFramePr>
            <a:graphic>
              <a:graphicData uri="http://schemas.openxmlformats.org/drawingml/2006/picture">
                <pic:pic>
                  <pic:nvPicPr>
                    <pic:cNvPr id="0" name="Step_5_Screenshot_2.png"/>
                    <pic:cNvPicPr/>
                  </pic:nvPicPr>
                  <pic:blipFill>
                    <a:blip r:embed="rId10"/>
                    <a:stretch>
                      <a:fillRect/>
                    </a:stretch>
                  </pic:blipFill>
                  <pic:spPr>
                    <a:xfrm>
                      <a:off x="0" y="0"/>
                      <a:ext cx="5669280" cy="3252145"/>
                    </a:xfrm>
                    <a:prstGeom prst="rect"/>
                  </pic:spPr>
                </pic:pic>
              </a:graphicData>
            </a:graphic>
          </wp:inline>
        </w:drawing>
      </w:r>
    </w:p>
    <w:p>
      <w:r>
        <w:rPr>
          <w:i/>
          <w:sz w:val="18"/>
        </w:rPr>
        <w:t>Step_5_Screenshot_2.png: Alert rule condition (Failed pipeline runs &gt; 0)</w:t>
      </w:r>
    </w:p>
    <w:p>
      <w:r>
        <w:drawing>
          <wp:inline xmlns:a="http://schemas.openxmlformats.org/drawingml/2006/main" xmlns:pic="http://schemas.openxmlformats.org/drawingml/2006/picture">
            <wp:extent cx="5669280" cy="3099404"/>
            <wp:docPr id="3" name="Picture 3"/>
            <wp:cNvGraphicFramePr>
              <a:graphicFrameLocks noChangeAspect="1"/>
            </wp:cNvGraphicFramePr>
            <a:graphic>
              <a:graphicData uri="http://schemas.openxmlformats.org/drawingml/2006/picture">
                <pic:pic>
                  <pic:nvPicPr>
                    <pic:cNvPr id="0" name="Step_5_Screenshot_3.png"/>
                    <pic:cNvPicPr/>
                  </pic:nvPicPr>
                  <pic:blipFill>
                    <a:blip r:embed="rId11"/>
                    <a:stretch>
                      <a:fillRect/>
                    </a:stretch>
                  </pic:blipFill>
                  <pic:spPr>
                    <a:xfrm>
                      <a:off x="0" y="0"/>
                      <a:ext cx="5669280" cy="3099404"/>
                    </a:xfrm>
                    <a:prstGeom prst="rect"/>
                  </pic:spPr>
                </pic:pic>
              </a:graphicData>
            </a:graphic>
          </wp:inline>
        </w:drawing>
      </w:r>
    </w:p>
    <w:p>
      <w:r>
        <w:rPr>
          <w:i/>
          <w:sz w:val="18"/>
        </w:rPr>
        <w:t>Step_5_Screenshot_3.png: Action group ag_healthcare with email</w:t>
      </w:r>
    </w:p>
    <w:p>
      <w:r>
        <w:drawing>
          <wp:inline xmlns:a="http://schemas.openxmlformats.org/drawingml/2006/main" xmlns:pic="http://schemas.openxmlformats.org/drawingml/2006/picture">
            <wp:extent cx="5669280" cy="3095360"/>
            <wp:docPr id="4" name="Picture 4"/>
            <wp:cNvGraphicFramePr>
              <a:graphicFrameLocks noChangeAspect="1"/>
            </wp:cNvGraphicFramePr>
            <a:graphic>
              <a:graphicData uri="http://schemas.openxmlformats.org/drawingml/2006/picture">
                <pic:pic>
                  <pic:nvPicPr>
                    <pic:cNvPr id="0" name="Step_5_Screenshot_4.png"/>
                    <pic:cNvPicPr/>
                  </pic:nvPicPr>
                  <pic:blipFill>
                    <a:blip r:embed="rId12"/>
                    <a:stretch>
                      <a:fillRect/>
                    </a:stretch>
                  </pic:blipFill>
                  <pic:spPr>
                    <a:xfrm>
                      <a:off x="0" y="0"/>
                      <a:ext cx="5669280" cy="3095360"/>
                    </a:xfrm>
                    <a:prstGeom prst="rect"/>
                  </pic:spPr>
                </pic:pic>
              </a:graphicData>
            </a:graphic>
          </wp:inline>
        </w:drawing>
      </w:r>
    </w:p>
    <w:p>
      <w:r>
        <w:rPr>
          <w:i/>
          <w:sz w:val="18"/>
        </w:rPr>
        <w:t>Step_5_Screenshot_4.png: alert_pipeline_failed enabled</w:t>
      </w:r>
    </w:p>
    <w:p>
      <w:r>
        <w:drawing>
          <wp:inline xmlns:a="http://schemas.openxmlformats.org/drawingml/2006/main" xmlns:pic="http://schemas.openxmlformats.org/drawingml/2006/picture">
            <wp:extent cx="5669280" cy="2580991"/>
            <wp:docPr id="5" name="Picture 5"/>
            <wp:cNvGraphicFramePr>
              <a:graphicFrameLocks noChangeAspect="1"/>
            </wp:cNvGraphicFramePr>
            <a:graphic>
              <a:graphicData uri="http://schemas.openxmlformats.org/drawingml/2006/picture">
                <pic:pic>
                  <pic:nvPicPr>
                    <pic:cNvPr id="0" name="Step_5_Screenshot_5.png"/>
                    <pic:cNvPicPr/>
                  </pic:nvPicPr>
                  <pic:blipFill>
                    <a:blip r:embed="rId13"/>
                    <a:stretch>
                      <a:fillRect/>
                    </a:stretch>
                  </pic:blipFill>
                  <pic:spPr>
                    <a:xfrm>
                      <a:off x="0" y="0"/>
                      <a:ext cx="5669280" cy="2580991"/>
                    </a:xfrm>
                    <a:prstGeom prst="rect"/>
                  </pic:spPr>
                </pic:pic>
              </a:graphicData>
            </a:graphic>
          </wp:inline>
        </w:drawing>
      </w:r>
    </w:p>
    <w:p>
      <w:r>
        <w:rPr>
          <w:i/>
          <w:sz w:val="18"/>
        </w:rPr>
        <w:t>Step_5_Screenshot_5.png: Parameterized pl_master (batch id passed between pipelines) Succeeded, 25 Oct 2026</w:t>
      </w:r>
    </w:p>
    <w:sectPr w:rsidR="00FC693F" w:rsidRPr="0006063C" w:rsidSect="00034616">
      <w:pgSz w:w="12240" w:h="15840"/>
      <w:pgMar w:top="1440" w:right="1296" w:bottom="144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