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360"/>
              <w:left w:type="dxa" w:w="360"/>
              <w:bottom w:type="dxa" w:w="200"/>
              <w:right w:type="dxa" w:w="360"/>
            </w:tcMar>
          </w:tcPr>
          <w:p>
            <w:pPr>
              <w:spacing w:before="0" w:after="60"/>
            </w:pPr>
            <w:r>
              <w:rPr>
                <w:rFonts w:ascii="Arial" w:cs="Arial" w:eastAsia="Arial" w:hAnsi="Arial"/>
                <w:b w:val="false"/>
                <w:bCs w:val="false"/>
                <w:color w:val="B8D0F0"/>
                <w:sz w:val="20"/>
                <w:szCs w:val="20"/>
              </w:rPr>
              <w:t xml:space="preserve">MIE1624  |  Canada AI Competitiveness Project</w:t>
            </w:r>
          </w:p>
          <w:p>
            <w:pPr>
              <w:spacing w:before="0" w:after="100"/>
            </w:pPr>
            <w:r>
              <w:rPr>
                <w:rFonts w:ascii="Arial" w:cs="Arial" w:eastAsia="Arial" w:hAnsi="Arial"/>
                <w:b/>
                <w:bCs/>
                <w:color w:val="FFFFFF"/>
                <w:sz w:val="44"/>
                <w:szCs w:val="44"/>
              </w:rPr>
              <w:t xml:space="preserve">Expected Results, Strategic Impact &amp; Conclusion</w:t>
            </w:r>
          </w:p>
          <w:p>
            <w:pPr>
              <w:spacing w:before="0" w:after="0"/>
            </w:pPr>
            <w:r>
              <w:rPr>
                <w:rFonts w:ascii="Arial" w:cs="Arial" w:eastAsia="Arial" w:hAnsi="Arial"/>
                <w:color w:val="B8D0F0"/>
                <w:sz w:val="20"/>
                <w:szCs w:val="20"/>
              </w:rPr>
              <w:t xml:space="preserve">Final Report  —  Section 4 of 4  |  University of Toronto, Winter 2026</w:t>
            </w:r>
          </w:p>
        </w:tc>
      </w:tr>
    </w:tbl>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D9F" w:val="clear"/>
            <w:tcMar>
              <w:top w:type="dxa" w:w="140"/>
              <w:left w:type="dxa" w:w="240"/>
              <w:bottom w:type="dxa" w:w="140"/>
              <w:right w:type="dxa" w:w="240"/>
            </w:tcMar>
          </w:tcPr>
          <w:p>
            <w:pPr>
              <w:spacing w:before="0" w:after="0"/>
            </w:pPr>
            <w:r>
              <w:rPr>
                <w:rFonts w:ascii="Arial" w:cs="Arial" w:eastAsia="Arial" w:hAnsi="Arial"/>
                <w:b/>
                <w:bCs/>
                <w:color w:val="FFFFFF"/>
                <w:sz w:val="34"/>
                <w:szCs w:val="34"/>
              </w:rPr>
              <w:t xml:space="preserve">5.  Expected Results and Strategic Impact</w:t>
            </w:r>
          </w:p>
        </w:tc>
      </w:tr>
    </w:tbl>
    <w:p>
      <w:pPr>
        <w:spacing w:before="180" w:after="0"/>
      </w:pPr>
    </w:p>
    <w:p>
      <w:pPr>
        <w:pStyle w:val="Heading3"/>
        <w:spacing w:before="200" w:after="80"/>
      </w:pPr>
      <w:r>
        <w:rPr>
          <w:rFonts w:ascii="Arial" w:cs="Arial" w:eastAsia="Arial" w:hAnsi="Arial"/>
          <w:b/>
          <w:bCs/>
          <w:color w:val="1F3864"/>
          <w:sz w:val="26"/>
          <w:szCs w:val="26"/>
        </w:rPr>
        <w:t xml:space="preserve">5.1  Canada’s Baseline Position and the Cost of Inaction</w:t>
      </w:r>
    </w:p>
    <w:p>
      <w:pPr>
        <w:pBdr>
          <w:bottom w:val="single" w:color="2E5D9F" w:sz="8" w:space="1"/>
        </w:pBdr>
        <w:spacing w:before="160" w:after="0"/>
      </w:pPr>
    </w:p>
    <w:p>
      <w:pPr>
        <w:spacing w:before="80" w:after="0"/>
      </w:pPr>
    </w:p>
    <w:p>
      <w:pPr>
        <w:spacing w:before="80" w:after="140" w:line="280" w:lineRule="auto"/>
        <w:jc w:val="both"/>
      </w:pPr>
      <w:r>
        <w:rPr>
          <w:rFonts w:ascii="Arial" w:cs="Arial" w:eastAsia="Arial" w:hAnsi="Arial"/>
          <w:b w:val="false"/>
          <w:bCs w:val="false"/>
          <w:color w:val="404040"/>
          <w:sz w:val="22"/>
          <w:szCs w:val="22"/>
        </w:rPr>
        <w:t xml:space="preserve">Canada enters the projection horizon ranked 5th globally, with a composite AI competitiveness score of 32.86 out of 100. This position is closer to 4th-ranked Singapore (33.04) than the gap appears: a margin of less than one composite point separates the two countries at baseline. Yet that narrow advantage is fragile. The modelled baseline trajectory — reflecting competitive drift from peer nations improving their own positions, absent any new Canadian policy action — shows Canada falling to 6th place by mid-2027 and remaining there through the end of the projection horizon in 2029.</w:t>
      </w:r>
    </w:p>
    <w:p>
      <w:pPr>
        <w:spacing w:before="80" w:after="140" w:line="280" w:lineRule="auto"/>
        <w:jc w:val="both"/>
      </w:pPr>
      <w:r>
        <w:rPr>
          <w:rFonts w:ascii="Arial" w:cs="Arial" w:eastAsia="Arial" w:hAnsi="Arial"/>
          <w:b w:val="false"/>
          <w:bCs w:val="false"/>
          <w:color w:val="404040"/>
          <w:sz w:val="22"/>
          <w:szCs w:val="22"/>
        </w:rPr>
        <w:t xml:space="preserve">The underlying driver of that drift is structural, not accidental. Canada’s Government Strategy score is already at its maximum (100.0), and its Operating Environment score (93.94) is among the strongest of any country in the ranking. These are genuine strengths. But they represent the policy architecture, not the outcomes that architecture is supposed to produce. Canada’s commercial ecosystem score stands at 14.88, its AI Investment Activity at 3.16, and its domestic AI Adoption rate at 8.0 — all far below peer-cluster comparators. Talent scores, while higher in aggregate, show persistent gaps in job postings, concentration, and net migration flows. The gap is not strategic intent: it is the conversion of intent into retained talent, scaled firms, and domestic market traction.</w:t>
      </w:r>
    </w:p>
    <w:p>
      <w:pPr>
        <w:spacing w:before="100" w:after="0"/>
      </w:pPr>
    </w:p>
    <w:p>
      <w:pPr>
        <w:spacing w:before="40" w:after="160"/>
        <w:jc w:val="center"/>
      </w:pPr>
      <w:r>
        <w:rPr>
          <w:rFonts w:ascii="Arial" w:cs="Arial" w:eastAsia="Arial" w:hAnsi="Arial"/>
          <w:color w:val="666666"/>
          <w:sz w:val="18"/>
          <w:szCs w:val="18"/>
        </w:rPr>
        <w:t xml:space="preserve">[Figure 1: Canada Rank Trajectory — Baseline vs. All Scenarios, 2026–2029]</w:t>
      </w:r>
    </w:p>
    <w:p>
      <w:pPr>
        <w:spacing w:before="80" w:after="0"/>
      </w:pPr>
    </w:p>
    <w:p>
      <w:pPr>
        <w:pStyle w:val="Heading3"/>
        <w:spacing w:before="200" w:after="80"/>
      </w:pPr>
      <w:r>
        <w:rPr>
          <w:rFonts w:ascii="Arial" w:cs="Arial" w:eastAsia="Arial" w:hAnsi="Arial"/>
          <w:b/>
          <w:bCs/>
          <w:color w:val="1F3864"/>
          <w:sz w:val="26"/>
          <w:szCs w:val="26"/>
        </w:rPr>
        <w:t xml:space="preserve">5.2  What the Recommendations Are Expected to Achieve</w:t>
      </w:r>
    </w:p>
    <w:p>
      <w:pPr>
        <w:pBdr>
          <w:bottom w:val="single" w:color="2E5D9F" w:sz="8" w:space="1"/>
        </w:pBdr>
        <w:spacing w:before="160" w:after="0"/>
      </w:pPr>
    </w:p>
    <w:p>
      <w:pPr>
        <w:spacing w:before="80" w:after="0"/>
      </w:pPr>
    </w:p>
    <w:p>
      <w:pPr>
        <w:spacing w:before="80" w:after="100" w:line="280" w:lineRule="auto"/>
        <w:jc w:val="both"/>
      </w:pPr>
      <w:r>
        <w:rPr>
          <w:rFonts w:ascii="Arial" w:cs="Arial" w:eastAsia="Arial" w:hAnsi="Arial"/>
          <w:b w:val="false"/>
          <w:bCs w:val="false"/>
          <w:color w:val="404040"/>
          <w:sz w:val="22"/>
          <w:szCs w:val="22"/>
        </w:rPr>
        <w:t xml:space="preserve">The three recommendations are modelled both as stand-alone counterfactuals and as a combined package. The following results reflect a quarterly simulation over 16 quarters (2026 Q1 through 2029 Q4), with the central projection representing the median outcome across Monte Carlo iterations. All gaps are benchmarked against Canada’s natural peer cluster (the United Kingdom, Germany, France, and Spain) as the headline comparator, with global-best figures included where the peer cluster itself is structurally weak.</w:t>
      </w:r>
    </w:p>
    <w:p>
      <w:pPr>
        <w:spacing w:before="80" w:after="80" w:line="280" w:lineRule="auto"/>
        <w:jc w:val="both"/>
      </w:pPr>
      <w:r>
        <w:rPr>
          <w:rFonts w:ascii="Arial" w:cs="Arial" w:eastAsia="Arial" w:hAnsi="Arial"/>
          <w:b w:val="false"/>
          <w:bCs w:val="false"/>
          <w:color w:val="404040"/>
          <w:sz w:val="22"/>
          <w:szCs w:val="22"/>
        </w:rPr>
        <w:t xml:space="preserve">Stand-alone scenario results by 2029 Q4 are as follows: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130"/>
        <w:gridCol w:w="273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End Score</w:t>
            </w:r>
          </w:p>
        </w:tc>
        <w:tc>
          <w:tcPr>
            <w:tcW w:type="dxa" w:w="21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End Rank</w:t>
            </w:r>
          </w:p>
        </w:tc>
        <w:tc>
          <w:tcPr>
            <w:tcW w:type="dxa" w:w="27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Composite Gain vs. Baseline</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404040"/>
                <w:sz w:val="20"/>
                <w:szCs w:val="20"/>
              </w:rPr>
              <w:t xml:space="preserve">Baseline (no new policy)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32.86</w:t>
            </w:r>
          </w:p>
        </w:tc>
        <w:tc>
          <w:tcPr>
            <w:tcW w:type="dxa" w:w="2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6th</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404040"/>
                <w:sz w:val="20"/>
                <w:szCs w:val="20"/>
              </w:rPr>
              <w:t xml:space="preserve">Recommendation 1 only – Talent Moats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33.87</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5th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+1.01</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404040"/>
                <w:sz w:val="20"/>
                <w:szCs w:val="20"/>
              </w:rPr>
              <w:t xml:space="preserve">Recommendation 2 only – Scale Conditions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34.42</w:t>
            </w:r>
          </w:p>
        </w:tc>
        <w:tc>
          <w:tcPr>
            <w:tcW w:type="dxa" w:w="2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4th</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+1.55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404040"/>
                <w:sz w:val="20"/>
                <w:szCs w:val="20"/>
              </w:rPr>
              <w:t xml:space="preserve">Recommendation 3 only – B2B Demand Credits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34.36</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4th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+1.49</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left"/>
            </w:pPr>
            <w:r>
              <w:rPr>
                <w:rFonts w:ascii="Arial" w:cs="Arial" w:eastAsia="Arial" w:hAnsi="Arial"/>
                <w:b w:val="false"/>
                <w:bCs w:val="false"/>
                <w:color w:val="404040"/>
                <w:sz w:val="20"/>
                <w:szCs w:val="20"/>
              </w:rPr>
              <w:t xml:space="preserve">All Three Recommendations Combined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36.93</w:t>
            </w:r>
          </w:p>
        </w:tc>
        <w:tc>
          <w:tcPr>
            <w:tcW w:type="dxa" w:w="2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4th</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jc w:val="center"/>
            </w:pPr>
            <w:r>
              <w:rPr>
                <w:rFonts w:ascii="Arial" w:cs="Arial" w:eastAsia="Arial" w:hAnsi="Arial"/>
                <w:b w:val="false"/>
                <w:bCs w:val="false"/>
                <w:color w:val="404040"/>
                <w:sz w:val="20"/>
                <w:szCs w:val="20"/>
              </w:rPr>
              <w:t xml:space="preserve">+4.07</w:t>
            </w:r>
          </w:p>
        </w:tc>
      </w:tr>
    </w:tbl>
    <w:p>
      <w:pPr>
        <w:spacing w:before="60" w:after="0"/>
      </w:pPr>
    </w:p>
    <w:p>
      <w:pPr>
        <w:spacing w:before="40" w:after="160"/>
        <w:jc w:val="center"/>
      </w:pPr>
      <w:r>
        <w:rPr>
          <w:rFonts w:ascii="Arial" w:cs="Arial" w:eastAsia="Arial" w:hAnsi="Arial"/>
          <w:color w:val="666666"/>
          <w:sz w:val="18"/>
          <w:szCs w:val="18"/>
        </w:rPr>
        <w:t xml:space="preserve">[Table 1: Scenario Comparison — Canada Composite Score and Rank, End of Horizon (2029 Q4)]</w:t>
      </w:r>
    </w:p>
    <w:p>
      <w:pPr>
        <w:spacing w:before="120" w:after="0"/>
      </w:pPr>
    </w:p>
    <w:p>
      <w:pPr>
        <w:spacing w:before="80" w:after="140" w:line="280" w:lineRule="auto"/>
        <w:jc w:val="both"/>
      </w:pPr>
      <w:r>
        <w:rPr>
          <w:rFonts w:ascii="Arial" w:cs="Arial" w:eastAsia="Arial" w:hAnsi="Arial"/>
          <w:b w:val="false"/>
          <w:bCs w:val="false"/>
          <w:color w:val="404040"/>
          <w:sz w:val="22"/>
          <w:szCs w:val="22"/>
        </w:rPr>
        <w:t xml:space="preserve">Each recommendation moves Canada’s position, but at different speeds and through different channels. The most significant finding, however, is in the combined scenario: the package delivers a composite gain of approximately 4.07 points — a result that is materially larger than any individual recommendation and reflects meaningful complementarity across the three levers.</w:t>
      </w:r>
    </w:p>
    <w:p>
      <w:pPr>
        <w:spacing w:before="80" w:after="140" w:line="280" w:lineRule="auto"/>
        <w:jc w:val="both"/>
      </w:pPr>
      <w:r>
        <w:rPr>
          <w:rFonts w:ascii="Arial" w:cs="Arial" w:eastAsia="Arial" w:hAnsi="Arial"/>
          <w:b w:val="false"/>
          <w:bCs w:val="false"/>
          <w:color w:val="404040"/>
          <w:sz w:val="22"/>
          <w:szCs w:val="22"/>
        </w:rPr>
        <w:t xml:space="preserve">Critically, the combined scenario locks in a 4th-place ranking by the end of 2027 Q4 — approximately 18 months into the implementation horizon. In the stand-alone scenarios, Recommendations 2 and 3 each reach 4th place, but not until mid-to-late 2028. Recommendation 1 alone does not reach 4th place within the modelled period, though it successfully prevents the baseline deterioration to 6th. The sequencing matters: Recommendation 1 creates the talent conditions; Recommendations 2 and 3 activate the commercial and demand channels that convert that talent into outcomes. Together, the package accelerates the competitiveness trajectory by approximately two to three quarters compared to the best single-recommendation path.</w:t>
      </w:r>
    </w:p>
    <w:p>
      <w:pPr>
        <w:spacing w:before="100" w:after="0"/>
      </w:pPr>
    </w:p>
    <w:p>
      <w:pPr>
        <w:spacing w:before="40" w:after="160"/>
        <w:jc w:val="center"/>
      </w:pPr>
      <w:r>
        <w:rPr>
          <w:rFonts w:ascii="Arial" w:cs="Arial" w:eastAsia="Arial" w:hAnsi="Arial"/>
          <w:color w:val="666666"/>
          <w:sz w:val="18"/>
          <w:szCs w:val="18"/>
        </w:rPr>
        <w:t xml:space="preserve">[Figure 2: Canada Composite Score Trajectory — Quarterly Path by Scenario]</w:t>
      </w:r>
    </w:p>
    <w:p>
      <w:pPr>
        <w:spacing w:before="80" w:after="0"/>
      </w:pPr>
    </w:p>
    <w:p>
      <w:pPr>
        <w:pStyle w:val="Heading3"/>
        <w:spacing w:before="200" w:after="80"/>
      </w:pPr>
      <w:r>
        <w:rPr>
          <w:rFonts w:ascii="Arial" w:cs="Arial" w:eastAsia="Arial" w:hAnsi="Arial"/>
          <w:b/>
          <w:bCs/>
          <w:color w:val="1F3864"/>
          <w:sz w:val="26"/>
          <w:szCs w:val="26"/>
        </w:rPr>
        <w:t xml:space="preserve">5.3  KPI-Level Impact: What Changes, and Where</w:t>
      </w:r>
    </w:p>
    <w:p>
      <w:pPr>
        <w:pBdr>
          <w:bottom w:val="single" w:color="2E5D9F" w:sz="8" w:space="1"/>
        </w:pBdr>
        <w:spacing w:before="160" w:after="0"/>
      </w:pPr>
    </w:p>
    <w:p>
      <w:pPr>
        <w:spacing w:before="80" w:after="0"/>
      </w:pPr>
    </w:p>
    <w:p>
      <w:pPr>
        <w:spacing w:before="80" w:after="120" w:line="280" w:lineRule="auto"/>
        <w:jc w:val="both"/>
      </w:pPr>
      <w:r>
        <w:rPr>
          <w:rFonts w:ascii="Arial" w:cs="Arial" w:eastAsia="Arial" w:hAnsi="Arial"/>
          <w:b w:val="false"/>
          <w:bCs w:val="false"/>
          <w:color w:val="404040"/>
          <w:sz w:val="22"/>
          <w:szCs w:val="22"/>
        </w:rPr>
        <w:t xml:space="preserve">The recommendations address different, though overlapping, KPI groups. Understanding which levers move which indicators is important both for tracking implementation success and for interpreting the limits of any single policy path.</w:t>
      </w:r>
    </w:p>
    <w:p>
      <w:pPr>
        <w:spacing w:before="80" w:after="120" w:line="280" w:lineRule="auto"/>
        <w:jc w:val="both"/>
      </w:pPr>
      <w:r>
        <w:rPr>
          <w:rFonts w:ascii="Arial" w:cs="Arial" w:eastAsia="Arial" w:hAnsi="Arial"/>
          <w:b/>
          <w:bCs/>
          <w:color w:val="404040"/>
          <w:sz w:val="22"/>
          <w:szCs w:val="22"/>
        </w:rPr>
        <w:t xml:space="preserve">Recommendation 1 — Build Career Moats for Talent</w:t>
      </w:r>
      <w:r>
        <w:rPr>
          <w:rFonts w:ascii="Arial" w:cs="Arial" w:eastAsia="Arial" w:hAnsi="Arial"/>
          <w:b w:val="false"/>
          <w:bCs w:val="false"/>
          <w:color w:val="404040"/>
          <w:sz w:val="22"/>
          <w:szCs w:val="22"/>
        </w:rPr>
        <w:t xml:space="preserve">  targets Canada’s talent retention and attraction KPIs most directly. In a stand-alone scenario by end of horizon, Canada’s Tortoise Talent Score improves by approximately 4.66 points, closing more than 55% of the gap between Canada’s baseline and the peer-best (UK). AI Hiring Rate improves by approximately 3.73 points (a ~14% gap closure versus global best), and Net Migration Flow of AI Skills gains roughly 3.57 points. Job Postings as a share of total employment also improves by approximately 2.76 points. The recommendation produces modest downstream improvements in the Commercial Ecosystem score (+0.83 points) as retained talent supports early-stage commercialization activity, but these are second-order effects that mature over time. What this recommendation primarily achieves is preventing the talent-drain dynamic from compounding: without it, Canada’s talent profile erodes as peer nations accelerate their own retention and attraction programmes.</w:t>
      </w:r>
    </w:p>
    <w:p>
      <w:pPr>
        <w:spacing w:before="80" w:after="120" w:line="280" w:lineRule="auto"/>
        <w:jc w:val="both"/>
      </w:pPr>
      <w:r>
        <w:rPr>
          <w:rFonts w:ascii="Arial" w:cs="Arial" w:eastAsia="Arial" w:hAnsi="Arial"/>
          <w:b/>
          <w:bCs/>
          <w:color w:val="404040"/>
          <w:sz w:val="22"/>
          <w:szCs w:val="22"/>
        </w:rPr>
        <w:t xml:space="preserve">Recommendation 2 — Build the Conditions to Scale AI in Canada</w:t>
      </w:r>
      <w:r>
        <w:rPr>
          <w:rFonts w:ascii="Arial" w:cs="Arial" w:eastAsia="Arial" w:hAnsi="Arial"/>
          <w:b w:val="false"/>
          <w:bCs w:val="false"/>
          <w:color w:val="404040"/>
          <w:sz w:val="22"/>
          <w:szCs w:val="22"/>
        </w:rPr>
        <w:t xml:space="preserve">  has its strongest impact on the commercial ecosystem and investment KPIs. In the stand-alone scenario, the Tortoise Commercial Score improves by approximately 8.50 points — closing the full peer-cluster gap (100% closure versus the UK peer benchmark). AI Investment Activity improves by approximately 6.17 points (100% peer-gap closure), and AI Adoption rises by approximately 2.12 points. These are the largest absolute KPI movements of any individual recommendation. Development score also improves modestly (+0.63 points) as scale-up vehicles begin generating commercial applications and early IP. The recommendation also moves Net Migration Flow indirectly (+1.35 points), as a healthier commercial environment makes Canada a more attractive destination for international AI talent.</w:t>
      </w:r>
    </w:p>
    <w:p>
      <w:pPr>
        <w:spacing w:before="80" w:after="140" w:line="280" w:lineRule="auto"/>
        <w:jc w:val="both"/>
      </w:pPr>
      <w:r>
        <w:rPr>
          <w:rFonts w:ascii="Arial" w:cs="Arial" w:eastAsia="Arial" w:hAnsi="Arial"/>
          <w:b/>
          <w:bCs/>
          <w:color w:val="404040"/>
          <w:sz w:val="22"/>
          <w:szCs w:val="22"/>
        </w:rPr>
        <w:t xml:space="preserve">Recommendation 3 — Stimulate B2B Demand via Adoption Credits</w:t>
      </w:r>
      <w:r>
        <w:rPr>
          <w:rFonts w:ascii="Arial" w:cs="Arial" w:eastAsia="Arial" w:hAnsi="Arial"/>
          <w:b w:val="false"/>
          <w:bCs w:val="false"/>
          <w:color w:val="404040"/>
          <w:sz w:val="22"/>
          <w:szCs w:val="22"/>
        </w:rPr>
        <w:t xml:space="preserve">  has the strongest impact on AI Adoption, with an improvement of approximately 5.72 points in the stand-alone scenario (closing nearly 48% of the peer-cluster gap). The Tortoise Commercial Score improves by approximately 7.63 points (full peer-gap closure), and AI Investment Activity gains approximately 4.88 points. The recommendation also produces the largest modelled improvement in AI Patent Grants (+0.63 points versus global best), as first-customer adoption mandates with IP eligibility rules begin incentivizing domestic productization. Job Postings improve by approximately 2.75 points, and net migration flows gain modestly as commercial traction signals draw skilled workers toward a credibly growing market.</w:t>
      </w:r>
    </w:p>
    <w:p>
      <w:pPr>
        <w:spacing w:before="80" w:after="140" w:line="280" w:lineRule="auto"/>
        <w:jc w:val="both"/>
      </w:pPr>
      <w:r>
        <w:rPr>
          <w:rFonts w:ascii="Arial" w:cs="Arial" w:eastAsia="Arial" w:hAnsi="Arial"/>
          <w:b w:val="false"/>
          <w:bCs w:val="false"/>
          <w:color w:val="404040"/>
          <w:sz w:val="22"/>
          <w:szCs w:val="22"/>
        </w:rPr>
        <w:t xml:space="preserve">In the combined scenario, these effects compound. The most significant combined movements by end of horizon are: Tortoise Commercial Score +17.0 points (versus global best); AI Investment Activity +11.1 points; AI Job Postings +9.6 points; AI Adoption +7.8 points; and Net Migration Flow +6.2 points. Research and development scores improve modestly (+0.80 and +1.26 points respectively), reflecting the longer time horizons typically required for research pipeline changes to register in observable output metrics. Infrastructure scores remain unchanged, consistent with the scope of the three recommendations, which do not directly address compute hardware, semiconductor manufacturing, or internet speed at the federal investment level.</w:t>
      </w:r>
    </w:p>
    <w:p>
      <w:pPr>
        <w:spacing w:before="80" w:after="0"/>
      </w:pPr>
    </w:p>
    <w:p>
      <w:pPr>
        <w:spacing w:before="40" w:after="160"/>
        <w:jc w:val="center"/>
      </w:pPr>
      <w:r>
        <w:rPr>
          <w:rFonts w:ascii="Arial" w:cs="Arial" w:eastAsia="Arial" w:hAnsi="Arial"/>
          <w:color w:val="666666"/>
          <w:sz w:val="18"/>
          <w:szCs w:val="18"/>
        </w:rPr>
        <w:t xml:space="preserve">[Figure 3: KPI Gap Reduction by Recommendation — Combined and Stand-Alone, End of Horizon]</w:t>
      </w:r>
    </w:p>
    <w:p>
      <w:pPr>
        <w:spacing w:before="80" w:after="0"/>
      </w:pPr>
    </w:p>
    <w:p>
      <w:pPr>
        <w:spacing w:before="40" w:after="160"/>
        <w:jc w:val="center"/>
      </w:pPr>
      <w:r>
        <w:rPr>
          <w:rFonts w:ascii="Arial" w:cs="Arial" w:eastAsia="Arial" w:hAnsi="Arial"/>
          <w:color w:val="666666"/>
          <w:sz w:val="18"/>
          <w:szCs w:val="18"/>
        </w:rPr>
        <w:t xml:space="preserve">[Figure 4: Recommendation-to-KPI Heatmap — Strength of Modelled Impact by Pillar]</w:t>
      </w:r>
    </w:p>
    <w:p>
      <w:pPr>
        <w:spacing w:before="80" w:after="0"/>
      </w:pPr>
    </w:p>
    <w:p>
      <w:pPr>
        <w:pStyle w:val="Heading3"/>
        <w:spacing w:before="200" w:after="80"/>
      </w:pPr>
      <w:r>
        <w:rPr>
          <w:rFonts w:ascii="Arial" w:cs="Arial" w:eastAsia="Arial" w:hAnsi="Arial"/>
          <w:b/>
          <w:bCs/>
          <w:color w:val="1F3864"/>
          <w:sz w:val="26"/>
          <w:szCs w:val="26"/>
        </w:rPr>
        <w:t xml:space="preserve">5.4  Operational Success and Early Indicators</w:t>
      </w:r>
    </w:p>
    <w:p>
      <w:pPr>
        <w:pBdr>
          <w:bottom w:val="single" w:color="2E5D9F" w:sz="8" w:space="1"/>
        </w:pBdr>
        <w:spacing w:before="160" w:after="0"/>
      </w:pPr>
    </w:p>
    <w:p>
      <w:pPr>
        <w:spacing w:before="80" w:after="0"/>
      </w:pPr>
    </w:p>
    <w:p>
      <w:pPr>
        <w:spacing w:before="80" w:after="100" w:line="280" w:lineRule="auto"/>
        <w:jc w:val="both"/>
      </w:pPr>
      <w:r>
        <w:rPr>
          <w:rFonts w:ascii="Arial" w:cs="Arial" w:eastAsia="Arial" w:hAnsi="Arial"/>
          <w:b w:val="false"/>
          <w:bCs w:val="false"/>
          <w:color w:val="404040"/>
          <w:sz w:val="22"/>
          <w:szCs w:val="22"/>
        </w:rPr>
        <w:t xml:space="preserve">Operational success under this strategy should be evaluated against leading indicators that are observable before composite rank movements become visible. The following signal categories are most useful for monitoring whether implementation is on track.</w:t>
      </w:r>
    </w:p>
    <w:p>
      <w:pPr>
        <w:pStyle w:val="ListParagraph"/>
        <w:numPr>
          <w:ilvl w:val="0"/>
          <w:numId w:val="2"/>
        </w:numPr>
        <w:spacing w:before="40" w:after="80" w:line="280" w:lineRule="auto"/>
        <w:ind w:left="720" w:hanging="360"/>
      </w:pPr>
      <w:r>
        <w:rPr>
          <w:rFonts w:ascii="Arial" w:cs="Arial" w:eastAsia="Arial" w:hAnsi="Arial"/>
          <w:b w:val="false"/>
          <w:bCs w:val="false"/>
          <w:color w:val="404040"/>
          <w:sz w:val="22"/>
          <w:szCs w:val="22"/>
        </w:rPr>
        <w:t xml:space="preserve">Talent retention: Net migration flow of AI skills stabilizing or turning positive within four to six quarters of programme launch, as the equity tax exemption and fast-track visa stream begin processing applicants.</w:t>
      </w:r>
    </w:p>
    <w:p>
      <w:pPr>
        <w:pStyle w:val="ListParagraph"/>
        <w:numPr>
          <w:ilvl w:val="0"/>
          <w:numId w:val="2"/>
        </w:numPr>
        <w:spacing w:before="40" w:after="80" w:line="280" w:lineRule="auto"/>
        <w:ind w:left="720" w:hanging="360"/>
      </w:pPr>
      <w:r>
        <w:rPr>
          <w:rFonts w:ascii="Arial" w:cs="Arial" w:eastAsia="Arial" w:hAnsi="Arial"/>
          <w:b w:val="false"/>
          <w:bCs w:val="false"/>
          <w:color w:val="404040"/>
          <w:sz w:val="22"/>
          <w:szCs w:val="22"/>
        </w:rPr>
        <w:t xml:space="preserve">Labour market demand signals: AI Job Postings as a share of total employment rising within two to three quarters of Recommendation 1 activation, as employer incentives attract earlier-stage AI hiring.</w:t>
      </w:r>
    </w:p>
    <w:p>
      <w:pPr>
        <w:pStyle w:val="ListParagraph"/>
        <w:numPr>
          <w:ilvl w:val="0"/>
          <w:numId w:val="2"/>
        </w:numPr>
        <w:spacing w:before="40" w:after="80" w:line="280" w:lineRule="auto"/>
        <w:ind w:left="720" w:hanging="360"/>
      </w:pPr>
      <w:r>
        <w:rPr>
          <w:rFonts w:ascii="Arial" w:cs="Arial" w:eastAsia="Arial" w:hAnsi="Arial"/>
          <w:b w:val="false"/>
          <w:bCs w:val="false"/>
          <w:color w:val="404040"/>
          <w:sz w:val="22"/>
          <w:szCs w:val="22"/>
        </w:rPr>
        <w:t xml:space="preserve">Commercialization pipeline: Series B and later-stage funding rounds for Canadian-owned AI firms increasing within four to six quarters of Recommendation 2’s co-investment vehicles becoming operational, with federal procurement pilot-to-contract conversions serving as a non-market validation signal.</w:t>
      </w:r>
    </w:p>
    <w:p>
      <w:pPr>
        <w:pStyle w:val="ListParagraph"/>
        <w:numPr>
          <w:ilvl w:val="0"/>
          <w:numId w:val="2"/>
        </w:numPr>
        <w:spacing w:before="40" w:after="80" w:line="280" w:lineRule="auto"/>
        <w:ind w:left="720" w:hanging="360"/>
      </w:pPr>
      <w:r>
        <w:rPr>
          <w:rFonts w:ascii="Arial" w:cs="Arial" w:eastAsia="Arial" w:hAnsi="Arial"/>
          <w:b w:val="false"/>
          <w:bCs w:val="false"/>
          <w:color w:val="404040"/>
          <w:sz w:val="22"/>
          <w:szCs w:val="22"/>
        </w:rPr>
        <w:t xml:space="preserve">Adoption uptake: First-customer AI adoption tax credit claims rising within two to four quarters of Recommendation 3’s launch, with clawback enforcement being monitored as a signal of programme integrity.</w:t>
      </w:r>
    </w:p>
    <w:p>
      <w:pPr>
        <w:pStyle w:val="ListParagraph"/>
        <w:numPr>
          <w:ilvl w:val="0"/>
          <w:numId w:val="2"/>
        </w:numPr>
        <w:spacing w:before="40" w:after="80" w:line="280" w:lineRule="auto"/>
        <w:ind w:left="720" w:hanging="360"/>
      </w:pPr>
      <w:r>
        <w:rPr>
          <w:rFonts w:ascii="Arial" w:cs="Arial" w:eastAsia="Arial" w:hAnsi="Arial"/>
          <w:b w:val="false"/>
          <w:bCs w:val="false"/>
          <w:color w:val="404040"/>
          <w:sz w:val="22"/>
          <w:szCs w:val="22"/>
        </w:rPr>
        <w:t xml:space="preserve">Composite score movement: A meaningful increase in Canada’s composite score (approximately 1.0–1.5 points above baseline) should be observable by 2027 Q3–2027 Q4 if all three recommendations are progressing on schedule.</w:t>
      </w:r>
    </w:p>
    <w:p>
      <w:pPr>
        <w:spacing w:before="12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D9F" w:val="clear"/>
            <w:tcMar>
              <w:top w:type="dxa" w:w="140"/>
              <w:left w:type="dxa" w:w="240"/>
              <w:bottom w:type="dxa" w:w="140"/>
              <w:right w:type="dxa" w:w="240"/>
            </w:tcMar>
          </w:tcPr>
          <w:p>
            <w:pPr>
              <w:spacing w:before="0" w:after="0"/>
            </w:pPr>
            <w:r>
              <w:rPr>
                <w:rFonts w:ascii="Arial" w:cs="Arial" w:eastAsia="Arial" w:hAnsi="Arial"/>
                <w:b/>
                <w:bCs/>
                <w:color w:val="FFFFFF"/>
                <w:sz w:val="34"/>
                <w:szCs w:val="34"/>
              </w:rPr>
              <w:t xml:space="preserve">6.  Strategic Interpretation of Results</w:t>
            </w:r>
          </w:p>
        </w:tc>
      </w:tr>
    </w:tbl>
    <w:p>
      <w:pPr>
        <w:spacing w:before="180" w:after="0"/>
      </w:pPr>
    </w:p>
    <w:p>
      <w:pPr>
        <w:spacing w:before="80" w:after="140" w:line="280" w:lineRule="auto"/>
        <w:jc w:val="both"/>
      </w:pPr>
      <w:r>
        <w:rPr>
          <w:rFonts w:ascii="Arial" w:cs="Arial" w:eastAsia="Arial" w:hAnsi="Arial"/>
          <w:b w:val="false"/>
          <w:bCs w:val="false"/>
          <w:color w:val="404040"/>
          <w:sz w:val="22"/>
          <w:szCs w:val="22"/>
        </w:rPr>
        <w:t xml:space="preserve">The modelled results are best understood not as a forecast but as a structured assessment of what becomes possible if Canada acts, and what is likely to happen if it does not. The central projection represents a realistic, policy-informed trajectory under the median outcome of a Monte Carlo simulation. It is not a guarantee of outcomes, but it is a grounded basis for strategic decision-making.</w:t>
      </w:r>
    </w:p>
    <w:p>
      <w:pPr>
        <w:spacing w:before="80" w:after="140" w:line="280" w:lineRule="auto"/>
        <w:jc w:val="both"/>
      </w:pPr>
      <w:r>
        <w:rPr>
          <w:rFonts w:ascii="Arial" w:cs="Arial" w:eastAsia="Arial" w:hAnsi="Arial"/>
          <w:b w:val="false"/>
          <w:bCs w:val="false"/>
          <w:color w:val="404040"/>
          <w:sz w:val="22"/>
          <w:szCs w:val="22"/>
        </w:rPr>
        <w:t xml:space="preserve">The most important strategic insight from this analysis is directional: Canada’s competitiveness gap is not primarily a resource or infrastructure gap. It is a conversion gap. Canada holds a maxed Government Strategy score and a near-maxed Operating Environment score. Its research community produces internationally recognized work, and its academic-industry concentration is the strongest in the peer cluster. The problem is that this policy and research strength does not translate into retained talent, scaled commercial firms, or demonstrated domestic AI adoption at a rate commensurate with Canada’s position as a fifth-ranked economy in the global index.</w:t>
      </w:r>
    </w:p>
    <w:p>
      <w:pPr>
        <w:spacing w:before="80" w:after="140" w:line="280" w:lineRule="auto"/>
        <w:jc w:val="both"/>
      </w:pPr>
      <w:r>
        <w:rPr>
          <w:rFonts w:ascii="Arial" w:cs="Arial" w:eastAsia="Arial" w:hAnsi="Arial"/>
          <w:b w:val="false"/>
          <w:bCs w:val="false"/>
          <w:color w:val="404040"/>
          <w:sz w:val="22"/>
          <w:szCs w:val="22"/>
        </w:rPr>
        <w:t xml:space="preserve">The three recommendations are specifically calibrated to address that conversion failure, each targeting a different stage of the pipeline. Recommendation 1 addresses the exit problem: highly trained AI professionals are leaving or not arriving in sufficient numbers, because the financial and immigration incentives available in Canada remain less competitive than those in the United States and the United Kingdom. The Career Moats package — equity tax exemptions, salary-matching credits, and a dedicated elite AI visa stream — does not attempt to match the US on scale. It attempts to reduce the friction at the margin, where individual retention decisions are made. The modelled talent KPI improvements reflect this logic: the biggest gains are in net migration flow, job postings, and hiring rates — indicators that respond to near-term incentive structures, not long-run infrastructure.</w:t>
      </w:r>
    </w:p>
    <w:p>
      <w:pPr>
        <w:spacing w:before="80" w:after="140" w:line="280" w:lineRule="auto"/>
        <w:jc w:val="both"/>
      </w:pPr>
      <w:r>
        <w:rPr>
          <w:rFonts w:ascii="Arial" w:cs="Arial" w:eastAsia="Arial" w:hAnsi="Arial"/>
          <w:b w:val="false"/>
          <w:bCs w:val="false"/>
          <w:color w:val="404040"/>
          <w:sz w:val="22"/>
          <w:szCs w:val="22"/>
        </w:rPr>
        <w:t xml:space="preserve">Recommendation 2 addresses the scale problem: even where talent stays, Canada lacks the commercial vehicles to convert research credibility into scaled firms. Compute subsidies, growth-stage co-investment, and federal procurement pilots directly target the three most common failure points in the commercialization pipeline — access to compute, access to capital, and access to a first institutional customer. The modelled improvements in Commercial Score, Investment Activity, and Development Score are the most direct expression of that pipeline activation. Notably, Recommendation 2 produces the largest stand-alone composite gain after Recommendation 3, largely because the Commercial Ecosystem pillar carries significant weight in the model and because investment activity compounds over time.</w:t>
      </w:r>
    </w:p>
    <w:p>
      <w:pPr>
        <w:spacing w:before="80" w:after="140" w:line="280" w:lineRule="auto"/>
        <w:jc w:val="both"/>
      </w:pPr>
      <w:r>
        <w:rPr>
          <w:rFonts w:ascii="Arial" w:cs="Arial" w:eastAsia="Arial" w:hAnsi="Arial"/>
          <w:b w:val="false"/>
          <w:bCs w:val="false"/>
          <w:color w:val="404040"/>
          <w:sz w:val="22"/>
          <w:szCs w:val="22"/>
        </w:rPr>
        <w:t xml:space="preserve">Recommendation 3 addresses the demand problem: without a credible domestic market for AI products, neither talent retention nor firm scaling reaches its potential. A 30-to-40% refundable first-customer adoption tax credit, paired with IP eligibility rules and pilot-to-contract conversion mandates, creates the demand signal that makes the other two recommendations viable in the medium term. The modelled adoption improvements are the most rapidly observable in the simulation — reflecting the near-term responsiveness of enterprise purchase decisions to financial incentives — and the commercial ecosystem improvements under Recommendation 3 reflect how domestic demand translates into investment activity and, eventually, patent filings.</w:t>
      </w:r>
    </w:p>
    <w:p>
      <w:pPr>
        <w:spacing w:before="80" w:after="140" w:line="280" w:lineRule="auto"/>
        <w:jc w:val="both"/>
      </w:pPr>
      <w:r>
        <w:rPr>
          <w:rFonts w:ascii="Arial" w:cs="Arial" w:eastAsia="Arial" w:hAnsi="Arial"/>
          <w:b w:val="false"/>
          <w:bCs w:val="false"/>
          <w:color w:val="404040"/>
          <w:sz w:val="22"/>
          <w:szCs w:val="22"/>
        </w:rPr>
        <w:t xml:space="preserve">Together, the three recommendations form a reinforcing package rather than three independent policy actions. Talent moats without commercial scale vehicles produce retained talent that eventually leaves again when growth-stage opportunity remains limited. Commercial scale vehicles without domestic demand produce firms that are serially undercapitalized or forced to seek US customers for survival. And adoption credits without strong talent and a viable domestic firm ecosystem stimulate demand that gets met by foreign AI products rather than Canadian ones. The package is designed to close that loop: talent stays, firms scale, and domestic demand validates and accelerates the cycle.</w:t>
      </w:r>
    </w:p>
    <w:p>
      <w:pPr>
        <w:spacing w:before="80" w:after="140" w:line="280" w:lineRule="auto"/>
        <w:jc w:val="both"/>
      </w:pPr>
      <w:r>
        <w:rPr>
          <w:rFonts w:ascii="Arial" w:cs="Arial" w:eastAsia="Arial" w:hAnsi="Arial"/>
          <w:b w:val="false"/>
          <w:bCs w:val="false"/>
          <w:color w:val="404040"/>
          <w:sz w:val="22"/>
          <w:szCs w:val="22"/>
        </w:rPr>
        <w:t xml:space="preserve">The results are realistic in their modelled magnitude. The combined composite gain of approximately 4.07 points represents roughly a 12% improvement above Canada’s baseline score — a meaningful but not unprecedented shift for a policy package of this scope. The most comparable international precedents suggest that talent retention and early-stage commercialization programmes can produce KPI movements of this order within a three-to-four year window when implementation is well-coordinated. The modelled results do not assume structural changes in Canada’s infrastructure capacity or a fundamental shift in the global AI investment landscape. They assume only that the three recommended policy levers are implemented on the timeline specified in the implementation section and that they achieve effects calibrated against observed experience in comparable jurisdictions.</w:t>
      </w:r>
    </w:p>
    <w:p>
      <w:pPr>
        <w:spacing w:before="80" w:after="0"/>
      </w:pPr>
    </w:p>
    <w:p>
      <w:pPr>
        <w:spacing w:before="40" w:after="160"/>
        <w:jc w:val="center"/>
      </w:pPr>
      <w:r>
        <w:rPr>
          <w:rFonts w:ascii="Arial" w:cs="Arial" w:eastAsia="Arial" w:hAnsi="Arial"/>
          <w:color w:val="666666"/>
          <w:sz w:val="18"/>
          <w:szCs w:val="18"/>
        </w:rPr>
        <w:t xml:space="preserve">[Figure 5: Scenario Comparison — Composite Score by Recommendation, End of Horizon]</w:t>
      </w:r>
    </w:p>
    <w:p>
      <w:pPr>
        <w:spacing w:before="8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40"/>
              <w:left w:type="dxa" w:w="240"/>
              <w:bottom w:type="dxa" w:w="140"/>
              <w:right w:type="dxa" w:w="240"/>
            </w:tcMar>
          </w:tcPr>
          <w:p>
            <w:pPr>
              <w:spacing w:before="0" w:after="0"/>
            </w:pPr>
            <w:r>
              <w:rPr>
                <w:rFonts w:ascii="Arial" w:cs="Arial" w:eastAsia="Arial" w:hAnsi="Arial"/>
                <w:b/>
                <w:bCs/>
                <w:color w:val="FFFFFF"/>
                <w:sz w:val="34"/>
                <w:szCs w:val="34"/>
              </w:rPr>
              <w:t xml:space="preserve">7.  Conclusion</w:t>
            </w:r>
          </w:p>
        </w:tc>
      </w:tr>
    </w:tbl>
    <w:p>
      <w:pPr>
        <w:spacing w:before="180" w:after="0"/>
      </w:pPr>
    </w:p>
    <w:p>
      <w:pPr>
        <w:spacing w:before="80" w:after="140" w:line="280" w:lineRule="auto"/>
        <w:jc w:val="both"/>
      </w:pPr>
      <w:r>
        <w:rPr>
          <w:rFonts w:ascii="Arial" w:cs="Arial" w:eastAsia="Arial" w:hAnsi="Arial"/>
          <w:b w:val="false"/>
          <w:bCs w:val="false"/>
          <w:color w:val="404040"/>
          <w:sz w:val="22"/>
          <w:szCs w:val="22"/>
        </w:rPr>
        <w:t xml:space="preserve">Canada occupies a paradoxical position in the global AI landscape. It has the policy architecture of a leading nation — a perfect Government Strategy score, a strong regulatory environment, and internationally respected research institutions — but the commercial and talent outcomes of a country still trying to convert that architecture into economic results. The central argument of this analysis is that the gap is not strategic ambition: it is execution in three specific areas that policy can credibly address within a federal mandate.</w:t>
      </w:r>
    </w:p>
    <w:p>
      <w:pPr>
        <w:spacing w:before="80" w:after="140" w:line="280" w:lineRule="auto"/>
        <w:jc w:val="both"/>
      </w:pPr>
      <w:r>
        <w:rPr>
          <w:rFonts w:ascii="Arial" w:cs="Arial" w:eastAsia="Arial" w:hAnsi="Arial"/>
          <w:b w:val="false"/>
          <w:bCs w:val="false"/>
          <w:color w:val="404040"/>
          <w:sz w:val="22"/>
          <w:szCs w:val="22"/>
        </w:rPr>
        <w:t xml:space="preserve">The three recommended actions — Career Moats for Talent Retention, Conditions to Scale AI Firms, and a B2B Demand Stimulus via Adoption Credits — were selected because they address the most consequential conversion failures in the Canadian AI ecosystem, are bounded within federal authority and budget capacity, and are calibrated against demonstrated international experience rather than aspirational benchmarks. They are not the only interventions Canada could pursue, but they are the ones most likely to produce observable competitiveness gains within the three-to-four year window where policy decisions made today will have visible effects.</w:t>
      </w:r>
    </w:p>
    <w:p>
      <w:pPr>
        <w:spacing w:before="80" w:after="140" w:line="280" w:lineRule="auto"/>
        <w:jc w:val="both"/>
      </w:pPr>
      <w:r>
        <w:rPr>
          <w:rFonts w:ascii="Arial" w:cs="Arial" w:eastAsia="Arial" w:hAnsi="Arial"/>
          <w:b w:val="false"/>
          <w:bCs w:val="false"/>
          <w:color w:val="404040"/>
          <w:sz w:val="22"/>
          <w:szCs w:val="22"/>
        </w:rPr>
        <w:t xml:space="preserve">The modelled results support this prioritization. Implemented together, the package is projected to raise Canada’s composite AI competitiveness score from 32.86 to approximately 36.93 by the end of 2029 — a gain of roughly 4.07 points, or a 12% improvement above baseline. Canada’s rank is projected to move from a deteriorating 6th under the no-action baseline to a stable 4th by the end of 2027, maintained through the end of the horizon. The three recommendations produce complementary effects across talent, commercialization, and demand KPIs, with the commercial ecosystem showing the largest absolute improvement and the talent cluster showing the most important structural stabilization.</w:t>
      </w:r>
    </w:p>
    <w:p>
      <w:pPr>
        <w:spacing w:before="80" w:after="140" w:line="280" w:lineRule="auto"/>
        <w:jc w:val="both"/>
      </w:pPr>
      <w:r>
        <w:rPr>
          <w:rFonts w:ascii="Arial" w:cs="Arial" w:eastAsia="Arial" w:hAnsi="Arial"/>
          <w:b w:val="false"/>
          <w:bCs w:val="false"/>
          <w:color w:val="404040"/>
          <w:sz w:val="22"/>
          <w:szCs w:val="22"/>
        </w:rPr>
        <w:t xml:space="preserve">The critical message for decision-makers is this: Canada does not need to outspend the United States or outscale China to materially improve its competitive position. It needs to close specific, bounded gaps in talent conversion, commercial scale-up capacity, and domestic market demand — gaps that are measurable, trackable, and addressable with the policy instruments already within federal reach. The recommended package is designed precisely for that purpose.</w:t>
      </w:r>
    </w:p>
    <w:p>
      <w:pPr>
        <w:spacing w:before="80" w:after="200" w:line="280" w:lineRule="auto"/>
        <w:jc w:val="both"/>
      </w:pPr>
      <w:r>
        <w:rPr>
          <w:rFonts w:ascii="Arial" w:cs="Arial" w:eastAsia="Arial" w:hAnsi="Arial"/>
          <w:b w:val="false"/>
          <w:bCs w:val="false"/>
          <w:color w:val="404040"/>
          <w:sz w:val="22"/>
          <w:szCs w:val="22"/>
        </w:rPr>
        <w:t xml:space="preserve">If implemented with fidelity and monitored against the leading KPI indicators identified in this analysis, Canada is well-positioned to consolidate and extend its standing as one of the top four AI economies in the world. Inaction carries a different and less favourable trajectory. The window to act is open; the question is only whether Canada chooses to use it.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B6B6B" w:val="clear"/>
            <w:tcMar>
              <w:top w:type="dxa" w:w="120"/>
              <w:left w:type="dxa" w:w="240"/>
              <w:bottom w:type="dxa" w:w="120"/>
              <w:right w:type="dxa" w:w="240"/>
            </w:tcMar>
          </w:tcPr>
          <w:p>
            <w:pPr>
              <w:spacing w:before="0" w:after="0"/>
            </w:pPr>
            <w:r>
              <w:rPr>
                <w:rFonts w:ascii="Arial" w:cs="Arial" w:eastAsia="Arial" w:hAnsi="Arial"/>
                <w:b/>
                <w:bCs/>
                <w:color w:val="FFFFFF"/>
                <w:sz w:val="28"/>
                <w:szCs w:val="28"/>
              </w:rPr>
              <w:t xml:space="preserve">8.  Limitations and Interpretation Caution</w:t>
            </w:r>
          </w:p>
        </w:tc>
      </w:tr>
    </w:tbl>
    <w:p>
      <w:pPr>
        <w:spacing w:before="160" w:after="0"/>
      </w:pPr>
    </w:p>
    <w:p>
      <w:pPr>
        <w:spacing w:before="80" w:after="120" w:line="280" w:lineRule="auto"/>
        <w:jc w:val="both"/>
      </w:pPr>
      <w:r>
        <w:rPr>
          <w:rFonts w:ascii="Arial" w:cs="Arial" w:eastAsia="Arial" w:hAnsi="Arial"/>
          <w:b w:val="false"/>
          <w:bCs w:val="false"/>
          <w:color w:val="404040"/>
          <w:sz w:val="22"/>
          <w:szCs w:val="22"/>
        </w:rPr>
        <w:t xml:space="preserve">The projected results in this report are scenario-based estimates, not point forecasts. They are derived from a quarterly simulation model calibrated against structural priors from Canada’s policy context and comparable international experience. Several interpretation cautions apply.</w:t>
      </w:r>
    </w:p>
    <w:p>
      <w:pPr>
        <w:spacing w:before="80" w:after="120" w:line="280" w:lineRule="auto"/>
        <w:jc w:val="both"/>
      </w:pPr>
      <w:r>
        <w:rPr>
          <w:rFonts w:ascii="Arial" w:cs="Arial" w:eastAsia="Arial" w:hAnsi="Arial"/>
          <w:b w:val="false"/>
          <w:bCs w:val="false"/>
          <w:color w:val="404040"/>
          <w:sz w:val="22"/>
          <w:szCs w:val="22"/>
        </w:rPr>
        <w:t xml:space="preserve">First, the stand-alone scenario results for each recommendation are counterfactual estimates against a frozen baseline. They are designed to illustrate the directional effect of each policy bundle in isolation. These stand-alone impacts are not strictly additive: the three recommendations share overlapping KPI targets, interact over time, and may move some of the same outcomes through different channels. The combined scenario is modelled as an integrated package, not as the arithmetic sum of three stand-alone runs, and should be treated as the primary projection for strategic planning purposes.</w:t>
      </w:r>
    </w:p>
    <w:p>
      <w:pPr>
        <w:spacing w:before="80" w:after="120" w:line="280" w:lineRule="auto"/>
        <w:jc w:val="both"/>
      </w:pPr>
      <w:r>
        <w:rPr>
          <w:rFonts w:ascii="Arial" w:cs="Arial" w:eastAsia="Arial" w:hAnsi="Arial"/>
          <w:b w:val="false"/>
          <w:bCs w:val="false"/>
          <w:color w:val="404040"/>
          <w:sz w:val="22"/>
          <w:szCs w:val="22"/>
        </w:rPr>
        <w:t xml:space="preserve">Second, the central projection presented throughout this report reflects the median outcome of a Monte Carlo simulation. The underlying model carries uncertainty that is explicitly quantified as an interquartile range in the supporting analysis. The reported median provides a credible central estimate for decision-making, but outcomes at the upper and lower bounds of the modelled range remain possible depending on implementation quality, external conditions, and competitive responses from peer nations.</w:t>
      </w:r>
    </w:p>
    <w:p>
      <w:pPr>
        <w:spacing w:before="80" w:after="120" w:line="280" w:lineRule="auto"/>
        <w:jc w:val="both"/>
      </w:pPr>
      <w:r>
        <w:rPr>
          <w:rFonts w:ascii="Arial" w:cs="Arial" w:eastAsia="Arial" w:hAnsi="Arial"/>
          <w:b w:val="false"/>
          <w:bCs w:val="false"/>
          <w:color w:val="404040"/>
          <w:sz w:val="22"/>
          <w:szCs w:val="22"/>
        </w:rPr>
        <w:t xml:space="preserve">Third, the model benchmarks Canada against its natural peer cluster — the United Kingdom, Germany, France, and Spain — for the primary headline results. Global-best comparators (primarily the United States) are included where the peer cluster is itself structurally weak, such as in development output and patent conversion. Using global best as the headline benchmark for all KPIs would overstate Canada’s gap and produce implausible near-term improvement targets. The peer-cluster lens is the appropriate frame for a realistic three-to-four year federal strategy horizon.</w:t>
      </w:r>
    </w:p>
    <w:p>
      <w:pPr>
        <w:spacing w:before="80" w:after="200" w:line="280" w:lineRule="auto"/>
        <w:jc w:val="both"/>
      </w:pPr>
      <w:r>
        <w:rPr>
          <w:rFonts w:ascii="Arial" w:cs="Arial" w:eastAsia="Arial" w:hAnsi="Arial"/>
          <w:b w:val="false"/>
          <w:bCs w:val="false"/>
          <w:color w:val="404040"/>
          <w:sz w:val="22"/>
          <w:szCs w:val="22"/>
        </w:rPr>
        <w:t xml:space="preserve">Finally, the model does not account for exogenous shocks, major regulatory changes, or structural shifts in the global AI investment environment. It assumes continued implementation fidelity and that the calibrated lag structures — reflecting how long it takes for policy changes to register in observable KPI movements — hold across the projection horizon. These are reasonable assumptions for scenario planning, but they reinforce the importance of ongoing monitoring and adaptive management as implementation proceeds.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F" w:sz="1"/>
              <w:left w:val="single" w:color="2E5D9F" w:sz="1"/>
              <w:bottom w:val="single" w:color="2E5D9F" w:sz="1"/>
              <w:right w:val="single" w:color="2E5D9F" w:sz="1"/>
            </w:tcBorders>
            <w:shd w:fill="D6E4F7" w:val="clear"/>
            <w:tcMar>
              <w:top w:type="dxa" w:w="120"/>
              <w:left w:type="dxa" w:w="180"/>
              <w:bottom w:type="dxa" w:w="120"/>
              <w:right w:type="dxa" w:w="180"/>
            </w:tcMar>
          </w:tcPr>
          <w:p>
            <w:pPr>
              <w:spacing w:before="0" w:after="40"/>
            </w:pPr>
            <w:r>
              <w:rPr>
                <w:rFonts w:ascii="Arial" w:cs="Arial" w:eastAsia="Arial" w:hAnsi="Arial"/>
                <w:b/>
                <w:bCs/>
                <w:color w:val="1F3864"/>
                <w:sz w:val="22"/>
                <w:szCs w:val="22"/>
              </w:rPr>
              <w:t xml:space="preserve">Key Interpretation Note</w:t>
            </w:r>
          </w:p>
          <w:p>
            <w:pPr>
              <w:spacing w:before="0" w:after="0"/>
            </w:pPr>
            <w:r>
              <w:rPr>
                <w:rFonts w:ascii="Arial" w:cs="Arial" w:eastAsia="Arial" w:hAnsi="Arial"/>
                <w:color w:val="404040"/>
                <w:sz w:val="20"/>
                <w:szCs w:val="20"/>
              </w:rPr>
              <w:t xml:space="preserve">Each recommendation is presented as a separate stand-alone counterfactual against the same Canada baseline. Effects are not additive. The recommendations overlap on several KPIs, interact over time, and may move some of the same outcomes through different channels. The combined scenario is the primary strategic projection; stand-alone results are intended to illustrate attribution, not to be summed.</w:t>
            </w:r>
          </w:p>
        </w:tc>
      </w:tr>
    </w:tbl>
    <w:p>
      <w:pPr>
        <w:spacing w:before="200" w:after="0"/>
      </w:pPr>
    </w:p>
    <w:p>
      <w:pPr>
        <w:pBdr>
          <w:top w:val="single" w:color="CCCCCC" w:sz="4" w:space="1"/>
        </w:pBdr>
        <w:spacing w:before="100" w:after="0"/>
        <w:jc w:val="center"/>
      </w:pPr>
      <w:r>
        <w:rPr>
          <w:rFonts w:ascii="Arial" w:cs="Arial" w:eastAsia="Arial" w:hAnsi="Arial"/>
          <w:color w:val="999999"/>
          <w:sz w:val="18"/>
          <w:szCs w:val="18"/>
        </w:rPr>
        <w:t xml:space="preserve">End of Section  |  MIE1624 Canada AI Competitiveness Project  |  University of Toronto, Winter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9F" w:sz="4" w:space="1"/>
      </w:pBdr>
      <w:spacing w:before="40"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University of Toronto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F" w:sz="6" w:space="1"/>
      </w:pBdr>
      <w:spacing w:before="0" w:after="0"/>
      <w:jc w:val="right"/>
    </w:pPr>
    <w:r>
      <w:rPr>
        <w:rFonts w:ascii="Arial" w:cs="Arial" w:eastAsia="Arial" w:hAnsi="Arial"/>
        <w:color w:val="888888"/>
        <w:sz w:val="18"/>
        <w:szCs w:val="18"/>
      </w:rPr>
      <w:t xml:space="preserve">MIE1624 | Canada AI Competitiveness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FFFFFF"/>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2026-03-28T05:20:56.061Z</dcterms:created>
  <dcterms:modified xsi:type="dcterms:W3CDTF">2026-03-28T05:20:56.061Z</dcterms:modified>
</cp:coreProperties>
</file>

<file path=docProps/custom.xml><?xml version="1.0" encoding="utf-8"?>
<Properties xmlns="http://schemas.openxmlformats.org/officeDocument/2006/custom-properties" xmlns:vt="http://schemas.openxmlformats.org/officeDocument/2006/docPropsVTypes"/>
</file>