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rFonts w:ascii="Aptos Display" w:hAnsi="Aptos Display"/>
          <w:b/>
          <w:color w:val="1F4E79"/>
          <w:sz w:val="40"/>
        </w:rPr>
        <w:t>AI Competitiveness Strategy Analysis</w:t>
      </w:r>
    </w:p>
    <w:p>
      <w:pPr>
        <w:spacing w:after="120" w:line="259" w:lineRule="auto"/>
        <w:jc w:val="center"/>
      </w:pPr>
      <w:r>
        <w:rPr>
          <w:i/>
          <w:color w:val="595959"/>
          <w:sz w:val="24"/>
        </w:rPr>
        <w:t>Federal-Government-Only Revised Report</w:t>
      </w:r>
    </w:p>
    <w:p>
      <w:pPr>
        <w:spacing w:after="120" w:line="259" w:lineRule="auto"/>
        <w:jc w:val="center"/>
      </w:pPr>
      <w:r>
        <w:rPr>
          <w:color w:val="595959"/>
          <w:sz w:val="19"/>
        </w:rPr>
        <w:t>Updated from the attached report by removing or rewriting recommendations that depend materially on provincial, municipal, utility, or university-governance control.</w:t>
      </w:r>
    </w:p>
    <w:tbl>
      <w:tblPr>
        <w:tblW w:type="auto" w:w="0"/>
        <w:jc w:val="center"/>
        <w:tblLook w:firstColumn="1" w:firstRow="1" w:lastColumn="0" w:lastRow="0" w:noHBand="0" w:noVBand="1" w:val="04A0"/>
      </w:tblPr>
      <w:tblGrid>
        <w:gridCol w:w="9936"/>
      </w:tblGrid>
      <w:tr>
        <w:tc>
          <w:tcPr>
            <w:tcW w:type="dxa" w:w="9936"/>
            <w:shd w:fill="EAF2F8"/>
            <w:tcMar>
              <w:top w:w="100" w:type="dxa"/>
              <w:start w:w="130" w:type="dxa"/>
              <w:bottom w:w="100" w:type="dxa"/>
              <w:end w:w="130" w:type="dxa"/>
            </w:tcMar>
          </w:tcPr>
          <w:p>
            <w:r>
              <w:rPr>
                <w:b/>
                <w:color w:val="1F4E79"/>
                <w:sz w:val="19"/>
              </w:rPr>
              <w:t>Federal-only revision rule used: recommendations were kept only where the Government of Canada can act directly through federal spending and grants, tax measures, procurement, immigration, federal research funding and IP administration, public-service modernization, national data/standards/regulation, and international trade/export support. Actions depending mainly on provincial education, municipal zoning, provincial utilities, or province-led broadband were removed or demoted.</w:t>
            </w:r>
          </w:p>
        </w:tc>
      </w:tr>
    </w:tbl>
    <w:p>
      <w:pPr>
        <w:spacing w:after="120" w:line="259" w:lineRule="auto"/>
      </w:pPr>
    </w:p>
    <w:p>
      <w:pPr>
        <w:pStyle w:val="Heading1"/>
        <w:spacing w:before="160" w:after="80"/>
      </w:pPr>
      <w:r>
        <w:t>SECTION A - Freeze the methodology</w:t>
      </w:r>
    </w:p>
    <w:p>
      <w:pPr>
        <w:spacing w:after="120" w:line="259" w:lineRule="auto"/>
      </w:pPr>
      <w:r>
        <w:t>No substantive change is required in this section. The methodology remains quantitative and jurisdiction-neutral, so the workbook structure, KPI logic, weighting, normalization assumptions, and methodological risks can remain as they appeared in the original report.</w:t>
      </w:r>
    </w:p>
    <w:p>
      <w:pPr>
        <w:pStyle w:val="Heading2"/>
        <w:spacing w:before="160" w:after="80"/>
      </w:pPr>
      <w:r>
        <w:t>A1. Country set and KPI construction</w:t>
      </w:r>
    </w:p>
    <w:p>
      <w:pPr>
        <w:spacing w:after="120" w:line="259" w:lineRule="auto"/>
      </w:pPr>
      <w:r>
        <w:t>The Excel workbook contains two sheets - KPI Scores and Weights and Final Rankings. The first sheet lists 26 key performance indicators across 13 countries and provides metadata for pillar, sub-pillar, level-1 weight, KPI source, KPI name, level-2 weight, and scale. The second sheet aggregates those KPI scores into sub-pillar and pillar scores and produces a composite score and country rank.</w:t>
      </w:r>
    </w:p>
    <w:p>
      <w:pPr>
        <w:pStyle w:val="Heading2"/>
        <w:spacing w:before="160" w:after="80"/>
      </w:pPr>
      <w:r>
        <w:t>A2. Pillar and sub-pillar structure</w:t>
      </w:r>
    </w:p>
    <w:tbl>
      <w:tblPr>
        <w:tblStyle w:val="TableGrid"/>
        <w:tblW w:type="auto" w:w="0"/>
        <w:jc w:val="center"/>
        <w:tblLook w:firstColumn="1" w:firstRow="1" w:lastColumn="0" w:lastRow="0" w:noHBand="0" w:noVBand="1" w:val="04A0"/>
      </w:tblPr>
      <w:tblGrid>
        <w:gridCol w:w="3312"/>
        <w:gridCol w:w="3312"/>
        <w:gridCol w:w="3312"/>
      </w:tblGrid>
      <w:tr>
        <w:tc>
          <w:tcPr>
            <w:tcW w:type="dxa" w:w="2376"/>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8"/>
              </w:rPr>
              <w:t>Pillar</w:t>
            </w:r>
          </w:p>
        </w:tc>
        <w:tc>
          <w:tcPr>
            <w:tcW w:type="dxa" w:w="2808"/>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8"/>
              </w:rPr>
              <w:t>Sub-pillars</w:t>
            </w:r>
          </w:p>
        </w:tc>
        <w:tc>
          <w:tcPr>
            <w:tcW w:type="dxa" w:w="5256"/>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8"/>
              </w:rPr>
              <w:t>Description</w:t>
            </w:r>
          </w:p>
        </w:tc>
      </w:tr>
      <w:tr>
        <w:tc>
          <w:tcPr>
            <w:tcW w:type="dxa" w:w="2376"/>
            <w:tcMar>
              <w:top w:w="50" w:type="dxa"/>
              <w:start w:w="80" w:type="dxa"/>
              <w:bottom w:w="50" w:type="dxa"/>
              <w:end w:w="80" w:type="dxa"/>
            </w:tcMar>
            <w:vAlign w:val="center"/>
            <w:shd w:fill="F6F8FB"/>
          </w:tcPr>
          <w:p>
            <w:pPr>
              <w:spacing w:before="0" w:after="0" w:line="240" w:lineRule="auto"/>
            </w:pPr>
            <w:r>
              <w:rPr>
                <w:rFonts w:ascii="Aptos" w:hAnsi="Aptos"/>
                <w:sz w:val="18"/>
              </w:rPr>
              <w:t>Implementation (about 37.5%)</w:t>
            </w:r>
          </w:p>
        </w:tc>
        <w:tc>
          <w:tcPr>
            <w:tcW w:type="dxa" w:w="2808"/>
            <w:tcMar>
              <w:top w:w="50" w:type="dxa"/>
              <w:start w:w="80" w:type="dxa"/>
              <w:bottom w:w="50" w:type="dxa"/>
              <w:end w:w="80" w:type="dxa"/>
            </w:tcMar>
            <w:vAlign w:val="center"/>
            <w:shd w:fill="F6F8FB"/>
          </w:tcPr>
          <w:p>
            <w:pPr>
              <w:spacing w:before="0" w:after="0" w:line="240" w:lineRule="auto"/>
            </w:pPr>
            <w:r>
              <w:rPr>
                <w:rFonts w:ascii="Aptos" w:hAnsi="Aptos"/>
                <w:sz w:val="18"/>
              </w:rPr>
              <w:t>Talent (6 KPIs), Infrastructure (5 KPIs), Operating Environment (4 KPIs)</w:t>
            </w:r>
          </w:p>
        </w:tc>
        <w:tc>
          <w:tcPr>
            <w:tcW w:type="dxa" w:w="5256"/>
            <w:tcMar>
              <w:top w:w="50" w:type="dxa"/>
              <w:start w:w="80" w:type="dxa"/>
              <w:bottom w:w="50" w:type="dxa"/>
              <w:end w:w="80" w:type="dxa"/>
            </w:tcMar>
            <w:vAlign w:val="center"/>
            <w:shd w:fill="F6F8FB"/>
          </w:tcPr>
          <w:p>
            <w:pPr>
              <w:spacing w:before="0" w:after="0" w:line="240" w:lineRule="auto"/>
            </w:pPr>
            <w:r>
              <w:rPr>
                <w:rFonts w:ascii="Aptos" w:hAnsi="Aptos"/>
                <w:sz w:val="18"/>
              </w:rPr>
              <w:t>Measures deployment readiness: AI talent, physical infrastructure, and the regulatory/social environment.</w:t>
            </w:r>
          </w:p>
        </w:tc>
      </w:tr>
      <w:tr>
        <w:tc>
          <w:tcPr>
            <w:tcW w:type="dxa" w:w="2376"/>
            <w:tcMar>
              <w:top w:w="50" w:type="dxa"/>
              <w:start w:w="80" w:type="dxa"/>
              <w:bottom w:w="50" w:type="dxa"/>
              <w:end w:w="80" w:type="dxa"/>
            </w:tcMar>
            <w:vAlign w:val="center"/>
          </w:tcPr>
          <w:p>
            <w:pPr>
              <w:spacing w:before="0" w:after="0" w:line="240" w:lineRule="auto"/>
            </w:pPr>
            <w:r>
              <w:rPr>
                <w:rFonts w:ascii="Aptos" w:hAnsi="Aptos"/>
                <w:sz w:val="18"/>
              </w:rPr>
              <w:t>Innovation (about 37.9%)</w:t>
            </w:r>
          </w:p>
        </w:tc>
        <w:tc>
          <w:tcPr>
            <w:tcW w:type="dxa" w:w="2808"/>
            <w:tcMar>
              <w:top w:w="50" w:type="dxa"/>
              <w:start w:w="80" w:type="dxa"/>
              <w:bottom w:w="50" w:type="dxa"/>
              <w:end w:w="80" w:type="dxa"/>
            </w:tcMar>
            <w:vAlign w:val="center"/>
          </w:tcPr>
          <w:p>
            <w:pPr>
              <w:spacing w:before="0" w:after="0" w:line="240" w:lineRule="auto"/>
            </w:pPr>
            <w:r>
              <w:rPr>
                <w:rFonts w:ascii="Aptos" w:hAnsi="Aptos"/>
                <w:sz w:val="18"/>
              </w:rPr>
              <w:t>Research (5 KPIs), Development (2 KPIs)</w:t>
            </w:r>
          </w:p>
        </w:tc>
        <w:tc>
          <w:tcPr>
            <w:tcW w:type="dxa" w:w="5256"/>
            <w:tcMar>
              <w:top w:w="50" w:type="dxa"/>
              <w:start w:w="80" w:type="dxa"/>
              <w:bottom w:w="50" w:type="dxa"/>
              <w:end w:w="80" w:type="dxa"/>
            </w:tcMar>
            <w:vAlign w:val="center"/>
          </w:tcPr>
          <w:p>
            <w:pPr>
              <w:spacing w:before="0" w:after="0" w:line="240" w:lineRule="auto"/>
            </w:pPr>
            <w:r>
              <w:rPr>
                <w:rFonts w:ascii="Aptos" w:hAnsi="Aptos"/>
                <w:sz w:val="18"/>
              </w:rPr>
              <w:t>Measures knowledge creation: publications, citations, notable models, academia-industry links, and patents.</w:t>
            </w:r>
          </w:p>
        </w:tc>
      </w:tr>
      <w:tr>
        <w:tc>
          <w:tcPr>
            <w:tcW w:type="dxa" w:w="2376"/>
            <w:tcMar>
              <w:top w:w="50" w:type="dxa"/>
              <w:start w:w="80" w:type="dxa"/>
              <w:bottom w:w="50" w:type="dxa"/>
              <w:end w:w="80" w:type="dxa"/>
            </w:tcMar>
            <w:vAlign w:val="center"/>
            <w:shd w:fill="F6F8FB"/>
          </w:tcPr>
          <w:p>
            <w:pPr>
              <w:spacing w:before="0" w:after="0" w:line="240" w:lineRule="auto"/>
            </w:pPr>
            <w:r>
              <w:rPr>
                <w:rFonts w:ascii="Aptos" w:hAnsi="Aptos"/>
                <w:sz w:val="18"/>
              </w:rPr>
              <w:t>Investment (about 24.6%)</w:t>
            </w:r>
          </w:p>
        </w:tc>
        <w:tc>
          <w:tcPr>
            <w:tcW w:type="dxa" w:w="2808"/>
            <w:tcMar>
              <w:top w:w="50" w:type="dxa"/>
              <w:start w:w="80" w:type="dxa"/>
              <w:bottom w:w="50" w:type="dxa"/>
              <w:end w:w="80" w:type="dxa"/>
            </w:tcMar>
            <w:vAlign w:val="center"/>
            <w:shd w:fill="F6F8FB"/>
          </w:tcPr>
          <w:p>
            <w:pPr>
              <w:spacing w:before="0" w:after="0" w:line="240" w:lineRule="auto"/>
            </w:pPr>
            <w:r>
              <w:rPr>
                <w:rFonts w:ascii="Aptos" w:hAnsi="Aptos"/>
                <w:sz w:val="18"/>
              </w:rPr>
              <w:t>Commercial (3 KPIs), Government Strategy (1 KPI)</w:t>
            </w:r>
          </w:p>
        </w:tc>
        <w:tc>
          <w:tcPr>
            <w:tcW w:type="dxa" w:w="5256"/>
            <w:tcMar>
              <w:top w:w="50" w:type="dxa"/>
              <w:start w:w="80" w:type="dxa"/>
              <w:bottom w:w="50" w:type="dxa"/>
              <w:end w:w="80" w:type="dxa"/>
            </w:tcMar>
            <w:vAlign w:val="center"/>
            <w:shd w:fill="F6F8FB"/>
          </w:tcPr>
          <w:p>
            <w:pPr>
              <w:spacing w:before="0" w:after="0" w:line="240" w:lineRule="auto"/>
            </w:pPr>
            <w:r>
              <w:rPr>
                <w:rFonts w:ascii="Aptos" w:hAnsi="Aptos"/>
                <w:sz w:val="18"/>
              </w:rPr>
              <w:t>Measures commercialization, investment activity, adoption, and federal strategy support.</w:t>
            </w:r>
          </w:p>
        </w:tc>
      </w:tr>
    </w:tbl>
    <w:p>
      <w:pPr>
        <w:pStyle w:val="Heading2"/>
        <w:spacing w:before="160" w:after="80"/>
      </w:pPr>
      <w:r>
        <w:t>A3. Scoring logic and normalization</w:t>
      </w:r>
    </w:p>
    <w:p>
      <w:pPr>
        <w:pStyle w:val="ListBullet"/>
        <w:spacing w:after="40"/>
      </w:pPr>
      <w:r>
        <w:t>All KPI values are already expressed on a 0-100 scale, mostly from Tortoise and Stanford AI Index sources.</w:t>
      </w:r>
    </w:p>
    <w:p>
      <w:pPr>
        <w:pStyle w:val="ListBullet"/>
        <w:spacing w:after="40"/>
      </w:pPr>
      <w:r>
        <w:t>Sub-pillar scores are weighted combinations of their component KPIs.</w:t>
      </w:r>
    </w:p>
    <w:p>
      <w:pPr>
        <w:pStyle w:val="ListBullet"/>
        <w:spacing w:after="40"/>
      </w:pPr>
      <w:r>
        <w:t>Pillar scores are weighted combinations of sub-pillar scores.</w:t>
      </w:r>
    </w:p>
    <w:p>
      <w:pPr>
        <w:pStyle w:val="ListBullet"/>
        <w:spacing w:after="40"/>
      </w:pPr>
      <w:r>
        <w:t>The composite score is the weighted sum of the three pillar scores, and countries are ranked by that final value.</w:t>
      </w:r>
    </w:p>
    <w:p>
      <w:pPr>
        <w:pStyle w:val="Heading2"/>
        <w:spacing w:before="160" w:after="80"/>
      </w:pPr>
      <w:r>
        <w:t>A4. Assumptions and methodological risks</w:t>
      </w:r>
    </w:p>
    <w:p>
      <w:pPr>
        <w:pStyle w:val="ListBullet"/>
        <w:spacing w:after="40"/>
      </w:pPr>
      <w:r>
        <w:t>The weighting system is fixed and likely AHP-based, but its justification is not shown in the workbook.</w:t>
      </w:r>
    </w:p>
    <w:p>
      <w:pPr>
        <w:pStyle w:val="ListBullet"/>
        <w:spacing w:after="40"/>
      </w:pPr>
      <w:r>
        <w:t>KPI definitions and observation years differ across sources, so cross-country comparability is imperfect.</w:t>
      </w:r>
    </w:p>
    <w:p>
      <w:pPr>
        <w:pStyle w:val="ListBullet"/>
        <w:spacing w:after="40"/>
      </w:pPr>
      <w:r>
        <w:t>The scoring logic assumes higher is always better, which may be contestable for some softer indicators such as public sentiment.</w:t>
      </w:r>
    </w:p>
    <w:p>
      <w:pPr>
        <w:pStyle w:val="ListBullet"/>
        <w:spacing w:after="40"/>
      </w:pPr>
      <w:r>
        <w:t>The ranking is a single-period snapshot and does not fully capture momentum or future policy commitments.</w:t>
      </w:r>
    </w:p>
    <w:p>
      <w:pPr>
        <w:pStyle w:val="ListBullet"/>
        <w:spacing w:after="40"/>
      </w:pPr>
      <w:r>
        <w:t>Because the composite score is linear, a few outlier indicators can disproportionately affect the overall rank.</w:t>
      </w:r>
    </w:p>
    <w:p>
      <w:pPr>
        <w:pStyle w:val="Heading1"/>
        <w:spacing w:before="160" w:after="80"/>
      </w:pPr>
      <w:r>
        <w:t>SECTION B - Canada priority matrix</w:t>
      </w:r>
    </w:p>
    <w:p>
      <w:pPr>
        <w:spacing w:after="120" w:line="259" w:lineRule="auto"/>
      </w:pPr>
      <w:r>
        <w:t>No change is required to the underlying quantitative ranking. Canada's largest weighted gaps still cluster around commercialization, investment and adoption; research, development and patents; and talent. What changes in the revised report is the interpretation of which policy levers are appropriate: only federal tools are retained.</w:t>
      </w:r>
    </w:p>
    <w:p>
      <w:pPr>
        <w:pStyle w:val="Heading2"/>
        <w:spacing w:before="160" w:after="80"/>
      </w:pPr>
      <w:r>
        <w:t>Top weighted-gap KPI excerpt</w:t>
      </w:r>
    </w:p>
    <w:p>
      <w:pPr>
        <w:spacing w:after="120" w:line="259" w:lineRule="auto"/>
        <w:sectPr>
          <w:pgSz w:w="12240" w:h="15840"/>
          <w:pgMar w:top="1080" w:right="1152" w:bottom="1008" w:left="1152" w:header="720" w:footer="720" w:gutter="0"/>
          <w:cols w:space="720"/>
          <w:docGrid w:linePitch="360"/>
        </w:sectPr>
      </w:pP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c>
          <w:tcPr>
            <w:tcW w:type="dxa" w:w="792"/>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Rank</w:t>
            </w:r>
          </w:p>
        </w:tc>
        <w:tc>
          <w:tcPr>
            <w:tcW w:type="dxa" w:w="2880"/>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KPI</w:t>
            </w:r>
          </w:p>
        </w:tc>
        <w:tc>
          <w:tcPr>
            <w:tcW w:type="dxa" w:w="1944"/>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Pillar / sub-pillar</w:t>
            </w:r>
          </w:p>
        </w:tc>
        <w:tc>
          <w:tcPr>
            <w:tcW w:type="dxa" w:w="1037"/>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Canada score</w:t>
            </w:r>
          </w:p>
        </w:tc>
        <w:tc>
          <w:tcPr>
            <w:tcW w:type="dxa" w:w="1037"/>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Best score</w:t>
            </w:r>
          </w:p>
        </w:tc>
        <w:tc>
          <w:tcPr>
            <w:tcW w:type="dxa" w:w="893"/>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Gap</w:t>
            </w:r>
          </w:p>
        </w:tc>
        <w:tc>
          <w:tcPr>
            <w:tcW w:type="dxa" w:w="1152"/>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Composite wt.</w:t>
            </w:r>
          </w:p>
        </w:tc>
        <w:tc>
          <w:tcPr>
            <w:tcW w:type="dxa" w:w="1181"/>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Weighted gap</w:t>
            </w:r>
          </w:p>
        </w:tc>
        <w:tc>
          <w:tcPr>
            <w:tcW w:type="dxa" w:w="1368"/>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Policy influence</w:t>
            </w:r>
          </w:p>
        </w:tc>
        <w:tc>
          <w:tcPr>
            <w:tcW w:type="dxa" w:w="4536"/>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Federal policy lever</w:t>
            </w:r>
          </w:p>
        </w:tc>
      </w:tr>
      <w:tr>
        <w:tc>
          <w:tcPr>
            <w:tcW w:type="dxa" w:w="792"/>
            <w:tcMar>
              <w:top w:w="50" w:type="dxa"/>
              <w:start w:w="80" w:type="dxa"/>
              <w:bottom w:w="50" w:type="dxa"/>
              <w:end w:w="80" w:type="dxa"/>
            </w:tcMar>
            <w:vAlign w:val="center"/>
            <w:shd w:fill="F6F8FB"/>
          </w:tcPr>
          <w:p>
            <w:pPr>
              <w:spacing w:before="0" w:after="0" w:line="240" w:lineRule="auto"/>
            </w:pPr>
            <w:r>
              <w:rPr>
                <w:rFonts w:ascii="Aptos" w:hAnsi="Aptos"/>
                <w:sz w:val="16"/>
              </w:rPr>
              <w:t>1</w:t>
            </w:r>
          </w:p>
        </w:tc>
        <w:tc>
          <w:tcPr>
            <w:tcW w:type="dxa" w:w="2880"/>
            <w:tcMar>
              <w:top w:w="50" w:type="dxa"/>
              <w:start w:w="80" w:type="dxa"/>
              <w:bottom w:w="50" w:type="dxa"/>
              <w:end w:w="80" w:type="dxa"/>
            </w:tcMar>
            <w:vAlign w:val="center"/>
            <w:shd w:fill="F6F8FB"/>
          </w:tcPr>
          <w:p>
            <w:pPr>
              <w:spacing w:before="0" w:after="0" w:line="240" w:lineRule="auto"/>
            </w:pPr>
            <w:r>
              <w:rPr>
                <w:rFonts w:ascii="Aptos" w:hAnsi="Aptos"/>
                <w:sz w:val="16"/>
              </w:rPr>
              <w:t>Tortoise Commercial Score</w:t>
            </w:r>
          </w:p>
        </w:tc>
        <w:tc>
          <w:tcPr>
            <w:tcW w:type="dxa" w:w="1944"/>
            <w:tcMar>
              <w:top w:w="50" w:type="dxa"/>
              <w:start w:w="80" w:type="dxa"/>
              <w:bottom w:w="50" w:type="dxa"/>
              <w:end w:w="80" w:type="dxa"/>
            </w:tcMar>
            <w:vAlign w:val="center"/>
            <w:shd w:fill="F6F8FB"/>
          </w:tcPr>
          <w:p>
            <w:pPr>
              <w:spacing w:before="0" w:after="0" w:line="240" w:lineRule="auto"/>
            </w:pPr>
            <w:r>
              <w:rPr>
                <w:rFonts w:ascii="Aptos" w:hAnsi="Aptos"/>
                <w:sz w:val="16"/>
              </w:rPr>
              <w:t>Investment / Commercial</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14.88</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100</w:t>
            </w:r>
          </w:p>
        </w:tc>
        <w:tc>
          <w:tcPr>
            <w:tcW w:type="dxa" w:w="893"/>
            <w:tcMar>
              <w:top w:w="50" w:type="dxa"/>
              <w:start w:w="80" w:type="dxa"/>
              <w:bottom w:w="50" w:type="dxa"/>
              <w:end w:w="80" w:type="dxa"/>
            </w:tcMar>
            <w:vAlign w:val="center"/>
            <w:shd w:fill="F6F8FB"/>
          </w:tcPr>
          <w:p>
            <w:pPr>
              <w:spacing w:before="0" w:after="0" w:line="240" w:lineRule="auto"/>
            </w:pPr>
            <w:r>
              <w:rPr>
                <w:rFonts w:ascii="Aptos" w:hAnsi="Aptos"/>
                <w:sz w:val="16"/>
              </w:rPr>
              <w:t>85.12</w:t>
            </w:r>
          </w:p>
        </w:tc>
        <w:tc>
          <w:tcPr>
            <w:tcW w:type="dxa" w:w="1152"/>
            <w:tcMar>
              <w:top w:w="50" w:type="dxa"/>
              <w:start w:w="80" w:type="dxa"/>
              <w:bottom w:w="50" w:type="dxa"/>
              <w:end w:w="80" w:type="dxa"/>
            </w:tcMar>
            <w:vAlign w:val="center"/>
            <w:shd w:fill="F6F8FB"/>
          </w:tcPr>
          <w:p>
            <w:pPr>
              <w:spacing w:before="0" w:after="0" w:line="240" w:lineRule="auto"/>
            </w:pPr>
            <w:r>
              <w:rPr>
                <w:rFonts w:ascii="Aptos" w:hAnsi="Aptos"/>
                <w:sz w:val="16"/>
              </w:rPr>
              <w:t>0.1040</w:t>
            </w:r>
          </w:p>
        </w:tc>
        <w:tc>
          <w:tcPr>
            <w:tcW w:type="dxa" w:w="1181"/>
            <w:tcMar>
              <w:top w:w="50" w:type="dxa"/>
              <w:start w:w="80" w:type="dxa"/>
              <w:bottom w:w="50" w:type="dxa"/>
              <w:end w:w="80" w:type="dxa"/>
            </w:tcMar>
            <w:vAlign w:val="center"/>
            <w:shd w:fill="F6F8FB"/>
          </w:tcPr>
          <w:p>
            <w:pPr>
              <w:spacing w:before="0" w:after="0" w:line="240" w:lineRule="auto"/>
            </w:pPr>
            <w:r>
              <w:rPr>
                <w:rFonts w:ascii="Aptos" w:hAnsi="Aptos"/>
                <w:sz w:val="16"/>
              </w:rPr>
              <w:t>8.85</w:t>
            </w:r>
          </w:p>
        </w:tc>
        <w:tc>
          <w:tcPr>
            <w:tcW w:type="dxa" w:w="1368"/>
            <w:tcMar>
              <w:top w:w="50" w:type="dxa"/>
              <w:start w:w="80" w:type="dxa"/>
              <w:bottom w:w="50" w:type="dxa"/>
              <w:end w:w="80" w:type="dxa"/>
            </w:tcMar>
            <w:vAlign w:val="center"/>
            <w:shd w:fill="F6F8FB"/>
          </w:tcPr>
          <w:p>
            <w:pPr>
              <w:spacing w:before="0" w:after="0" w:line="240" w:lineRule="auto"/>
            </w:pPr>
            <w:r>
              <w:rPr>
                <w:rFonts w:ascii="Aptos" w:hAnsi="Aptos"/>
                <w:sz w:val="16"/>
              </w:rPr>
              <w:t>High</w:t>
            </w:r>
          </w:p>
        </w:tc>
        <w:tc>
          <w:tcPr>
            <w:tcW w:type="dxa" w:w="4536"/>
            <w:tcMar>
              <w:top w:w="50" w:type="dxa"/>
              <w:start w:w="80" w:type="dxa"/>
              <w:bottom w:w="50" w:type="dxa"/>
              <w:end w:w="80" w:type="dxa"/>
            </w:tcMar>
            <w:vAlign w:val="center"/>
            <w:shd w:fill="F6F8FB"/>
          </w:tcPr>
          <w:p>
            <w:pPr>
              <w:spacing w:before="0" w:after="0" w:line="240" w:lineRule="auto"/>
            </w:pPr>
            <w:r>
              <w:rPr>
                <w:rFonts w:ascii="Aptos" w:hAnsi="Aptos"/>
                <w:sz w:val="16"/>
              </w:rPr>
              <w:t>Federal procurement, BDC/ISED co-investment, SME adoption incentives, export support</w:t>
            </w:r>
          </w:p>
        </w:tc>
      </w:tr>
      <w:tr>
        <w:tc>
          <w:tcPr>
            <w:tcW w:type="dxa" w:w="792"/>
            <w:tcMar>
              <w:top w:w="50" w:type="dxa"/>
              <w:start w:w="80" w:type="dxa"/>
              <w:bottom w:w="50" w:type="dxa"/>
              <w:end w:w="80" w:type="dxa"/>
            </w:tcMar>
            <w:vAlign w:val="center"/>
          </w:tcPr>
          <w:p>
            <w:pPr>
              <w:spacing w:before="0" w:after="0" w:line="240" w:lineRule="auto"/>
            </w:pPr>
            <w:r>
              <w:rPr>
                <w:rFonts w:ascii="Aptos" w:hAnsi="Aptos"/>
                <w:sz w:val="16"/>
              </w:rPr>
              <w:t>2</w:t>
            </w:r>
          </w:p>
        </w:tc>
        <w:tc>
          <w:tcPr>
            <w:tcW w:type="dxa" w:w="2880"/>
            <w:tcMar>
              <w:top w:w="50" w:type="dxa"/>
              <w:start w:w="80" w:type="dxa"/>
              <w:bottom w:w="50" w:type="dxa"/>
              <w:end w:w="80" w:type="dxa"/>
            </w:tcMar>
            <w:vAlign w:val="center"/>
          </w:tcPr>
          <w:p>
            <w:pPr>
              <w:spacing w:before="0" w:after="0" w:line="240" w:lineRule="auto"/>
            </w:pPr>
            <w:r>
              <w:rPr>
                <w:rFonts w:ascii="Aptos" w:hAnsi="Aptos"/>
                <w:sz w:val="16"/>
              </w:rPr>
              <w:t>Tortoise Development Score</w:t>
            </w:r>
          </w:p>
        </w:tc>
        <w:tc>
          <w:tcPr>
            <w:tcW w:type="dxa" w:w="1944"/>
            <w:tcMar>
              <w:top w:w="50" w:type="dxa"/>
              <w:start w:w="80" w:type="dxa"/>
              <w:bottom w:w="50" w:type="dxa"/>
              <w:end w:w="80" w:type="dxa"/>
            </w:tcMar>
            <w:vAlign w:val="center"/>
          </w:tcPr>
          <w:p>
            <w:pPr>
              <w:spacing w:before="0" w:after="0" w:line="240" w:lineRule="auto"/>
            </w:pPr>
            <w:r>
              <w:rPr>
                <w:rFonts w:ascii="Aptos" w:hAnsi="Aptos"/>
                <w:sz w:val="16"/>
              </w:rPr>
              <w:t>Innovation / Development</w:t>
            </w:r>
          </w:p>
        </w:tc>
        <w:tc>
          <w:tcPr>
            <w:tcW w:type="dxa" w:w="1037"/>
            <w:tcMar>
              <w:top w:w="50" w:type="dxa"/>
              <w:start w:w="80" w:type="dxa"/>
              <w:bottom w:w="50" w:type="dxa"/>
              <w:end w:w="80" w:type="dxa"/>
            </w:tcMar>
            <w:vAlign w:val="center"/>
          </w:tcPr>
          <w:p>
            <w:pPr>
              <w:spacing w:before="0" w:after="0" w:line="240" w:lineRule="auto"/>
            </w:pPr>
            <w:r>
              <w:rPr>
                <w:rFonts w:ascii="Aptos" w:hAnsi="Aptos"/>
                <w:sz w:val="16"/>
              </w:rPr>
              <w:t>25.58</w:t>
            </w:r>
          </w:p>
        </w:tc>
        <w:tc>
          <w:tcPr>
            <w:tcW w:type="dxa" w:w="1037"/>
            <w:tcMar>
              <w:top w:w="50" w:type="dxa"/>
              <w:start w:w="80" w:type="dxa"/>
              <w:bottom w:w="50" w:type="dxa"/>
              <w:end w:w="80" w:type="dxa"/>
            </w:tcMar>
            <w:vAlign w:val="center"/>
          </w:tcPr>
          <w:p>
            <w:pPr>
              <w:spacing w:before="0" w:after="0" w:line="240" w:lineRule="auto"/>
            </w:pPr>
            <w:r>
              <w:rPr>
                <w:rFonts w:ascii="Aptos" w:hAnsi="Aptos"/>
                <w:sz w:val="16"/>
              </w:rPr>
              <w:t>99.80</w:t>
            </w:r>
          </w:p>
        </w:tc>
        <w:tc>
          <w:tcPr>
            <w:tcW w:type="dxa" w:w="893"/>
            <w:tcMar>
              <w:top w:w="50" w:type="dxa"/>
              <w:start w:w="80" w:type="dxa"/>
              <w:bottom w:w="50" w:type="dxa"/>
              <w:end w:w="80" w:type="dxa"/>
            </w:tcMar>
            <w:vAlign w:val="center"/>
          </w:tcPr>
          <w:p>
            <w:pPr>
              <w:spacing w:before="0" w:after="0" w:line="240" w:lineRule="auto"/>
            </w:pPr>
            <w:r>
              <w:rPr>
                <w:rFonts w:ascii="Aptos" w:hAnsi="Aptos"/>
                <w:sz w:val="16"/>
              </w:rPr>
              <w:t>74.22</w:t>
            </w:r>
          </w:p>
        </w:tc>
        <w:tc>
          <w:tcPr>
            <w:tcW w:type="dxa" w:w="1152"/>
            <w:tcMar>
              <w:top w:w="50" w:type="dxa"/>
              <w:start w:w="80" w:type="dxa"/>
              <w:bottom w:w="50" w:type="dxa"/>
              <w:end w:w="80" w:type="dxa"/>
            </w:tcMar>
            <w:vAlign w:val="center"/>
          </w:tcPr>
          <w:p>
            <w:pPr>
              <w:spacing w:before="0" w:after="0" w:line="240" w:lineRule="auto"/>
            </w:pPr>
            <w:r>
              <w:rPr>
                <w:rFonts w:ascii="Aptos" w:hAnsi="Aptos"/>
                <w:sz w:val="16"/>
              </w:rPr>
              <w:t>0.0993</w:t>
            </w:r>
          </w:p>
        </w:tc>
        <w:tc>
          <w:tcPr>
            <w:tcW w:type="dxa" w:w="1181"/>
            <w:tcMar>
              <w:top w:w="50" w:type="dxa"/>
              <w:start w:w="80" w:type="dxa"/>
              <w:bottom w:w="50" w:type="dxa"/>
              <w:end w:w="80" w:type="dxa"/>
            </w:tcMar>
            <w:vAlign w:val="center"/>
          </w:tcPr>
          <w:p>
            <w:pPr>
              <w:spacing w:before="0" w:after="0" w:line="240" w:lineRule="auto"/>
            </w:pPr>
            <w:r>
              <w:rPr>
                <w:rFonts w:ascii="Aptos" w:hAnsi="Aptos"/>
                <w:sz w:val="16"/>
              </w:rPr>
              <w:t>7.37</w:t>
            </w:r>
          </w:p>
        </w:tc>
        <w:tc>
          <w:tcPr>
            <w:tcW w:type="dxa" w:w="1368"/>
            <w:tcMar>
              <w:top w:w="50" w:type="dxa"/>
              <w:start w:w="80" w:type="dxa"/>
              <w:bottom w:w="50" w:type="dxa"/>
              <w:end w:w="80" w:type="dxa"/>
            </w:tcMar>
            <w:vAlign w:val="center"/>
          </w:tcPr>
          <w:p>
            <w:pPr>
              <w:spacing w:before="0" w:after="0" w:line="240" w:lineRule="auto"/>
            </w:pPr>
            <w:r>
              <w:rPr>
                <w:rFonts w:ascii="Aptos" w:hAnsi="Aptos"/>
                <w:sz w:val="16"/>
              </w:rPr>
              <w:t>Medium</w:t>
            </w:r>
          </w:p>
        </w:tc>
        <w:tc>
          <w:tcPr>
            <w:tcW w:type="dxa" w:w="4536"/>
            <w:tcMar>
              <w:top w:w="50" w:type="dxa"/>
              <w:start w:w="80" w:type="dxa"/>
              <w:bottom w:w="50" w:type="dxa"/>
              <w:end w:w="80" w:type="dxa"/>
            </w:tcMar>
            <w:vAlign w:val="center"/>
          </w:tcPr>
          <w:p>
            <w:pPr>
              <w:spacing w:before="0" w:after="0" w:line="240" w:lineRule="auto"/>
            </w:pPr>
            <w:r>
              <w:rPr>
                <w:rFonts w:ascii="Aptos" w:hAnsi="Aptos"/>
                <w:sz w:val="16"/>
              </w:rPr>
              <w:t>Patent acceleration, translational R&amp;D support, federal challenge programs</w:t>
            </w:r>
          </w:p>
        </w:tc>
      </w:tr>
      <w:tr>
        <w:tc>
          <w:tcPr>
            <w:tcW w:type="dxa" w:w="792"/>
            <w:tcMar>
              <w:top w:w="50" w:type="dxa"/>
              <w:start w:w="80" w:type="dxa"/>
              <w:bottom w:w="50" w:type="dxa"/>
              <w:end w:w="80" w:type="dxa"/>
            </w:tcMar>
            <w:vAlign w:val="center"/>
            <w:shd w:fill="F6F8FB"/>
          </w:tcPr>
          <w:p>
            <w:pPr>
              <w:spacing w:before="0" w:after="0" w:line="240" w:lineRule="auto"/>
            </w:pPr>
            <w:r>
              <w:rPr>
                <w:rFonts w:ascii="Aptos" w:hAnsi="Aptos"/>
                <w:sz w:val="16"/>
              </w:rPr>
              <w:t>3</w:t>
            </w:r>
          </w:p>
        </w:tc>
        <w:tc>
          <w:tcPr>
            <w:tcW w:type="dxa" w:w="2880"/>
            <w:tcMar>
              <w:top w:w="50" w:type="dxa"/>
              <w:start w:w="80" w:type="dxa"/>
              <w:bottom w:w="50" w:type="dxa"/>
              <w:end w:w="80" w:type="dxa"/>
            </w:tcMar>
            <w:vAlign w:val="center"/>
            <w:shd w:fill="F6F8FB"/>
          </w:tcPr>
          <w:p>
            <w:pPr>
              <w:spacing w:before="0" w:after="0" w:line="240" w:lineRule="auto"/>
            </w:pPr>
            <w:r>
              <w:rPr>
                <w:rFonts w:ascii="Aptos" w:hAnsi="Aptos"/>
                <w:sz w:val="16"/>
              </w:rPr>
              <w:t>AI Patent Grants (per 100k)</w:t>
            </w:r>
          </w:p>
        </w:tc>
        <w:tc>
          <w:tcPr>
            <w:tcW w:type="dxa" w:w="1944"/>
            <w:tcMar>
              <w:top w:w="50" w:type="dxa"/>
              <w:start w:w="80" w:type="dxa"/>
              <w:bottom w:w="50" w:type="dxa"/>
              <w:end w:w="80" w:type="dxa"/>
            </w:tcMar>
            <w:vAlign w:val="center"/>
            <w:shd w:fill="F6F8FB"/>
          </w:tcPr>
          <w:p>
            <w:pPr>
              <w:spacing w:before="0" w:after="0" w:line="240" w:lineRule="auto"/>
            </w:pPr>
            <w:r>
              <w:rPr>
                <w:rFonts w:ascii="Aptos" w:hAnsi="Aptos"/>
                <w:sz w:val="16"/>
              </w:rPr>
              <w:t>Innovation / Development</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0.83</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100</w:t>
            </w:r>
          </w:p>
        </w:tc>
        <w:tc>
          <w:tcPr>
            <w:tcW w:type="dxa" w:w="893"/>
            <w:tcMar>
              <w:top w:w="50" w:type="dxa"/>
              <w:start w:w="80" w:type="dxa"/>
              <w:bottom w:w="50" w:type="dxa"/>
              <w:end w:w="80" w:type="dxa"/>
            </w:tcMar>
            <w:vAlign w:val="center"/>
            <w:shd w:fill="F6F8FB"/>
          </w:tcPr>
          <w:p>
            <w:pPr>
              <w:spacing w:before="0" w:after="0" w:line="240" w:lineRule="auto"/>
            </w:pPr>
            <w:r>
              <w:rPr>
                <w:rFonts w:ascii="Aptos" w:hAnsi="Aptos"/>
                <w:sz w:val="16"/>
              </w:rPr>
              <w:t>99.17</w:t>
            </w:r>
          </w:p>
        </w:tc>
        <w:tc>
          <w:tcPr>
            <w:tcW w:type="dxa" w:w="1152"/>
            <w:tcMar>
              <w:top w:w="50" w:type="dxa"/>
              <w:start w:w="80" w:type="dxa"/>
              <w:bottom w:w="50" w:type="dxa"/>
              <w:end w:w="80" w:type="dxa"/>
            </w:tcMar>
            <w:vAlign w:val="center"/>
            <w:shd w:fill="F6F8FB"/>
          </w:tcPr>
          <w:p>
            <w:pPr>
              <w:spacing w:before="0" w:after="0" w:line="240" w:lineRule="auto"/>
            </w:pPr>
            <w:r>
              <w:rPr>
                <w:rFonts w:ascii="Aptos" w:hAnsi="Aptos"/>
                <w:sz w:val="16"/>
              </w:rPr>
              <w:t>0.0662</w:t>
            </w:r>
          </w:p>
        </w:tc>
        <w:tc>
          <w:tcPr>
            <w:tcW w:type="dxa" w:w="1181"/>
            <w:tcMar>
              <w:top w:w="50" w:type="dxa"/>
              <w:start w:w="80" w:type="dxa"/>
              <w:bottom w:w="50" w:type="dxa"/>
              <w:end w:w="80" w:type="dxa"/>
            </w:tcMar>
            <w:vAlign w:val="center"/>
            <w:shd w:fill="F6F8FB"/>
          </w:tcPr>
          <w:p>
            <w:pPr>
              <w:spacing w:before="0" w:after="0" w:line="240" w:lineRule="auto"/>
            </w:pPr>
            <w:r>
              <w:rPr>
                <w:rFonts w:ascii="Aptos" w:hAnsi="Aptos"/>
                <w:sz w:val="16"/>
              </w:rPr>
              <w:t>6.57</w:t>
            </w:r>
          </w:p>
        </w:tc>
        <w:tc>
          <w:tcPr>
            <w:tcW w:type="dxa" w:w="1368"/>
            <w:tcMar>
              <w:top w:w="50" w:type="dxa"/>
              <w:start w:w="80" w:type="dxa"/>
              <w:bottom w:w="50" w:type="dxa"/>
              <w:end w:w="80" w:type="dxa"/>
            </w:tcMar>
            <w:vAlign w:val="center"/>
            <w:shd w:fill="F6F8FB"/>
          </w:tcPr>
          <w:p>
            <w:pPr>
              <w:spacing w:before="0" w:after="0" w:line="240" w:lineRule="auto"/>
            </w:pPr>
            <w:r>
              <w:rPr>
                <w:rFonts w:ascii="Aptos" w:hAnsi="Aptos"/>
                <w:sz w:val="16"/>
              </w:rPr>
              <w:t>Low</w:t>
            </w:r>
          </w:p>
        </w:tc>
        <w:tc>
          <w:tcPr>
            <w:tcW w:type="dxa" w:w="4536"/>
            <w:tcMar>
              <w:top w:w="50" w:type="dxa"/>
              <w:start w:w="80" w:type="dxa"/>
              <w:bottom w:w="50" w:type="dxa"/>
              <w:end w:w="80" w:type="dxa"/>
            </w:tcMar>
            <w:vAlign w:val="center"/>
            <w:shd w:fill="F6F8FB"/>
          </w:tcPr>
          <w:p>
            <w:pPr>
              <w:spacing w:before="0" w:after="0" w:line="240" w:lineRule="auto"/>
            </w:pPr>
            <w:r>
              <w:rPr>
                <w:rFonts w:ascii="Aptos" w:hAnsi="Aptos"/>
                <w:sz w:val="16"/>
              </w:rPr>
              <w:t>Federal IP support, patent examination streamlining, inventor assistance</w:t>
            </w:r>
          </w:p>
        </w:tc>
      </w:tr>
      <w:tr>
        <w:tc>
          <w:tcPr>
            <w:tcW w:type="dxa" w:w="792"/>
            <w:tcMar>
              <w:top w:w="50" w:type="dxa"/>
              <w:start w:w="80" w:type="dxa"/>
              <w:bottom w:w="50" w:type="dxa"/>
              <w:end w:w="80" w:type="dxa"/>
            </w:tcMar>
            <w:vAlign w:val="center"/>
          </w:tcPr>
          <w:p>
            <w:pPr>
              <w:spacing w:before="0" w:after="0" w:line="240" w:lineRule="auto"/>
            </w:pPr>
            <w:r>
              <w:rPr>
                <w:rFonts w:ascii="Aptos" w:hAnsi="Aptos"/>
                <w:sz w:val="16"/>
              </w:rPr>
              <w:t>4</w:t>
            </w:r>
          </w:p>
        </w:tc>
        <w:tc>
          <w:tcPr>
            <w:tcW w:type="dxa" w:w="2880"/>
            <w:tcMar>
              <w:top w:w="50" w:type="dxa"/>
              <w:start w:w="80" w:type="dxa"/>
              <w:bottom w:w="50" w:type="dxa"/>
              <w:end w:w="80" w:type="dxa"/>
            </w:tcMar>
            <w:vAlign w:val="center"/>
          </w:tcPr>
          <w:p>
            <w:pPr>
              <w:spacing w:before="0" w:after="0" w:line="240" w:lineRule="auto"/>
            </w:pPr>
            <w:r>
              <w:rPr>
                <w:rFonts w:ascii="Aptos" w:hAnsi="Aptos"/>
                <w:sz w:val="16"/>
              </w:rPr>
              <w:t>Tortoise Research Score</w:t>
            </w:r>
          </w:p>
        </w:tc>
        <w:tc>
          <w:tcPr>
            <w:tcW w:type="dxa" w:w="1944"/>
            <w:tcMar>
              <w:top w:w="50" w:type="dxa"/>
              <w:start w:w="80" w:type="dxa"/>
              <w:bottom w:w="50" w:type="dxa"/>
              <w:end w:w="80" w:type="dxa"/>
            </w:tcMar>
            <w:vAlign w:val="center"/>
          </w:tcPr>
          <w:p>
            <w:pPr>
              <w:spacing w:before="0" w:after="0" w:line="240" w:lineRule="auto"/>
            </w:pPr>
            <w:r>
              <w:rPr>
                <w:rFonts w:ascii="Aptos" w:hAnsi="Aptos"/>
                <w:sz w:val="16"/>
              </w:rPr>
              <w:t>Innovation / Research</w:t>
            </w:r>
          </w:p>
        </w:tc>
        <w:tc>
          <w:tcPr>
            <w:tcW w:type="dxa" w:w="1037"/>
            <w:tcMar>
              <w:top w:w="50" w:type="dxa"/>
              <w:start w:w="80" w:type="dxa"/>
              <w:bottom w:w="50" w:type="dxa"/>
              <w:end w:w="80" w:type="dxa"/>
            </w:tcMar>
            <w:vAlign w:val="center"/>
          </w:tcPr>
          <w:p>
            <w:pPr>
              <w:spacing w:before="0" w:after="0" w:line="240" w:lineRule="auto"/>
            </w:pPr>
            <w:r>
              <w:rPr>
                <w:rFonts w:ascii="Aptos" w:hAnsi="Aptos"/>
                <w:sz w:val="16"/>
              </w:rPr>
              <w:t>30.18</w:t>
            </w:r>
          </w:p>
        </w:tc>
        <w:tc>
          <w:tcPr>
            <w:tcW w:type="dxa" w:w="1037"/>
            <w:tcMar>
              <w:top w:w="50" w:type="dxa"/>
              <w:start w:w="80" w:type="dxa"/>
              <w:bottom w:w="50" w:type="dxa"/>
              <w:end w:w="80" w:type="dxa"/>
            </w:tcMar>
            <w:vAlign w:val="center"/>
          </w:tcPr>
          <w:p>
            <w:pPr>
              <w:spacing w:before="0" w:after="0" w:line="240" w:lineRule="auto"/>
            </w:pPr>
            <w:r>
              <w:rPr>
                <w:rFonts w:ascii="Aptos" w:hAnsi="Aptos"/>
                <w:sz w:val="16"/>
              </w:rPr>
              <w:t>99.51</w:t>
            </w:r>
          </w:p>
        </w:tc>
        <w:tc>
          <w:tcPr>
            <w:tcW w:type="dxa" w:w="893"/>
            <w:tcMar>
              <w:top w:w="50" w:type="dxa"/>
              <w:start w:w="80" w:type="dxa"/>
              <w:bottom w:w="50" w:type="dxa"/>
              <w:end w:w="80" w:type="dxa"/>
            </w:tcMar>
            <w:vAlign w:val="center"/>
          </w:tcPr>
          <w:p>
            <w:pPr>
              <w:spacing w:before="0" w:after="0" w:line="240" w:lineRule="auto"/>
            </w:pPr>
            <w:r>
              <w:rPr>
                <w:rFonts w:ascii="Aptos" w:hAnsi="Aptos"/>
                <w:sz w:val="16"/>
              </w:rPr>
              <w:t>69.33</w:t>
            </w:r>
          </w:p>
        </w:tc>
        <w:tc>
          <w:tcPr>
            <w:tcW w:type="dxa" w:w="1152"/>
            <w:tcMar>
              <w:top w:w="50" w:type="dxa"/>
              <w:start w:w="80" w:type="dxa"/>
              <w:bottom w:w="50" w:type="dxa"/>
              <w:end w:w="80" w:type="dxa"/>
            </w:tcMar>
            <w:vAlign w:val="center"/>
          </w:tcPr>
          <w:p>
            <w:pPr>
              <w:spacing w:before="0" w:after="0" w:line="240" w:lineRule="auto"/>
            </w:pPr>
            <w:r>
              <w:rPr>
                <w:rFonts w:ascii="Aptos" w:hAnsi="Aptos"/>
                <w:sz w:val="16"/>
              </w:rPr>
              <w:t>0.0861</w:t>
            </w:r>
          </w:p>
        </w:tc>
        <w:tc>
          <w:tcPr>
            <w:tcW w:type="dxa" w:w="1181"/>
            <w:tcMar>
              <w:top w:w="50" w:type="dxa"/>
              <w:start w:w="80" w:type="dxa"/>
              <w:bottom w:w="50" w:type="dxa"/>
              <w:end w:w="80" w:type="dxa"/>
            </w:tcMar>
            <w:vAlign w:val="center"/>
          </w:tcPr>
          <w:p>
            <w:pPr>
              <w:spacing w:before="0" w:after="0" w:line="240" w:lineRule="auto"/>
            </w:pPr>
            <w:r>
              <w:rPr>
                <w:rFonts w:ascii="Aptos" w:hAnsi="Aptos"/>
                <w:sz w:val="16"/>
              </w:rPr>
              <w:t>5.97</w:t>
            </w:r>
          </w:p>
        </w:tc>
        <w:tc>
          <w:tcPr>
            <w:tcW w:type="dxa" w:w="1368"/>
            <w:tcMar>
              <w:top w:w="50" w:type="dxa"/>
              <w:start w:w="80" w:type="dxa"/>
              <w:bottom w:w="50" w:type="dxa"/>
              <w:end w:w="80" w:type="dxa"/>
            </w:tcMar>
            <w:vAlign w:val="center"/>
          </w:tcPr>
          <w:p>
            <w:pPr>
              <w:spacing w:before="0" w:after="0" w:line="240" w:lineRule="auto"/>
            </w:pPr>
            <w:r>
              <w:rPr>
                <w:rFonts w:ascii="Aptos" w:hAnsi="Aptos"/>
                <w:sz w:val="16"/>
              </w:rPr>
              <w:t>Medium</w:t>
            </w:r>
          </w:p>
        </w:tc>
        <w:tc>
          <w:tcPr>
            <w:tcW w:type="dxa" w:w="4536"/>
            <w:tcMar>
              <w:top w:w="50" w:type="dxa"/>
              <w:start w:w="80" w:type="dxa"/>
              <w:bottom w:w="50" w:type="dxa"/>
              <w:end w:w="80" w:type="dxa"/>
            </w:tcMar>
            <w:vAlign w:val="center"/>
          </w:tcPr>
          <w:p>
            <w:pPr>
              <w:spacing w:before="0" w:after="0" w:line="240" w:lineRule="auto"/>
            </w:pPr>
            <w:r>
              <w:rPr>
                <w:rFonts w:ascii="Aptos" w:hAnsi="Aptos"/>
                <w:sz w:val="16"/>
              </w:rPr>
              <w:t>Federal research funding, sovereign compute access, national consortia</w:t>
            </w:r>
          </w:p>
        </w:tc>
      </w:tr>
      <w:tr>
        <w:tc>
          <w:tcPr>
            <w:tcW w:type="dxa" w:w="792"/>
            <w:tcMar>
              <w:top w:w="50" w:type="dxa"/>
              <w:start w:w="80" w:type="dxa"/>
              <w:bottom w:w="50" w:type="dxa"/>
              <w:end w:w="80" w:type="dxa"/>
            </w:tcMar>
            <w:vAlign w:val="center"/>
            <w:shd w:fill="F6F8FB"/>
          </w:tcPr>
          <w:p>
            <w:pPr>
              <w:spacing w:before="0" w:after="0" w:line="240" w:lineRule="auto"/>
            </w:pPr>
            <w:r>
              <w:rPr>
                <w:rFonts w:ascii="Aptos" w:hAnsi="Aptos"/>
                <w:sz w:val="16"/>
              </w:rPr>
              <w:t>5</w:t>
            </w:r>
          </w:p>
        </w:tc>
        <w:tc>
          <w:tcPr>
            <w:tcW w:type="dxa" w:w="2880"/>
            <w:tcMar>
              <w:top w:w="50" w:type="dxa"/>
              <w:start w:w="80" w:type="dxa"/>
              <w:bottom w:w="50" w:type="dxa"/>
              <w:end w:w="80" w:type="dxa"/>
            </w:tcMar>
            <w:vAlign w:val="center"/>
            <w:shd w:fill="F6F8FB"/>
          </w:tcPr>
          <w:p>
            <w:pPr>
              <w:spacing w:before="0" w:after="0" w:line="240" w:lineRule="auto"/>
            </w:pPr>
            <w:r>
              <w:rPr>
                <w:rFonts w:ascii="Aptos" w:hAnsi="Aptos"/>
                <w:sz w:val="16"/>
              </w:rPr>
              <w:t>AI Investment Activity</w:t>
            </w:r>
          </w:p>
        </w:tc>
        <w:tc>
          <w:tcPr>
            <w:tcW w:type="dxa" w:w="1944"/>
            <w:tcMar>
              <w:top w:w="50" w:type="dxa"/>
              <w:start w:w="80" w:type="dxa"/>
              <w:bottom w:w="50" w:type="dxa"/>
              <w:end w:w="80" w:type="dxa"/>
            </w:tcMar>
            <w:vAlign w:val="center"/>
            <w:shd w:fill="F6F8FB"/>
          </w:tcPr>
          <w:p>
            <w:pPr>
              <w:spacing w:before="0" w:after="0" w:line="240" w:lineRule="auto"/>
            </w:pPr>
            <w:r>
              <w:rPr>
                <w:rFonts w:ascii="Aptos" w:hAnsi="Aptos"/>
                <w:sz w:val="16"/>
              </w:rPr>
              <w:t>Investment / Commercial</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29.16</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126.00</w:t>
            </w:r>
          </w:p>
        </w:tc>
        <w:tc>
          <w:tcPr>
            <w:tcW w:type="dxa" w:w="893"/>
            <w:tcMar>
              <w:top w:w="50" w:type="dxa"/>
              <w:start w:w="80" w:type="dxa"/>
              <w:bottom w:w="50" w:type="dxa"/>
              <w:end w:w="80" w:type="dxa"/>
            </w:tcMar>
            <w:vAlign w:val="center"/>
            <w:shd w:fill="F6F8FB"/>
          </w:tcPr>
          <w:p>
            <w:pPr>
              <w:spacing w:before="0" w:after="0" w:line="240" w:lineRule="auto"/>
            </w:pPr>
            <w:r>
              <w:rPr>
                <w:rFonts w:ascii="Aptos" w:hAnsi="Aptos"/>
                <w:sz w:val="16"/>
              </w:rPr>
              <w:t>96.84</w:t>
            </w:r>
          </w:p>
        </w:tc>
        <w:tc>
          <w:tcPr>
            <w:tcW w:type="dxa" w:w="1152"/>
            <w:tcMar>
              <w:top w:w="50" w:type="dxa"/>
              <w:start w:w="80" w:type="dxa"/>
              <w:bottom w:w="50" w:type="dxa"/>
              <w:end w:w="80" w:type="dxa"/>
            </w:tcMar>
            <w:vAlign w:val="center"/>
            <w:shd w:fill="F6F8FB"/>
          </w:tcPr>
          <w:p>
            <w:pPr>
              <w:spacing w:before="0" w:after="0" w:line="240" w:lineRule="auto"/>
            </w:pPr>
            <w:r>
              <w:rPr>
                <w:rFonts w:ascii="Aptos" w:hAnsi="Aptos"/>
                <w:sz w:val="16"/>
              </w:rPr>
              <w:t>0.0574</w:t>
            </w:r>
          </w:p>
        </w:tc>
        <w:tc>
          <w:tcPr>
            <w:tcW w:type="dxa" w:w="1181"/>
            <w:tcMar>
              <w:top w:w="50" w:type="dxa"/>
              <w:start w:w="80" w:type="dxa"/>
              <w:bottom w:w="50" w:type="dxa"/>
              <w:end w:w="80" w:type="dxa"/>
            </w:tcMar>
            <w:vAlign w:val="center"/>
            <w:shd w:fill="F6F8FB"/>
          </w:tcPr>
          <w:p>
            <w:pPr>
              <w:spacing w:before="0" w:after="0" w:line="240" w:lineRule="auto"/>
            </w:pPr>
            <w:r>
              <w:rPr>
                <w:rFonts w:ascii="Aptos" w:hAnsi="Aptos"/>
                <w:sz w:val="16"/>
              </w:rPr>
              <w:t>5.56</w:t>
            </w:r>
          </w:p>
        </w:tc>
        <w:tc>
          <w:tcPr>
            <w:tcW w:type="dxa" w:w="1368"/>
            <w:tcMar>
              <w:top w:w="50" w:type="dxa"/>
              <w:start w:w="80" w:type="dxa"/>
              <w:bottom w:w="50" w:type="dxa"/>
              <w:end w:w="80" w:type="dxa"/>
            </w:tcMar>
            <w:vAlign w:val="center"/>
            <w:shd w:fill="F6F8FB"/>
          </w:tcPr>
          <w:p>
            <w:pPr>
              <w:spacing w:before="0" w:after="0" w:line="240" w:lineRule="auto"/>
            </w:pPr>
            <w:r>
              <w:rPr>
                <w:rFonts w:ascii="Aptos" w:hAnsi="Aptos"/>
                <w:sz w:val="16"/>
              </w:rPr>
              <w:t>Medium</w:t>
            </w:r>
          </w:p>
        </w:tc>
        <w:tc>
          <w:tcPr>
            <w:tcW w:type="dxa" w:w="4536"/>
            <w:tcMar>
              <w:top w:w="50" w:type="dxa"/>
              <w:start w:w="80" w:type="dxa"/>
              <w:bottom w:w="50" w:type="dxa"/>
              <w:end w:w="80" w:type="dxa"/>
            </w:tcMar>
            <w:vAlign w:val="center"/>
            <w:shd w:fill="F6F8FB"/>
          </w:tcPr>
          <w:p>
            <w:pPr>
              <w:spacing w:before="0" w:after="0" w:line="240" w:lineRule="auto"/>
            </w:pPr>
            <w:r>
              <w:rPr>
                <w:rFonts w:ascii="Aptos" w:hAnsi="Aptos"/>
                <w:sz w:val="16"/>
              </w:rPr>
              <w:t>Tax incentives, public co-investment, export-ready scale-up finance</w:t>
            </w:r>
          </w:p>
        </w:tc>
      </w:tr>
    </w:tbl>
    <w:p>
      <w:pPr>
        <w:spacing w:after="120" w:line="259" w:lineRule="auto"/>
      </w:pP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c>
          <w:tcPr>
            <w:tcW w:type="dxa" w:w="792"/>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Rank</w:t>
            </w:r>
          </w:p>
        </w:tc>
        <w:tc>
          <w:tcPr>
            <w:tcW w:type="dxa" w:w="2880"/>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KPI</w:t>
            </w:r>
          </w:p>
        </w:tc>
        <w:tc>
          <w:tcPr>
            <w:tcW w:type="dxa" w:w="1944"/>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Pillar / sub-pillar</w:t>
            </w:r>
          </w:p>
        </w:tc>
        <w:tc>
          <w:tcPr>
            <w:tcW w:type="dxa" w:w="1037"/>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Canada score</w:t>
            </w:r>
          </w:p>
        </w:tc>
        <w:tc>
          <w:tcPr>
            <w:tcW w:type="dxa" w:w="1037"/>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Best score</w:t>
            </w:r>
          </w:p>
        </w:tc>
        <w:tc>
          <w:tcPr>
            <w:tcW w:type="dxa" w:w="893"/>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Gap</w:t>
            </w:r>
          </w:p>
        </w:tc>
        <w:tc>
          <w:tcPr>
            <w:tcW w:type="dxa" w:w="1152"/>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Composite wt.</w:t>
            </w:r>
          </w:p>
        </w:tc>
        <w:tc>
          <w:tcPr>
            <w:tcW w:type="dxa" w:w="1181"/>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Weighted gap</w:t>
            </w:r>
          </w:p>
        </w:tc>
        <w:tc>
          <w:tcPr>
            <w:tcW w:type="dxa" w:w="1368"/>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Policy influence</w:t>
            </w:r>
          </w:p>
        </w:tc>
        <w:tc>
          <w:tcPr>
            <w:tcW w:type="dxa" w:w="4536"/>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6"/>
              </w:rPr>
              <w:t>Federal policy lever</w:t>
            </w:r>
          </w:p>
        </w:tc>
      </w:tr>
      <w:tr>
        <w:tc>
          <w:tcPr>
            <w:tcW w:type="dxa" w:w="792"/>
            <w:tcMar>
              <w:top w:w="50" w:type="dxa"/>
              <w:start w:w="80" w:type="dxa"/>
              <w:bottom w:w="50" w:type="dxa"/>
              <w:end w:w="80" w:type="dxa"/>
            </w:tcMar>
            <w:vAlign w:val="center"/>
            <w:shd w:fill="F6F8FB"/>
          </w:tcPr>
          <w:p>
            <w:pPr>
              <w:spacing w:before="0" w:after="0" w:line="240" w:lineRule="auto"/>
            </w:pPr>
            <w:r>
              <w:rPr>
                <w:rFonts w:ascii="Aptos" w:hAnsi="Aptos"/>
                <w:sz w:val="16"/>
              </w:rPr>
              <w:t>6</w:t>
            </w:r>
          </w:p>
        </w:tc>
        <w:tc>
          <w:tcPr>
            <w:tcW w:type="dxa" w:w="2880"/>
            <w:tcMar>
              <w:top w:w="50" w:type="dxa"/>
              <w:start w:w="80" w:type="dxa"/>
              <w:bottom w:w="50" w:type="dxa"/>
              <w:end w:w="80" w:type="dxa"/>
            </w:tcMar>
            <w:vAlign w:val="center"/>
            <w:shd w:fill="F6F8FB"/>
          </w:tcPr>
          <w:p>
            <w:pPr>
              <w:spacing w:before="0" w:after="0" w:line="240" w:lineRule="auto"/>
            </w:pPr>
            <w:r>
              <w:rPr>
                <w:rFonts w:ascii="Aptos" w:hAnsi="Aptos"/>
                <w:sz w:val="16"/>
              </w:rPr>
              <w:t>Tortoise Talent Score</w:t>
            </w:r>
          </w:p>
        </w:tc>
        <w:tc>
          <w:tcPr>
            <w:tcW w:type="dxa" w:w="1944"/>
            <w:tcMar>
              <w:top w:w="50" w:type="dxa"/>
              <w:start w:w="80" w:type="dxa"/>
              <w:bottom w:w="50" w:type="dxa"/>
              <w:end w:w="80" w:type="dxa"/>
            </w:tcMar>
            <w:vAlign w:val="center"/>
            <w:shd w:fill="F6F8FB"/>
          </w:tcPr>
          <w:p>
            <w:pPr>
              <w:spacing w:before="0" w:after="0" w:line="240" w:lineRule="auto"/>
            </w:pPr>
            <w:r>
              <w:rPr>
                <w:rFonts w:ascii="Aptos" w:hAnsi="Aptos"/>
                <w:sz w:val="16"/>
              </w:rPr>
              <w:t>Implementation / Talent</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31.28</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100</w:t>
            </w:r>
          </w:p>
        </w:tc>
        <w:tc>
          <w:tcPr>
            <w:tcW w:type="dxa" w:w="893"/>
            <w:tcMar>
              <w:top w:w="50" w:type="dxa"/>
              <w:start w:w="80" w:type="dxa"/>
              <w:bottom w:w="50" w:type="dxa"/>
              <w:end w:w="80" w:type="dxa"/>
            </w:tcMar>
            <w:vAlign w:val="center"/>
            <w:shd w:fill="F6F8FB"/>
          </w:tcPr>
          <w:p>
            <w:pPr>
              <w:spacing w:before="0" w:after="0" w:line="240" w:lineRule="auto"/>
            </w:pPr>
            <w:r>
              <w:rPr>
                <w:rFonts w:ascii="Aptos" w:hAnsi="Aptos"/>
                <w:sz w:val="16"/>
              </w:rPr>
              <w:t>68.72</w:t>
            </w:r>
          </w:p>
        </w:tc>
        <w:tc>
          <w:tcPr>
            <w:tcW w:type="dxa" w:w="1152"/>
            <w:tcMar>
              <w:top w:w="50" w:type="dxa"/>
              <w:start w:w="80" w:type="dxa"/>
              <w:bottom w:w="50" w:type="dxa"/>
              <w:end w:w="80" w:type="dxa"/>
            </w:tcMar>
            <w:vAlign w:val="center"/>
            <w:shd w:fill="F6F8FB"/>
          </w:tcPr>
          <w:p>
            <w:pPr>
              <w:spacing w:before="0" w:after="0" w:line="240" w:lineRule="auto"/>
            </w:pPr>
            <w:r>
              <w:rPr>
                <w:rFonts w:ascii="Aptos" w:hAnsi="Aptos"/>
                <w:sz w:val="16"/>
              </w:rPr>
              <w:t>0.0765</w:t>
            </w:r>
          </w:p>
        </w:tc>
        <w:tc>
          <w:tcPr>
            <w:tcW w:type="dxa" w:w="1181"/>
            <w:tcMar>
              <w:top w:w="50" w:type="dxa"/>
              <w:start w:w="80" w:type="dxa"/>
              <w:bottom w:w="50" w:type="dxa"/>
              <w:end w:w="80" w:type="dxa"/>
            </w:tcMar>
            <w:vAlign w:val="center"/>
            <w:shd w:fill="F6F8FB"/>
          </w:tcPr>
          <w:p>
            <w:pPr>
              <w:spacing w:before="0" w:after="0" w:line="240" w:lineRule="auto"/>
            </w:pPr>
            <w:r>
              <w:rPr>
                <w:rFonts w:ascii="Aptos" w:hAnsi="Aptos"/>
                <w:sz w:val="16"/>
              </w:rPr>
              <w:t>5.25</w:t>
            </w:r>
          </w:p>
        </w:tc>
        <w:tc>
          <w:tcPr>
            <w:tcW w:type="dxa" w:w="1368"/>
            <w:tcMar>
              <w:top w:w="50" w:type="dxa"/>
              <w:start w:w="80" w:type="dxa"/>
              <w:bottom w:w="50" w:type="dxa"/>
              <w:end w:w="80" w:type="dxa"/>
            </w:tcMar>
            <w:vAlign w:val="center"/>
            <w:shd w:fill="F6F8FB"/>
          </w:tcPr>
          <w:p>
            <w:pPr>
              <w:spacing w:before="0" w:after="0" w:line="240" w:lineRule="auto"/>
            </w:pPr>
            <w:r>
              <w:rPr>
                <w:rFonts w:ascii="Aptos" w:hAnsi="Aptos"/>
                <w:sz w:val="16"/>
              </w:rPr>
              <w:t>Medium</w:t>
            </w:r>
          </w:p>
        </w:tc>
        <w:tc>
          <w:tcPr>
            <w:tcW w:type="dxa" w:w="4536"/>
            <w:tcMar>
              <w:top w:w="50" w:type="dxa"/>
              <w:start w:w="80" w:type="dxa"/>
              <w:bottom w:w="50" w:type="dxa"/>
              <w:end w:w="80" w:type="dxa"/>
            </w:tcMar>
            <w:vAlign w:val="center"/>
            <w:shd w:fill="F6F8FB"/>
          </w:tcPr>
          <w:p>
            <w:pPr>
              <w:spacing w:before="0" w:after="0" w:line="240" w:lineRule="auto"/>
            </w:pPr>
            <w:r>
              <w:rPr>
                <w:rFonts w:ascii="Aptos" w:hAnsi="Aptos"/>
                <w:sz w:val="16"/>
              </w:rPr>
              <w:t>AI immigration stream, federal internships/fellowships, federal upskilling</w:t>
            </w:r>
          </w:p>
        </w:tc>
      </w:tr>
      <w:tr>
        <w:tc>
          <w:tcPr>
            <w:tcW w:type="dxa" w:w="792"/>
            <w:tcMar>
              <w:top w:w="50" w:type="dxa"/>
              <w:start w:w="80" w:type="dxa"/>
              <w:bottom w:w="50" w:type="dxa"/>
              <w:end w:w="80" w:type="dxa"/>
            </w:tcMar>
            <w:vAlign w:val="center"/>
          </w:tcPr>
          <w:p>
            <w:pPr>
              <w:spacing w:before="0" w:after="0" w:line="240" w:lineRule="auto"/>
            </w:pPr>
            <w:r>
              <w:rPr>
                <w:rFonts w:ascii="Aptos" w:hAnsi="Aptos"/>
                <w:sz w:val="16"/>
              </w:rPr>
              <w:t>7</w:t>
            </w:r>
          </w:p>
        </w:tc>
        <w:tc>
          <w:tcPr>
            <w:tcW w:type="dxa" w:w="2880"/>
            <w:tcMar>
              <w:top w:w="50" w:type="dxa"/>
              <w:start w:w="80" w:type="dxa"/>
              <w:bottom w:w="50" w:type="dxa"/>
              <w:end w:w="80" w:type="dxa"/>
            </w:tcMar>
            <w:vAlign w:val="center"/>
          </w:tcPr>
          <w:p>
            <w:pPr>
              <w:spacing w:before="0" w:after="0" w:line="240" w:lineRule="auto"/>
            </w:pPr>
            <w:r>
              <w:rPr>
                <w:rFonts w:ascii="Aptos" w:hAnsi="Aptos"/>
                <w:sz w:val="16"/>
              </w:rPr>
              <w:t>AI Citations (% of world total)</w:t>
            </w:r>
          </w:p>
        </w:tc>
        <w:tc>
          <w:tcPr>
            <w:tcW w:type="dxa" w:w="1944"/>
            <w:tcMar>
              <w:top w:w="50" w:type="dxa"/>
              <w:start w:w="80" w:type="dxa"/>
              <w:bottom w:w="50" w:type="dxa"/>
              <w:end w:w="80" w:type="dxa"/>
            </w:tcMar>
            <w:vAlign w:val="center"/>
          </w:tcPr>
          <w:p>
            <w:pPr>
              <w:spacing w:before="0" w:after="0" w:line="240" w:lineRule="auto"/>
            </w:pPr>
            <w:r>
              <w:rPr>
                <w:rFonts w:ascii="Aptos" w:hAnsi="Aptos"/>
                <w:sz w:val="16"/>
              </w:rPr>
              <w:t>Innovation / Research</w:t>
            </w:r>
          </w:p>
        </w:tc>
        <w:tc>
          <w:tcPr>
            <w:tcW w:type="dxa" w:w="1037"/>
            <w:tcMar>
              <w:top w:w="50" w:type="dxa"/>
              <w:start w:w="80" w:type="dxa"/>
              <w:bottom w:w="50" w:type="dxa"/>
              <w:end w:w="80" w:type="dxa"/>
            </w:tcMar>
            <w:vAlign w:val="center"/>
          </w:tcPr>
          <w:p>
            <w:pPr>
              <w:spacing w:before="0" w:after="0" w:line="240" w:lineRule="auto"/>
            </w:pPr>
            <w:r>
              <w:rPr>
                <w:rFonts w:ascii="Aptos" w:hAnsi="Aptos"/>
                <w:sz w:val="16"/>
              </w:rPr>
              <w:t>10.72</w:t>
            </w:r>
          </w:p>
        </w:tc>
        <w:tc>
          <w:tcPr>
            <w:tcW w:type="dxa" w:w="1037"/>
            <w:tcMar>
              <w:top w:w="50" w:type="dxa"/>
              <w:start w:w="80" w:type="dxa"/>
              <w:bottom w:w="50" w:type="dxa"/>
              <w:end w:w="80" w:type="dxa"/>
            </w:tcMar>
            <w:vAlign w:val="center"/>
          </w:tcPr>
          <w:p>
            <w:pPr>
              <w:spacing w:before="0" w:after="0" w:line="240" w:lineRule="auto"/>
            </w:pPr>
            <w:r>
              <w:rPr>
                <w:rFonts w:ascii="Aptos" w:hAnsi="Aptos"/>
                <w:sz w:val="16"/>
              </w:rPr>
              <w:t>100</w:t>
            </w:r>
          </w:p>
        </w:tc>
        <w:tc>
          <w:tcPr>
            <w:tcW w:type="dxa" w:w="893"/>
            <w:tcMar>
              <w:top w:w="50" w:type="dxa"/>
              <w:start w:w="80" w:type="dxa"/>
              <w:bottom w:w="50" w:type="dxa"/>
              <w:end w:w="80" w:type="dxa"/>
            </w:tcMar>
            <w:vAlign w:val="center"/>
          </w:tcPr>
          <w:p>
            <w:pPr>
              <w:spacing w:before="0" w:after="0" w:line="240" w:lineRule="auto"/>
            </w:pPr>
            <w:r>
              <w:rPr>
                <w:rFonts w:ascii="Aptos" w:hAnsi="Aptos"/>
                <w:sz w:val="16"/>
              </w:rPr>
              <w:t>89.28</w:t>
            </w:r>
          </w:p>
        </w:tc>
        <w:tc>
          <w:tcPr>
            <w:tcW w:type="dxa" w:w="1152"/>
            <w:tcMar>
              <w:top w:w="50" w:type="dxa"/>
              <w:start w:w="80" w:type="dxa"/>
              <w:bottom w:w="50" w:type="dxa"/>
              <w:end w:w="80" w:type="dxa"/>
            </w:tcMar>
            <w:vAlign w:val="center"/>
          </w:tcPr>
          <w:p>
            <w:pPr>
              <w:spacing w:before="0" w:after="0" w:line="240" w:lineRule="auto"/>
            </w:pPr>
            <w:r>
              <w:rPr>
                <w:rFonts w:ascii="Aptos" w:hAnsi="Aptos"/>
                <w:sz w:val="16"/>
              </w:rPr>
              <w:t>0.0418</w:t>
            </w:r>
          </w:p>
        </w:tc>
        <w:tc>
          <w:tcPr>
            <w:tcW w:type="dxa" w:w="1181"/>
            <w:tcMar>
              <w:top w:w="50" w:type="dxa"/>
              <w:start w:w="80" w:type="dxa"/>
              <w:bottom w:w="50" w:type="dxa"/>
              <w:end w:w="80" w:type="dxa"/>
            </w:tcMar>
            <w:vAlign w:val="center"/>
          </w:tcPr>
          <w:p>
            <w:pPr>
              <w:spacing w:before="0" w:after="0" w:line="240" w:lineRule="auto"/>
            </w:pPr>
            <w:r>
              <w:rPr>
                <w:rFonts w:ascii="Aptos" w:hAnsi="Aptos"/>
                <w:sz w:val="16"/>
              </w:rPr>
              <w:t>3.73</w:t>
            </w:r>
          </w:p>
        </w:tc>
        <w:tc>
          <w:tcPr>
            <w:tcW w:type="dxa" w:w="1368"/>
            <w:tcMar>
              <w:top w:w="50" w:type="dxa"/>
              <w:start w:w="80" w:type="dxa"/>
              <w:bottom w:w="50" w:type="dxa"/>
              <w:end w:w="80" w:type="dxa"/>
            </w:tcMar>
            <w:vAlign w:val="center"/>
          </w:tcPr>
          <w:p>
            <w:pPr>
              <w:spacing w:before="0" w:after="0" w:line="240" w:lineRule="auto"/>
            </w:pPr>
            <w:r>
              <w:rPr>
                <w:rFonts w:ascii="Aptos" w:hAnsi="Aptos"/>
                <w:sz w:val="16"/>
              </w:rPr>
              <w:t>High</w:t>
            </w:r>
          </w:p>
        </w:tc>
        <w:tc>
          <w:tcPr>
            <w:tcW w:type="dxa" w:w="4536"/>
            <w:tcMar>
              <w:top w:w="50" w:type="dxa"/>
              <w:start w:w="80" w:type="dxa"/>
              <w:bottom w:w="50" w:type="dxa"/>
              <w:end w:w="80" w:type="dxa"/>
            </w:tcMar>
            <w:vAlign w:val="center"/>
          </w:tcPr>
          <w:p>
            <w:pPr>
              <w:spacing w:before="0" w:after="0" w:line="240" w:lineRule="auto"/>
            </w:pPr>
            <w:r>
              <w:rPr>
                <w:rFonts w:ascii="Aptos" w:hAnsi="Aptos"/>
                <w:sz w:val="16"/>
              </w:rPr>
              <w:t>High-impact research funding, international collaboration incentives</w:t>
            </w:r>
          </w:p>
        </w:tc>
      </w:tr>
      <w:tr>
        <w:tc>
          <w:tcPr>
            <w:tcW w:type="dxa" w:w="792"/>
            <w:tcMar>
              <w:top w:w="50" w:type="dxa"/>
              <w:start w:w="80" w:type="dxa"/>
              <w:bottom w:w="50" w:type="dxa"/>
              <w:end w:w="80" w:type="dxa"/>
            </w:tcMar>
            <w:vAlign w:val="center"/>
            <w:shd w:fill="F6F8FB"/>
          </w:tcPr>
          <w:p>
            <w:pPr>
              <w:spacing w:before="0" w:after="0" w:line="240" w:lineRule="auto"/>
            </w:pPr>
            <w:r>
              <w:rPr>
                <w:rFonts w:ascii="Aptos" w:hAnsi="Aptos"/>
                <w:sz w:val="16"/>
              </w:rPr>
              <w:t>8</w:t>
            </w:r>
          </w:p>
        </w:tc>
        <w:tc>
          <w:tcPr>
            <w:tcW w:type="dxa" w:w="2880"/>
            <w:tcMar>
              <w:top w:w="50" w:type="dxa"/>
              <w:start w:w="80" w:type="dxa"/>
              <w:bottom w:w="50" w:type="dxa"/>
              <w:end w:w="80" w:type="dxa"/>
            </w:tcMar>
            <w:vAlign w:val="center"/>
            <w:shd w:fill="F6F8FB"/>
          </w:tcPr>
          <w:p>
            <w:pPr>
              <w:spacing w:before="0" w:after="0" w:line="240" w:lineRule="auto"/>
            </w:pPr>
            <w:r>
              <w:rPr>
                <w:rFonts w:ascii="Aptos" w:hAnsi="Aptos"/>
                <w:sz w:val="16"/>
              </w:rPr>
              <w:t>AI Adoption (%)</w:t>
            </w:r>
          </w:p>
        </w:tc>
        <w:tc>
          <w:tcPr>
            <w:tcW w:type="dxa" w:w="1944"/>
            <w:tcMar>
              <w:top w:w="50" w:type="dxa"/>
              <w:start w:w="80" w:type="dxa"/>
              <w:bottom w:w="50" w:type="dxa"/>
              <w:end w:w="80" w:type="dxa"/>
            </w:tcMar>
            <w:vAlign w:val="center"/>
            <w:shd w:fill="F6F8FB"/>
          </w:tcPr>
          <w:p>
            <w:pPr>
              <w:spacing w:before="0" w:after="0" w:line="240" w:lineRule="auto"/>
            </w:pPr>
            <w:r>
              <w:rPr>
                <w:rFonts w:ascii="Aptos" w:hAnsi="Aptos"/>
                <w:sz w:val="16"/>
              </w:rPr>
              <w:t>Investment / Commercial</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8.00</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100</w:t>
            </w:r>
          </w:p>
        </w:tc>
        <w:tc>
          <w:tcPr>
            <w:tcW w:type="dxa" w:w="893"/>
            <w:tcMar>
              <w:top w:w="50" w:type="dxa"/>
              <w:start w:w="80" w:type="dxa"/>
              <w:bottom w:w="50" w:type="dxa"/>
              <w:end w:w="80" w:type="dxa"/>
            </w:tcMar>
            <w:vAlign w:val="center"/>
            <w:shd w:fill="F6F8FB"/>
          </w:tcPr>
          <w:p>
            <w:pPr>
              <w:spacing w:before="0" w:after="0" w:line="240" w:lineRule="auto"/>
            </w:pPr>
            <w:r>
              <w:rPr>
                <w:rFonts w:ascii="Aptos" w:hAnsi="Aptos"/>
                <w:sz w:val="16"/>
              </w:rPr>
              <w:t>92.00</w:t>
            </w:r>
          </w:p>
        </w:tc>
        <w:tc>
          <w:tcPr>
            <w:tcW w:type="dxa" w:w="1152"/>
            <w:tcMar>
              <w:top w:w="50" w:type="dxa"/>
              <w:start w:w="80" w:type="dxa"/>
              <w:bottom w:w="50" w:type="dxa"/>
              <w:end w:w="80" w:type="dxa"/>
            </w:tcMar>
            <w:vAlign w:val="center"/>
            <w:shd w:fill="F6F8FB"/>
          </w:tcPr>
          <w:p>
            <w:pPr>
              <w:spacing w:before="0" w:after="0" w:line="240" w:lineRule="auto"/>
            </w:pPr>
            <w:r>
              <w:rPr>
                <w:rFonts w:ascii="Aptos" w:hAnsi="Aptos"/>
                <w:sz w:val="16"/>
              </w:rPr>
              <w:t>0.0316</w:t>
            </w:r>
          </w:p>
        </w:tc>
        <w:tc>
          <w:tcPr>
            <w:tcW w:type="dxa" w:w="1181"/>
            <w:tcMar>
              <w:top w:w="50" w:type="dxa"/>
              <w:start w:w="80" w:type="dxa"/>
              <w:bottom w:w="50" w:type="dxa"/>
              <w:end w:w="80" w:type="dxa"/>
            </w:tcMar>
            <w:vAlign w:val="center"/>
            <w:shd w:fill="F6F8FB"/>
          </w:tcPr>
          <w:p>
            <w:pPr>
              <w:spacing w:before="0" w:after="0" w:line="240" w:lineRule="auto"/>
            </w:pPr>
            <w:r>
              <w:rPr>
                <w:rFonts w:ascii="Aptos" w:hAnsi="Aptos"/>
                <w:sz w:val="16"/>
              </w:rPr>
              <w:t>2.91</w:t>
            </w:r>
          </w:p>
        </w:tc>
        <w:tc>
          <w:tcPr>
            <w:tcW w:type="dxa" w:w="1368"/>
            <w:tcMar>
              <w:top w:w="50" w:type="dxa"/>
              <w:start w:w="80" w:type="dxa"/>
              <w:bottom w:w="50" w:type="dxa"/>
              <w:end w:w="80" w:type="dxa"/>
            </w:tcMar>
            <w:vAlign w:val="center"/>
            <w:shd w:fill="F6F8FB"/>
          </w:tcPr>
          <w:p>
            <w:pPr>
              <w:spacing w:before="0" w:after="0" w:line="240" w:lineRule="auto"/>
            </w:pPr>
            <w:r>
              <w:rPr>
                <w:rFonts w:ascii="Aptos" w:hAnsi="Aptos"/>
                <w:sz w:val="16"/>
              </w:rPr>
              <w:t>High</w:t>
            </w:r>
          </w:p>
        </w:tc>
        <w:tc>
          <w:tcPr>
            <w:tcW w:type="dxa" w:w="4536"/>
            <w:tcMar>
              <w:top w:w="50" w:type="dxa"/>
              <w:start w:w="80" w:type="dxa"/>
              <w:bottom w:w="50" w:type="dxa"/>
              <w:end w:w="80" w:type="dxa"/>
            </w:tcMar>
            <w:vAlign w:val="center"/>
            <w:shd w:fill="F6F8FB"/>
          </w:tcPr>
          <w:p>
            <w:pPr>
              <w:spacing w:before="0" w:after="0" w:line="240" w:lineRule="auto"/>
            </w:pPr>
            <w:r>
              <w:rPr>
                <w:rFonts w:ascii="Aptos" w:hAnsi="Aptos"/>
                <w:sz w:val="16"/>
              </w:rPr>
              <w:t>Federal SME adoption incentives and procurement pull</w:t>
            </w:r>
          </w:p>
        </w:tc>
      </w:tr>
      <w:tr>
        <w:tc>
          <w:tcPr>
            <w:tcW w:type="dxa" w:w="792"/>
            <w:tcMar>
              <w:top w:w="50" w:type="dxa"/>
              <w:start w:w="80" w:type="dxa"/>
              <w:bottom w:w="50" w:type="dxa"/>
              <w:end w:w="80" w:type="dxa"/>
            </w:tcMar>
            <w:vAlign w:val="center"/>
          </w:tcPr>
          <w:p>
            <w:pPr>
              <w:spacing w:before="0" w:after="0" w:line="240" w:lineRule="auto"/>
            </w:pPr>
            <w:r>
              <w:rPr>
                <w:rFonts w:ascii="Aptos" w:hAnsi="Aptos"/>
                <w:sz w:val="16"/>
              </w:rPr>
              <w:t>9</w:t>
            </w:r>
          </w:p>
        </w:tc>
        <w:tc>
          <w:tcPr>
            <w:tcW w:type="dxa" w:w="2880"/>
            <w:tcMar>
              <w:top w:w="50" w:type="dxa"/>
              <w:start w:w="80" w:type="dxa"/>
              <w:bottom w:w="50" w:type="dxa"/>
              <w:end w:w="80" w:type="dxa"/>
            </w:tcMar>
            <w:vAlign w:val="center"/>
          </w:tcPr>
          <w:p>
            <w:pPr>
              <w:spacing w:before="0" w:after="0" w:line="240" w:lineRule="auto"/>
            </w:pPr>
            <w:r>
              <w:rPr>
                <w:rFonts w:ascii="Aptos" w:hAnsi="Aptos"/>
                <w:sz w:val="16"/>
              </w:rPr>
              <w:t>Notable AI Models</w:t>
            </w:r>
          </w:p>
        </w:tc>
        <w:tc>
          <w:tcPr>
            <w:tcW w:type="dxa" w:w="1944"/>
            <w:tcMar>
              <w:top w:w="50" w:type="dxa"/>
              <w:start w:w="80" w:type="dxa"/>
              <w:bottom w:w="50" w:type="dxa"/>
              <w:end w:w="80" w:type="dxa"/>
            </w:tcMar>
            <w:vAlign w:val="center"/>
          </w:tcPr>
          <w:p>
            <w:pPr>
              <w:spacing w:before="0" w:after="0" w:line="240" w:lineRule="auto"/>
            </w:pPr>
            <w:r>
              <w:rPr>
                <w:rFonts w:ascii="Aptos" w:hAnsi="Aptos"/>
                <w:sz w:val="16"/>
              </w:rPr>
              <w:t>Innovation / Research</w:t>
            </w:r>
          </w:p>
        </w:tc>
        <w:tc>
          <w:tcPr>
            <w:tcW w:type="dxa" w:w="1037"/>
            <w:tcMar>
              <w:top w:w="50" w:type="dxa"/>
              <w:start w:w="80" w:type="dxa"/>
              <w:bottom w:w="50" w:type="dxa"/>
              <w:end w:w="80" w:type="dxa"/>
            </w:tcMar>
            <w:vAlign w:val="center"/>
          </w:tcPr>
          <w:p>
            <w:pPr>
              <w:spacing w:before="0" w:after="0" w:line="240" w:lineRule="auto"/>
            </w:pPr>
            <w:r>
              <w:rPr>
                <w:rFonts w:ascii="Aptos" w:hAnsi="Aptos"/>
                <w:sz w:val="16"/>
              </w:rPr>
              <w:t>2.50</w:t>
            </w:r>
          </w:p>
        </w:tc>
        <w:tc>
          <w:tcPr>
            <w:tcW w:type="dxa" w:w="1037"/>
            <w:tcMar>
              <w:top w:w="50" w:type="dxa"/>
              <w:start w:w="80" w:type="dxa"/>
              <w:bottom w:w="50" w:type="dxa"/>
              <w:end w:w="80" w:type="dxa"/>
            </w:tcMar>
            <w:vAlign w:val="center"/>
          </w:tcPr>
          <w:p>
            <w:pPr>
              <w:spacing w:before="0" w:after="0" w:line="240" w:lineRule="auto"/>
            </w:pPr>
            <w:r>
              <w:rPr>
                <w:rFonts w:ascii="Aptos" w:hAnsi="Aptos"/>
                <w:sz w:val="16"/>
              </w:rPr>
              <w:t>100</w:t>
            </w:r>
          </w:p>
        </w:tc>
        <w:tc>
          <w:tcPr>
            <w:tcW w:type="dxa" w:w="893"/>
            <w:tcMar>
              <w:top w:w="50" w:type="dxa"/>
              <w:start w:w="80" w:type="dxa"/>
              <w:bottom w:w="50" w:type="dxa"/>
              <w:end w:w="80" w:type="dxa"/>
            </w:tcMar>
            <w:vAlign w:val="center"/>
          </w:tcPr>
          <w:p>
            <w:pPr>
              <w:spacing w:before="0" w:after="0" w:line="240" w:lineRule="auto"/>
            </w:pPr>
            <w:r>
              <w:rPr>
                <w:rFonts w:ascii="Aptos" w:hAnsi="Aptos"/>
                <w:sz w:val="16"/>
              </w:rPr>
              <w:t>97.50</w:t>
            </w:r>
          </w:p>
        </w:tc>
        <w:tc>
          <w:tcPr>
            <w:tcW w:type="dxa" w:w="1152"/>
            <w:tcMar>
              <w:top w:w="50" w:type="dxa"/>
              <w:start w:w="80" w:type="dxa"/>
              <w:bottom w:w="50" w:type="dxa"/>
              <w:end w:w="80" w:type="dxa"/>
            </w:tcMar>
            <w:vAlign w:val="center"/>
          </w:tcPr>
          <w:p>
            <w:pPr>
              <w:spacing w:before="0" w:after="0" w:line="240" w:lineRule="auto"/>
            </w:pPr>
            <w:r>
              <w:rPr>
                <w:rFonts w:ascii="Aptos" w:hAnsi="Aptos"/>
                <w:sz w:val="16"/>
              </w:rPr>
              <w:t>0.0285</w:t>
            </w:r>
          </w:p>
        </w:tc>
        <w:tc>
          <w:tcPr>
            <w:tcW w:type="dxa" w:w="1181"/>
            <w:tcMar>
              <w:top w:w="50" w:type="dxa"/>
              <w:start w:w="80" w:type="dxa"/>
              <w:bottom w:w="50" w:type="dxa"/>
              <w:end w:w="80" w:type="dxa"/>
            </w:tcMar>
            <w:vAlign w:val="center"/>
          </w:tcPr>
          <w:p>
            <w:pPr>
              <w:spacing w:before="0" w:after="0" w:line="240" w:lineRule="auto"/>
            </w:pPr>
            <w:r>
              <w:rPr>
                <w:rFonts w:ascii="Aptos" w:hAnsi="Aptos"/>
                <w:sz w:val="16"/>
              </w:rPr>
              <w:t>2.77</w:t>
            </w:r>
          </w:p>
        </w:tc>
        <w:tc>
          <w:tcPr>
            <w:tcW w:type="dxa" w:w="1368"/>
            <w:tcMar>
              <w:top w:w="50" w:type="dxa"/>
              <w:start w:w="80" w:type="dxa"/>
              <w:bottom w:w="50" w:type="dxa"/>
              <w:end w:w="80" w:type="dxa"/>
            </w:tcMar>
            <w:vAlign w:val="center"/>
          </w:tcPr>
          <w:p>
            <w:pPr>
              <w:spacing w:before="0" w:after="0" w:line="240" w:lineRule="auto"/>
            </w:pPr>
            <w:r>
              <w:rPr>
                <w:rFonts w:ascii="Aptos" w:hAnsi="Aptos"/>
                <w:sz w:val="16"/>
              </w:rPr>
              <w:t>Medium</w:t>
            </w:r>
          </w:p>
        </w:tc>
        <w:tc>
          <w:tcPr>
            <w:tcW w:type="dxa" w:w="4536"/>
            <w:tcMar>
              <w:top w:w="50" w:type="dxa"/>
              <w:start w:w="80" w:type="dxa"/>
              <w:bottom w:w="50" w:type="dxa"/>
              <w:end w:w="80" w:type="dxa"/>
            </w:tcMar>
            <w:vAlign w:val="center"/>
          </w:tcPr>
          <w:p>
            <w:pPr>
              <w:spacing w:before="0" w:after="0" w:line="240" w:lineRule="auto"/>
            </w:pPr>
            <w:r>
              <w:rPr>
                <w:rFonts w:ascii="Aptos" w:hAnsi="Aptos"/>
                <w:sz w:val="16"/>
              </w:rPr>
              <w:t>Federal compute access and model-development funding</w:t>
            </w:r>
          </w:p>
        </w:tc>
      </w:tr>
      <w:tr>
        <w:tc>
          <w:tcPr>
            <w:tcW w:type="dxa" w:w="792"/>
            <w:tcMar>
              <w:top w:w="50" w:type="dxa"/>
              <w:start w:w="80" w:type="dxa"/>
              <w:bottom w:w="50" w:type="dxa"/>
              <w:end w:w="80" w:type="dxa"/>
            </w:tcMar>
            <w:vAlign w:val="center"/>
            <w:shd w:fill="F6F8FB"/>
          </w:tcPr>
          <w:p>
            <w:pPr>
              <w:spacing w:before="0" w:after="0" w:line="240" w:lineRule="auto"/>
            </w:pPr>
            <w:r>
              <w:rPr>
                <w:rFonts w:ascii="Aptos" w:hAnsi="Aptos"/>
                <w:sz w:val="16"/>
              </w:rPr>
              <w:t>10</w:t>
            </w:r>
          </w:p>
        </w:tc>
        <w:tc>
          <w:tcPr>
            <w:tcW w:type="dxa" w:w="2880"/>
            <w:tcMar>
              <w:top w:w="50" w:type="dxa"/>
              <w:start w:w="80" w:type="dxa"/>
              <w:bottom w:w="50" w:type="dxa"/>
              <w:end w:w="80" w:type="dxa"/>
            </w:tcMar>
            <w:vAlign w:val="center"/>
            <w:shd w:fill="F6F8FB"/>
          </w:tcPr>
          <w:p>
            <w:pPr>
              <w:spacing w:before="0" w:after="0" w:line="240" w:lineRule="auto"/>
            </w:pPr>
            <w:r>
              <w:rPr>
                <w:rFonts w:ascii="Aptos" w:hAnsi="Aptos"/>
                <w:sz w:val="16"/>
              </w:rPr>
              <w:t>AI Publications (Total)</w:t>
            </w:r>
          </w:p>
        </w:tc>
        <w:tc>
          <w:tcPr>
            <w:tcW w:type="dxa" w:w="1944"/>
            <w:tcMar>
              <w:top w:w="50" w:type="dxa"/>
              <w:start w:w="80" w:type="dxa"/>
              <w:bottom w:w="50" w:type="dxa"/>
              <w:end w:w="80" w:type="dxa"/>
            </w:tcMar>
            <w:vAlign w:val="center"/>
            <w:shd w:fill="F6F8FB"/>
          </w:tcPr>
          <w:p>
            <w:pPr>
              <w:spacing w:before="0" w:after="0" w:line="240" w:lineRule="auto"/>
            </w:pPr>
            <w:r>
              <w:rPr>
                <w:rFonts w:ascii="Aptos" w:hAnsi="Aptos"/>
                <w:sz w:val="16"/>
              </w:rPr>
              <w:t>Innovation / Research</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34.73</w:t>
            </w:r>
          </w:p>
        </w:tc>
        <w:tc>
          <w:tcPr>
            <w:tcW w:type="dxa" w:w="1037"/>
            <w:tcMar>
              <w:top w:w="50" w:type="dxa"/>
              <w:start w:w="80" w:type="dxa"/>
              <w:bottom w:w="50" w:type="dxa"/>
              <w:end w:w="80" w:type="dxa"/>
            </w:tcMar>
            <w:vAlign w:val="center"/>
            <w:shd w:fill="F6F8FB"/>
          </w:tcPr>
          <w:p>
            <w:pPr>
              <w:spacing w:before="0" w:after="0" w:line="240" w:lineRule="auto"/>
            </w:pPr>
            <w:r>
              <w:rPr>
                <w:rFonts w:ascii="Aptos" w:hAnsi="Aptos"/>
                <w:sz w:val="16"/>
              </w:rPr>
              <w:t>100</w:t>
            </w:r>
          </w:p>
        </w:tc>
        <w:tc>
          <w:tcPr>
            <w:tcW w:type="dxa" w:w="893"/>
            <w:tcMar>
              <w:top w:w="50" w:type="dxa"/>
              <w:start w:w="80" w:type="dxa"/>
              <w:bottom w:w="50" w:type="dxa"/>
              <w:end w:w="80" w:type="dxa"/>
            </w:tcMar>
            <w:vAlign w:val="center"/>
            <w:shd w:fill="F6F8FB"/>
          </w:tcPr>
          <w:p>
            <w:pPr>
              <w:spacing w:before="0" w:after="0" w:line="240" w:lineRule="auto"/>
            </w:pPr>
            <w:r>
              <w:rPr>
                <w:rFonts w:ascii="Aptos" w:hAnsi="Aptos"/>
                <w:sz w:val="16"/>
              </w:rPr>
              <w:t>65.27</w:t>
            </w:r>
          </w:p>
        </w:tc>
        <w:tc>
          <w:tcPr>
            <w:tcW w:type="dxa" w:w="1152"/>
            <w:tcMar>
              <w:top w:w="50" w:type="dxa"/>
              <w:start w:w="80" w:type="dxa"/>
              <w:bottom w:w="50" w:type="dxa"/>
              <w:end w:w="80" w:type="dxa"/>
            </w:tcMar>
            <w:vAlign w:val="center"/>
            <w:shd w:fill="F6F8FB"/>
          </w:tcPr>
          <w:p>
            <w:pPr>
              <w:spacing w:before="0" w:after="0" w:line="240" w:lineRule="auto"/>
            </w:pPr>
            <w:r>
              <w:rPr>
                <w:rFonts w:ascii="Aptos" w:hAnsi="Aptos"/>
                <w:sz w:val="16"/>
              </w:rPr>
              <w:t>0.0418</w:t>
            </w:r>
          </w:p>
        </w:tc>
        <w:tc>
          <w:tcPr>
            <w:tcW w:type="dxa" w:w="1181"/>
            <w:tcMar>
              <w:top w:w="50" w:type="dxa"/>
              <w:start w:w="80" w:type="dxa"/>
              <w:bottom w:w="50" w:type="dxa"/>
              <w:end w:w="80" w:type="dxa"/>
            </w:tcMar>
            <w:vAlign w:val="center"/>
            <w:shd w:fill="F6F8FB"/>
          </w:tcPr>
          <w:p>
            <w:pPr>
              <w:spacing w:before="0" w:after="0" w:line="240" w:lineRule="auto"/>
            </w:pPr>
            <w:r>
              <w:rPr>
                <w:rFonts w:ascii="Aptos" w:hAnsi="Aptos"/>
                <w:sz w:val="16"/>
              </w:rPr>
              <w:t>2.73</w:t>
            </w:r>
          </w:p>
        </w:tc>
        <w:tc>
          <w:tcPr>
            <w:tcW w:type="dxa" w:w="1368"/>
            <w:tcMar>
              <w:top w:w="50" w:type="dxa"/>
              <w:start w:w="80" w:type="dxa"/>
              <w:bottom w:w="50" w:type="dxa"/>
              <w:end w:w="80" w:type="dxa"/>
            </w:tcMar>
            <w:vAlign w:val="center"/>
            <w:shd w:fill="F6F8FB"/>
          </w:tcPr>
          <w:p>
            <w:pPr>
              <w:spacing w:before="0" w:after="0" w:line="240" w:lineRule="auto"/>
            </w:pPr>
            <w:r>
              <w:rPr>
                <w:rFonts w:ascii="Aptos" w:hAnsi="Aptos"/>
                <w:sz w:val="16"/>
              </w:rPr>
              <w:t>Medium</w:t>
            </w:r>
          </w:p>
        </w:tc>
        <w:tc>
          <w:tcPr>
            <w:tcW w:type="dxa" w:w="4536"/>
            <w:tcMar>
              <w:top w:w="50" w:type="dxa"/>
              <w:start w:w="80" w:type="dxa"/>
              <w:bottom w:w="50" w:type="dxa"/>
              <w:end w:w="80" w:type="dxa"/>
            </w:tcMar>
            <w:vAlign w:val="center"/>
            <w:shd w:fill="F6F8FB"/>
          </w:tcPr>
          <w:p>
            <w:pPr>
              <w:spacing w:before="0" w:after="0" w:line="240" w:lineRule="auto"/>
            </w:pPr>
            <w:r>
              <w:rPr>
                <w:rFonts w:ascii="Aptos" w:hAnsi="Aptos"/>
                <w:sz w:val="16"/>
              </w:rPr>
              <w:t>Tri-council / NRC / CIFAR-linked AI research support</w:t>
            </w:r>
          </w:p>
        </w:tc>
      </w:tr>
    </w:tbl>
    <w:p>
      <w:pPr>
        <w:spacing w:after="120" w:line="259" w:lineRule="auto"/>
      </w:pPr>
    </w:p>
    <w:p>
      <w:pPr>
        <w:spacing w:after="120" w:line="259" w:lineRule="auto"/>
        <w:sectPr>
          <w:type w:val="continuous"/>
          <w:pgSz w:w="15840" w:h="12240" w:orient="landscape"/>
          <w:pgMar w:top="792" w:right="792" w:bottom="720" w:left="792" w:header="720" w:footer="720" w:gutter="0"/>
          <w:cols w:space="720"/>
          <w:docGrid w:linePitch="360"/>
        </w:sectPr>
      </w:pPr>
    </w:p>
    <w:p>
      <w:pPr>
        <w:pStyle w:val="Heading2"/>
        <w:spacing w:before="160" w:after="80"/>
      </w:pPr>
      <w:r>
        <w:t>Action-priority interpretation</w:t>
      </w:r>
    </w:p>
    <w:p>
      <w:pPr>
        <w:spacing w:after="120" w:line="259" w:lineRule="auto"/>
      </w:pPr>
      <w:r>
        <w:t>The action-priority ranking does not change quantitatively, but the recommended levers are filtered to federal mechanisms. The most actionable near-term federal targets remain commercialization, research conversion, and talent - while infrastructure is treated as an important enabler but not overclaimed as fully movable by Ottawa within 1-3 years.</w:t>
      </w:r>
    </w:p>
    <w:p>
      <w:pPr>
        <w:pStyle w:val="Heading1"/>
        <w:spacing w:before="160" w:after="80"/>
      </w:pPr>
      <w:r>
        <w:t>SECTION C - Revised 3 recommendation themes (federal-only)</w:t>
      </w:r>
    </w:p>
    <w:p>
      <w:pPr>
        <w:pStyle w:val="Heading2"/>
        <w:spacing w:before="160" w:after="80"/>
      </w:pPr>
      <w:r>
        <w:t>Theme 1 - Launch a Federal AI Commercialization and Adoption Accelerator</w:t>
      </w:r>
    </w:p>
    <w:p>
      <w:pPr>
        <w:pStyle w:val="Heading3"/>
        <w:spacing w:before="160" w:after="80"/>
      </w:pPr>
      <w:r>
        <w:t>Why it matters</w:t>
      </w:r>
    </w:p>
    <w:p>
      <w:pPr>
        <w:spacing w:after="120" w:line="259" w:lineRule="auto"/>
      </w:pPr>
      <w:r>
        <w:t>Canada's largest weighted gaps are in Tortoise Commercial Score, AI Investment Activity, and AI Adoption (%). The biggest near-term scoring upside therefore comes from moving AI into firms, contracts, and scale-up capital - not from strategy rhetoric alone.</w:t>
      </w:r>
    </w:p>
    <w:p>
      <w:pPr>
        <w:pStyle w:val="Heading3"/>
        <w:spacing w:before="160" w:after="80"/>
      </w:pPr>
      <w:r>
        <w:t>KPIs addressed</w:t>
      </w:r>
    </w:p>
    <w:p>
      <w:pPr>
        <w:pStyle w:val="ListBullet"/>
        <w:spacing w:after="40"/>
      </w:pPr>
      <w:r>
        <w:t>Tortoise Commercial Score</w:t>
      </w:r>
    </w:p>
    <w:p>
      <w:pPr>
        <w:pStyle w:val="ListBullet"/>
        <w:spacing w:after="40"/>
      </w:pPr>
      <w:r>
        <w:t>AI Investment Activity</w:t>
      </w:r>
    </w:p>
    <w:p>
      <w:pPr>
        <w:pStyle w:val="ListBullet"/>
        <w:spacing w:after="40"/>
      </w:pPr>
      <w:r>
        <w:t>AI Adoption (%)</w:t>
      </w:r>
    </w:p>
    <w:p>
      <w:pPr>
        <w:pStyle w:val="ListBullet"/>
        <w:spacing w:after="40"/>
      </w:pPr>
      <w:r>
        <w:t>AI Job Postings (% of Total)</w:t>
      </w:r>
    </w:p>
    <w:p>
      <w:pPr>
        <w:pStyle w:val="ListBullet"/>
        <w:spacing w:after="40"/>
      </w:pPr>
      <w:r>
        <w:t>Net Migration Flow of AI Skills</w:t>
      </w:r>
    </w:p>
    <w:p>
      <w:pPr>
        <w:pStyle w:val="Heading3"/>
        <w:spacing w:before="160" w:after="80"/>
      </w:pPr>
      <w:r>
        <w:t>Federal-only logic</w:t>
      </w:r>
    </w:p>
    <w:p>
      <w:pPr>
        <w:pStyle w:val="ListBullet"/>
        <w:spacing w:after="40"/>
      </w:pPr>
      <w:r>
        <w:t>Federal AI procurement</w:t>
      </w:r>
    </w:p>
    <w:p>
      <w:pPr>
        <w:pStyle w:val="ListBullet"/>
        <w:spacing w:after="40"/>
      </w:pPr>
      <w:r>
        <w:t>BDC / ISED co-investment and scale-up finance</w:t>
      </w:r>
    </w:p>
    <w:p>
      <w:pPr>
        <w:pStyle w:val="ListBullet"/>
        <w:spacing w:after="40"/>
      </w:pPr>
      <w:r>
        <w:t>Federal tax incentives</w:t>
      </w:r>
    </w:p>
    <w:p>
      <w:pPr>
        <w:pStyle w:val="ListBullet"/>
        <w:spacing w:after="40"/>
      </w:pPr>
      <w:r>
        <w:t>Federal SME adoption programs</w:t>
      </w:r>
    </w:p>
    <w:p>
      <w:pPr>
        <w:pStyle w:val="ListBullet"/>
        <w:spacing w:after="40"/>
      </w:pPr>
      <w:r>
        <w:t>Export support for Canadian AI firms</w:t>
      </w:r>
    </w:p>
    <w:p>
      <w:pPr>
        <w:pStyle w:val="Heading3"/>
        <w:spacing w:before="160" w:after="80"/>
      </w:pPr>
      <w:r>
        <w:t>Why this should remain one of the final 3 recommendations</w:t>
      </w:r>
    </w:p>
    <w:p>
      <w:pPr>
        <w:spacing w:after="120" w:line="259" w:lineRule="auto"/>
      </w:pPr>
      <w:r>
        <w:t>This theme still maps to the single largest weighted gap in the workbook and is one of the few areas where the federal government can act quickly through spending, procurement, and tax policy. It also aligns strongly with the brief's emphasis on commercialization, scaling Canadian AI champions, attracting investment, and using government programs and tax incentives.</w:t>
      </w:r>
    </w:p>
    <w:p>
      <w:pPr>
        <w:pStyle w:val="Heading3"/>
        <w:spacing w:before="160" w:after="80"/>
      </w:pPr>
      <w:r>
        <w:t>Expected mechanism of score improvement</w:t>
      </w:r>
    </w:p>
    <w:p>
      <w:pPr>
        <w:spacing w:after="120" w:line="259" w:lineRule="auto"/>
      </w:pPr>
      <w:r>
        <w:t>Federal procurement creates reference customers and demand. Co-investment and tax incentives reduce financing frictions. SME adoption funding increases real deployment. Together, these moves raise commercial and investment-related KPIs faster than long-cycle structural reforms.</w:t>
      </w:r>
    </w:p>
    <w:p>
      <w:pPr>
        <w:pStyle w:val="Heading2"/>
        <w:spacing w:before="160" w:after="80"/>
      </w:pPr>
      <w:r>
        <w:t>Theme 2 - Expand Canada's Federal AI Research, Compute, and IP Conversion Stack</w:t>
      </w:r>
    </w:p>
    <w:p>
      <w:pPr>
        <w:pStyle w:val="Heading3"/>
        <w:spacing w:before="160" w:after="80"/>
      </w:pPr>
      <w:r>
        <w:t>Why it matters</w:t>
      </w:r>
    </w:p>
    <w:p>
      <w:pPr>
        <w:spacing w:after="120" w:line="259" w:lineRule="auto"/>
      </w:pPr>
      <w:r>
        <w:t>Canada's Development Score, Research Score, AI Patent Grants, AI Citations, AI Publications, and Notable AI Models all show large gaps versus leaders. Canada's research strength is not converting strongly enough into globally visible output, proprietary assets, and commercialization-ready IP.</w:t>
      </w:r>
    </w:p>
    <w:p>
      <w:pPr>
        <w:pStyle w:val="Heading3"/>
        <w:spacing w:before="160" w:after="80"/>
      </w:pPr>
      <w:r>
        <w:t>KPIs addressed</w:t>
      </w:r>
    </w:p>
    <w:p>
      <w:pPr>
        <w:pStyle w:val="ListBullet"/>
        <w:spacing w:after="40"/>
      </w:pPr>
      <w:r>
        <w:t>Tortoise Research Score</w:t>
      </w:r>
    </w:p>
    <w:p>
      <w:pPr>
        <w:pStyle w:val="ListBullet"/>
        <w:spacing w:after="40"/>
      </w:pPr>
      <w:r>
        <w:t>Tortoise Development Score</w:t>
      </w:r>
    </w:p>
    <w:p>
      <w:pPr>
        <w:pStyle w:val="ListBullet"/>
        <w:spacing w:after="40"/>
      </w:pPr>
      <w:r>
        <w:t>AI Patent Grants (per 100k)</w:t>
      </w:r>
    </w:p>
    <w:p>
      <w:pPr>
        <w:pStyle w:val="ListBullet"/>
        <w:spacing w:after="40"/>
      </w:pPr>
      <w:r>
        <w:t>AI Citations (% of world total)</w:t>
      </w:r>
    </w:p>
    <w:p>
      <w:pPr>
        <w:pStyle w:val="ListBullet"/>
        <w:spacing w:after="40"/>
      </w:pPr>
      <w:r>
        <w:t>AI Publications (Total)</w:t>
      </w:r>
    </w:p>
    <w:p>
      <w:pPr>
        <w:pStyle w:val="ListBullet"/>
        <w:spacing w:after="40"/>
      </w:pPr>
      <w:r>
        <w:t>Notable AI Models</w:t>
      </w:r>
    </w:p>
    <w:p>
      <w:pPr>
        <w:pStyle w:val="ListBullet"/>
        <w:spacing w:after="40"/>
      </w:pPr>
      <w:r>
        <w:t>Academia-Industry Concentration</w:t>
      </w:r>
    </w:p>
    <w:p>
      <w:pPr>
        <w:pStyle w:val="Heading3"/>
        <w:spacing w:before="160" w:after="80"/>
      </w:pPr>
      <w:r>
        <w:t>Federal-only logic</w:t>
      </w:r>
    </w:p>
    <w:p>
      <w:pPr>
        <w:pStyle w:val="ListBullet"/>
        <w:spacing w:after="40"/>
      </w:pPr>
      <w:r>
        <w:t>Expand the federal sovereign compute strategy</w:t>
      </w:r>
    </w:p>
    <w:p>
      <w:pPr>
        <w:pStyle w:val="ListBullet"/>
        <w:spacing w:after="40"/>
      </w:pPr>
      <w:r>
        <w:t>Fund federally backed AI research consortia</w:t>
      </w:r>
    </w:p>
    <w:p>
      <w:pPr>
        <w:pStyle w:val="ListBullet"/>
        <w:spacing w:after="40"/>
      </w:pPr>
      <w:r>
        <w:t>Increase tri-council / NRC / CIFAR-linked AI support</w:t>
      </w:r>
    </w:p>
    <w:p>
      <w:pPr>
        <w:pStyle w:val="ListBullet"/>
        <w:spacing w:after="40"/>
      </w:pPr>
      <w:r>
        <w:t>Create federal compute-access mechanisms for startups and researchers</w:t>
      </w:r>
    </w:p>
    <w:p>
      <w:pPr>
        <w:pStyle w:val="ListBullet"/>
        <w:spacing w:after="40"/>
      </w:pPr>
      <w:r>
        <w:t>Strengthen patenting assistance and IP conversion support through federal institutions</w:t>
      </w:r>
    </w:p>
    <w:p>
      <w:pPr>
        <w:pStyle w:val="Heading3"/>
        <w:spacing w:before="160" w:after="80"/>
      </w:pPr>
      <w:r>
        <w:t>Why this should remain one of the final 3 recommendations</w:t>
      </w:r>
    </w:p>
    <w:p>
      <w:pPr>
        <w:spacing w:after="120" w:line="259" w:lineRule="auto"/>
      </w:pPr>
      <w:r>
        <w:t>This directly attacks Canada's second-biggest block of weighted gaps and fits the brief's emphasis on research, talent, industry-academic collaboration, and practical implementation through government programs and funding agencies. It also aligns cleanly with the existing Canadian Sovereign AI Compute Strategy.</w:t>
      </w:r>
    </w:p>
    <w:p>
      <w:pPr>
        <w:pStyle w:val="Heading3"/>
        <w:spacing w:before="160" w:after="80"/>
      </w:pPr>
      <w:r>
        <w:t>Expected mechanism of score improvement</w:t>
      </w:r>
    </w:p>
    <w:p>
      <w:pPr>
        <w:spacing w:after="120" w:line="259" w:lineRule="auto"/>
      </w:pPr>
      <w:r>
        <w:t>More compute access plus targeted research funding plus patent conversion support should first raise publications, citations, collaborative research, and patent filings, then later lift the broader research and development pillar scores.</w:t>
      </w:r>
    </w:p>
    <w:p>
      <w:pPr>
        <w:pStyle w:val="Heading2"/>
        <w:spacing w:before="160" w:after="80"/>
      </w:pPr>
      <w:r>
        <w:t>Theme 3 - Build a Federal AI Talent, Immigration, and Public-Sector Capability Pipeline</w:t>
      </w:r>
    </w:p>
    <w:p>
      <w:pPr>
        <w:pStyle w:val="Heading3"/>
        <w:spacing w:before="160" w:after="80"/>
      </w:pPr>
      <w:r>
        <w:t>Why it matters</w:t>
      </w:r>
    </w:p>
    <w:p>
      <w:pPr>
        <w:spacing w:after="120" w:line="259" w:lineRule="auto"/>
      </w:pPr>
      <w:r>
        <w:t>Canada's Tortoise Talent Score remains materially below the top countries, and talent affects downstream commercialization, adoption, and research execution. The earlier report bundled this theme with broader infrastructure items that were partly outside federal control; this revision narrows it to what Ottawa can directly execute.</w:t>
      </w:r>
    </w:p>
    <w:p>
      <w:pPr>
        <w:pStyle w:val="Heading3"/>
        <w:spacing w:before="160" w:after="80"/>
      </w:pPr>
      <w:r>
        <w:t>KPIs addressed</w:t>
      </w:r>
    </w:p>
    <w:p>
      <w:pPr>
        <w:pStyle w:val="ListBullet"/>
        <w:spacing w:after="40"/>
      </w:pPr>
      <w:r>
        <w:t>Tortoise Talent Score</w:t>
      </w:r>
    </w:p>
    <w:p>
      <w:pPr>
        <w:pStyle w:val="ListBullet"/>
        <w:spacing w:after="40"/>
      </w:pPr>
      <w:r>
        <w:t>Relative AI Skill Penetration</w:t>
      </w:r>
    </w:p>
    <w:p>
      <w:pPr>
        <w:pStyle w:val="ListBullet"/>
        <w:spacing w:after="40"/>
      </w:pPr>
      <w:r>
        <w:t>AI Hiring Rate YoY Ratio</w:t>
      </w:r>
    </w:p>
    <w:p>
      <w:pPr>
        <w:pStyle w:val="ListBullet"/>
        <w:spacing w:after="40"/>
      </w:pPr>
      <w:r>
        <w:t>AI Talent Concentration</w:t>
      </w:r>
    </w:p>
    <w:p>
      <w:pPr>
        <w:pStyle w:val="ListBullet"/>
        <w:spacing w:after="40"/>
      </w:pPr>
      <w:r>
        <w:t>Net Migration Flow of AI Skills</w:t>
      </w:r>
    </w:p>
    <w:p>
      <w:pPr>
        <w:pStyle w:val="ListBullet"/>
        <w:spacing w:after="40"/>
      </w:pPr>
      <w:r>
        <w:t>AI Job Postings (% of Total)</w:t>
      </w:r>
    </w:p>
    <w:p>
      <w:pPr>
        <w:pStyle w:val="ListBullet"/>
        <w:spacing w:after="40"/>
      </w:pPr>
      <w:r>
        <w:t>Selected operating-environment enablers such as federally controlled open data</w:t>
      </w:r>
    </w:p>
    <w:p>
      <w:pPr>
        <w:pStyle w:val="Heading3"/>
        <w:spacing w:before="160" w:after="80"/>
      </w:pPr>
      <w:r>
        <w:t>Federal-only logic</w:t>
      </w:r>
    </w:p>
    <w:p>
      <w:pPr>
        <w:pStyle w:val="ListBullet"/>
        <w:spacing w:after="40"/>
      </w:pPr>
      <w:r>
        <w:t>AI immigration fast-track</w:t>
      </w:r>
    </w:p>
    <w:p>
      <w:pPr>
        <w:pStyle w:val="ListBullet"/>
        <w:spacing w:after="40"/>
      </w:pPr>
      <w:r>
        <w:t>Federally funded internships, fellowships, and work-integrated learning</w:t>
      </w:r>
    </w:p>
    <w:p>
      <w:pPr>
        <w:pStyle w:val="ListBullet"/>
        <w:spacing w:after="40"/>
      </w:pPr>
      <w:r>
        <w:t>Federal workforce upskilling programs</w:t>
      </w:r>
    </w:p>
    <w:p>
      <w:pPr>
        <w:pStyle w:val="ListBullet"/>
        <w:spacing w:after="40"/>
      </w:pPr>
      <w:r>
        <w:t>AI capability building in the federal public service</w:t>
      </w:r>
    </w:p>
    <w:p>
      <w:pPr>
        <w:pStyle w:val="ListBullet"/>
        <w:spacing w:after="40"/>
      </w:pPr>
      <w:r>
        <w:t>Release of high-value federal datasets and standards for responsible federal AI use</w:t>
      </w:r>
    </w:p>
    <w:p>
      <w:pPr>
        <w:pStyle w:val="Heading3"/>
        <w:spacing w:before="160" w:after="80"/>
      </w:pPr>
      <w:r>
        <w:t>Why this should remain one of the final 3 recommendations</w:t>
      </w:r>
    </w:p>
    <w:p>
      <w:pPr>
        <w:spacing w:after="120" w:line="259" w:lineRule="auto"/>
      </w:pPr>
      <w:r>
        <w:t>Talent remains one of Canada's largest weighted gaps, and the federal government has real tools here: immigration, labour-market programs, federal scholarships and internships, and public-service capability building. This keeps the theme strong while removing jurisdictionally risky items.</w:t>
      </w:r>
    </w:p>
    <w:p>
      <w:pPr>
        <w:pStyle w:val="Heading3"/>
        <w:spacing w:before="160" w:after="80"/>
      </w:pPr>
      <w:r>
        <w:t>Expected mechanism of score improvement</w:t>
      </w:r>
    </w:p>
    <w:p>
      <w:pPr>
        <w:spacing w:after="120" w:line="259" w:lineRule="auto"/>
      </w:pPr>
      <w:r>
        <w:t>Immigration reforms can move quickly; federal internships and AI fellowships improve the early-career pipeline; federal upskilling and public-service demand improve job creation and visible adoption.</w:t>
      </w:r>
    </w:p>
    <w:tbl>
      <w:tblPr>
        <w:tblW w:type="auto" w:w="0"/>
        <w:jc w:val="center"/>
        <w:tblLook w:firstColumn="1" w:firstRow="1" w:lastColumn="0" w:lastRow="0" w:noHBand="0" w:noVBand="1" w:val="04A0"/>
      </w:tblPr>
      <w:tblGrid>
        <w:gridCol w:w="9936"/>
      </w:tblGrid>
      <w:tr>
        <w:tc>
          <w:tcPr>
            <w:tcW w:type="dxa" w:w="9936"/>
            <w:shd w:fill="FFF2CC"/>
            <w:tcMar>
              <w:top w:w="100" w:type="dxa"/>
              <w:start w:w="130" w:type="dxa"/>
              <w:bottom w:w="100" w:type="dxa"/>
              <w:end w:w="130" w:type="dxa"/>
            </w:tcMar>
          </w:tcPr>
          <w:p>
            <w:r>
              <w:rPr>
                <w:b/>
                <w:color w:val="7F6000"/>
                <w:sz w:val="18"/>
              </w:rPr>
              <w:t>What was intentionally removed from the earlier version: dependence on provincial governments as implementation owners; delivery framed through colleges and universities as primary execution agents; direct promises on internet speed and energy resilience as federal score targets; and region-based AI growth zones requiring provincial or municipal execution.</w:t>
            </w:r>
          </w:p>
        </w:tc>
      </w:tr>
    </w:tbl>
    <w:p>
      <w:pPr>
        <w:spacing w:after="120" w:line="259" w:lineRule="auto"/>
      </w:pPr>
    </w:p>
    <w:p>
      <w:pPr>
        <w:pStyle w:val="Heading1"/>
        <w:spacing w:before="160" w:after="80"/>
      </w:pPr>
      <w:r>
        <w:t>SECTION D - Revised benchmarking lens (federal-transferable only)</w:t>
      </w:r>
    </w:p>
    <w:p>
      <w:pPr>
        <w:spacing w:after="120" w:line="259" w:lineRule="auto"/>
      </w:pPr>
      <w:r>
        <w:t>The benchmarking section is retained, but the transferability screen is stricter. Lessons are now framed only around what the federal government can directly execute in Canada.</w:t>
      </w:r>
    </w:p>
    <w:p>
      <w:pPr>
        <w:pStyle w:val="Heading2"/>
        <w:spacing w:before="160" w:after="80"/>
      </w:pPr>
      <w:r>
        <w:t>Theme 1 - Commercialization and adoption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7"/>
              </w:rPr>
              <w:t>Country</w:t>
            </w:r>
          </w:p>
        </w:tc>
        <w:tc>
          <w:tcPr>
            <w:tcW w:type="dxa" w:w="3384"/>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7"/>
              </w:rPr>
              <w:t>What stands out</w:t>
            </w:r>
          </w:p>
        </w:tc>
        <w:tc>
          <w:tcPr>
            <w:tcW w:type="dxa" w:w="3384"/>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7"/>
              </w:rPr>
              <w:t>Federal lesson for Canada</w:t>
            </w:r>
          </w:p>
        </w:tc>
        <w:tc>
          <w:tcPr>
            <w:tcW w:type="dxa" w:w="1944"/>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7"/>
              </w:rPr>
              <w:t>Transferability</w:t>
            </w:r>
          </w:p>
        </w:tc>
      </w:tr>
      <w:tr>
        <w:tc>
          <w:tcPr>
            <w:tcW w:type="dxa" w:w="1584"/>
            <w:tcMar>
              <w:top w:w="50" w:type="dxa"/>
              <w:start w:w="80" w:type="dxa"/>
              <w:bottom w:w="50" w:type="dxa"/>
              <w:end w:w="80" w:type="dxa"/>
            </w:tcMar>
            <w:vAlign w:val="center"/>
            <w:shd w:fill="F6F8FB"/>
          </w:tcPr>
          <w:p>
            <w:pPr>
              <w:spacing w:before="0" w:after="0" w:line="240" w:lineRule="auto"/>
            </w:pPr>
            <w:r>
              <w:rPr>
                <w:rFonts w:ascii="Aptos" w:hAnsi="Aptos"/>
                <w:sz w:val="17"/>
              </w:rPr>
              <w:t>United States</w:t>
            </w:r>
          </w:p>
        </w:tc>
        <w:tc>
          <w:tcPr>
            <w:tcW w:type="dxa" w:w="3384"/>
            <w:tcMar>
              <w:top w:w="50" w:type="dxa"/>
              <w:start w:w="80" w:type="dxa"/>
              <w:bottom w:w="50" w:type="dxa"/>
              <w:end w:w="80" w:type="dxa"/>
            </w:tcMar>
            <w:vAlign w:val="center"/>
            <w:shd w:fill="F6F8FB"/>
          </w:tcPr>
          <w:p>
            <w:pPr>
              <w:spacing w:before="0" w:after="0" w:line="240" w:lineRule="auto"/>
            </w:pPr>
            <w:r>
              <w:rPr>
                <w:rFonts w:ascii="Aptos" w:hAnsi="Aptos"/>
                <w:sz w:val="17"/>
              </w:rPr>
              <w:t>Strong scale-up ecosystem, procurement-linked innovation, and deep private capital.</w:t>
            </w:r>
          </w:p>
        </w:tc>
        <w:tc>
          <w:tcPr>
            <w:tcW w:type="dxa" w:w="3384"/>
            <w:tcMar>
              <w:top w:w="50" w:type="dxa"/>
              <w:start w:w="80" w:type="dxa"/>
              <w:bottom w:w="50" w:type="dxa"/>
              <w:end w:w="80" w:type="dxa"/>
            </w:tcMar>
            <w:vAlign w:val="center"/>
            <w:shd w:fill="F6F8FB"/>
          </w:tcPr>
          <w:p>
            <w:pPr>
              <w:spacing w:before="0" w:after="0" w:line="240" w:lineRule="auto"/>
            </w:pPr>
            <w:r>
              <w:rPr>
                <w:rFonts w:ascii="Aptos" w:hAnsi="Aptos"/>
                <w:sz w:val="17"/>
              </w:rPr>
              <w:t>Borrow procurement-linked innovation models, co-investment logic, and export support - not the sheer scale of private capital.</w:t>
            </w:r>
          </w:p>
        </w:tc>
        <w:tc>
          <w:tcPr>
            <w:tcW w:type="dxa" w:w="1944"/>
            <w:tcMar>
              <w:top w:w="50" w:type="dxa"/>
              <w:start w:w="80" w:type="dxa"/>
              <w:bottom w:w="50" w:type="dxa"/>
              <w:end w:w="80" w:type="dxa"/>
            </w:tcMar>
            <w:vAlign w:val="center"/>
            <w:shd w:fill="F6F8FB"/>
          </w:tcPr>
          <w:p>
            <w:pPr>
              <w:spacing w:before="0" w:after="0" w:line="240" w:lineRule="auto"/>
            </w:pPr>
            <w:r>
              <w:rPr>
                <w:rFonts w:ascii="Aptos" w:hAnsi="Aptos"/>
                <w:sz w:val="17"/>
              </w:rPr>
              <w:t>Partial</w:t>
            </w:r>
          </w:p>
        </w:tc>
      </w:tr>
      <w:tr>
        <w:tc>
          <w:tcPr>
            <w:tcW w:type="dxa" w:w="1584"/>
            <w:tcMar>
              <w:top w:w="50" w:type="dxa"/>
              <w:start w:w="80" w:type="dxa"/>
              <w:bottom w:w="50" w:type="dxa"/>
              <w:end w:w="80" w:type="dxa"/>
            </w:tcMar>
            <w:vAlign w:val="center"/>
          </w:tcPr>
          <w:p>
            <w:pPr>
              <w:spacing w:before="0" w:after="0" w:line="240" w:lineRule="auto"/>
            </w:pPr>
            <w:r>
              <w:rPr>
                <w:rFonts w:ascii="Aptos" w:hAnsi="Aptos"/>
                <w:sz w:val="17"/>
              </w:rPr>
              <w:t>Singapore</w:t>
            </w:r>
          </w:p>
        </w:tc>
        <w:tc>
          <w:tcPr>
            <w:tcW w:type="dxa" w:w="3384"/>
            <w:tcMar>
              <w:top w:w="50" w:type="dxa"/>
              <w:start w:w="80" w:type="dxa"/>
              <w:bottom w:w="50" w:type="dxa"/>
              <w:end w:w="80" w:type="dxa"/>
            </w:tcMar>
            <w:vAlign w:val="center"/>
          </w:tcPr>
          <w:p>
            <w:pPr>
              <w:spacing w:before="0" w:after="0" w:line="240" w:lineRule="auto"/>
            </w:pPr>
            <w:r>
              <w:rPr>
                <w:rFonts w:ascii="Aptos" w:hAnsi="Aptos"/>
                <w:sz w:val="17"/>
              </w:rPr>
              <w:t>Government acts as lead customer and tightly links research, adoption, and state-backed execution.</w:t>
            </w:r>
          </w:p>
        </w:tc>
        <w:tc>
          <w:tcPr>
            <w:tcW w:type="dxa" w:w="3384"/>
            <w:tcMar>
              <w:top w:w="50" w:type="dxa"/>
              <w:start w:w="80" w:type="dxa"/>
              <w:bottom w:w="50" w:type="dxa"/>
              <w:end w:w="80" w:type="dxa"/>
            </w:tcMar>
            <w:vAlign w:val="center"/>
          </w:tcPr>
          <w:p>
            <w:pPr>
              <w:spacing w:before="0" w:after="0" w:line="240" w:lineRule="auto"/>
            </w:pPr>
            <w:r>
              <w:rPr>
                <w:rFonts w:ascii="Aptos" w:hAnsi="Aptos"/>
                <w:sz w:val="17"/>
              </w:rPr>
              <w:t>Use public procurement, pilot programs, and adoption grants as direct federal levers.</w:t>
            </w:r>
          </w:p>
        </w:tc>
        <w:tc>
          <w:tcPr>
            <w:tcW w:type="dxa" w:w="1944"/>
            <w:tcMar>
              <w:top w:w="50" w:type="dxa"/>
              <w:start w:w="80" w:type="dxa"/>
              <w:bottom w:w="50" w:type="dxa"/>
              <w:end w:w="80" w:type="dxa"/>
            </w:tcMar>
            <w:vAlign w:val="center"/>
          </w:tcPr>
          <w:p>
            <w:pPr>
              <w:spacing w:before="0" w:after="0" w:line="240" w:lineRule="auto"/>
            </w:pPr>
            <w:r>
              <w:rPr>
                <w:rFonts w:ascii="Aptos" w:hAnsi="Aptos"/>
                <w:sz w:val="17"/>
              </w:rPr>
              <w:t>High</w:t>
            </w:r>
          </w:p>
        </w:tc>
      </w:tr>
      <w:tr>
        <w:tc>
          <w:tcPr>
            <w:tcW w:type="dxa" w:w="1584"/>
            <w:tcMar>
              <w:top w:w="50" w:type="dxa"/>
              <w:start w:w="80" w:type="dxa"/>
              <w:bottom w:w="50" w:type="dxa"/>
              <w:end w:w="80" w:type="dxa"/>
            </w:tcMar>
            <w:vAlign w:val="center"/>
            <w:shd w:fill="F6F8FB"/>
          </w:tcPr>
          <w:p>
            <w:pPr>
              <w:spacing w:before="0" w:after="0" w:line="240" w:lineRule="auto"/>
            </w:pPr>
            <w:r>
              <w:rPr>
                <w:rFonts w:ascii="Aptos" w:hAnsi="Aptos"/>
                <w:sz w:val="17"/>
              </w:rPr>
              <w:t>United Kingdom</w:t>
            </w:r>
          </w:p>
        </w:tc>
        <w:tc>
          <w:tcPr>
            <w:tcW w:type="dxa" w:w="3384"/>
            <w:tcMar>
              <w:top w:w="50" w:type="dxa"/>
              <w:start w:w="80" w:type="dxa"/>
              <w:bottom w:w="50" w:type="dxa"/>
              <w:end w:w="80" w:type="dxa"/>
            </w:tcMar>
            <w:vAlign w:val="center"/>
            <w:shd w:fill="F6F8FB"/>
          </w:tcPr>
          <w:p>
            <w:pPr>
              <w:spacing w:before="0" w:after="0" w:line="240" w:lineRule="auto"/>
            </w:pPr>
            <w:r>
              <w:rPr>
                <w:rFonts w:ascii="Aptos" w:hAnsi="Aptos"/>
                <w:sz w:val="17"/>
              </w:rPr>
              <w:t>Links commercialization support to sovereign compute and national delivery capacity.</w:t>
            </w:r>
          </w:p>
        </w:tc>
        <w:tc>
          <w:tcPr>
            <w:tcW w:type="dxa" w:w="3384"/>
            <w:tcMar>
              <w:top w:w="50" w:type="dxa"/>
              <w:start w:w="80" w:type="dxa"/>
              <w:bottom w:w="50" w:type="dxa"/>
              <w:end w:w="80" w:type="dxa"/>
            </w:tcMar>
            <w:vAlign w:val="center"/>
            <w:shd w:fill="F6F8FB"/>
          </w:tcPr>
          <w:p>
            <w:pPr>
              <w:spacing w:before="0" w:after="0" w:line="240" w:lineRule="auto"/>
            </w:pPr>
            <w:r>
              <w:rPr>
                <w:rFonts w:ascii="Aptos" w:hAnsi="Aptos"/>
                <w:sz w:val="17"/>
              </w:rPr>
              <w:t>Use sovereign compute, commercialization support, and adoption incentives, but do not import growth zones as a core Canadian recommendation.</w:t>
            </w:r>
          </w:p>
        </w:tc>
        <w:tc>
          <w:tcPr>
            <w:tcW w:type="dxa" w:w="1944"/>
            <w:tcMar>
              <w:top w:w="50" w:type="dxa"/>
              <w:start w:w="80" w:type="dxa"/>
              <w:bottom w:w="50" w:type="dxa"/>
              <w:end w:w="80" w:type="dxa"/>
            </w:tcMar>
            <w:vAlign w:val="center"/>
            <w:shd w:fill="F6F8FB"/>
          </w:tcPr>
          <w:p>
            <w:pPr>
              <w:spacing w:before="0" w:after="0" w:line="240" w:lineRule="auto"/>
            </w:pPr>
            <w:r>
              <w:rPr>
                <w:rFonts w:ascii="Aptos" w:hAnsi="Aptos"/>
                <w:sz w:val="17"/>
              </w:rPr>
              <w:t>Moderate</w:t>
            </w:r>
          </w:p>
        </w:tc>
      </w:tr>
    </w:tbl>
    <w:p>
      <w:pPr>
        <w:spacing w:after="120" w:line="259" w:lineRule="auto"/>
      </w:pPr>
    </w:p>
    <w:p>
      <w:pPr>
        <w:pStyle w:val="Heading2"/>
        <w:spacing w:before="160" w:after="80"/>
      </w:pPr>
      <w:r>
        <w:t>Theme 2 - Research, compute, and IP conversion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Country</w:t>
            </w:r>
          </w:p>
        </w:tc>
        <w:tc>
          <w:tcPr>
            <w:tcW w:type="dxa" w:w="3384"/>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What stands out</w:t>
            </w:r>
          </w:p>
        </w:tc>
        <w:tc>
          <w:tcPr>
            <w:tcW w:type="dxa" w:w="3384"/>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Federal lesson for Canada</w:t>
            </w:r>
          </w:p>
        </w:tc>
        <w:tc>
          <w:tcPr>
            <w:tcW w:type="dxa" w:w="1944"/>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Transferability</w:t>
            </w:r>
          </w:p>
        </w:tc>
      </w:tr>
      <w:tr>
        <w:tc>
          <w:tcPr>
            <w:tcW w:type="dxa" w:w="1584"/>
            <w:tcMar>
              <w:top w:w="40" w:type="dxa"/>
              <w:start w:w="70" w:type="dxa"/>
              <w:bottom w:w="40" w:type="dxa"/>
              <w:end w:w="70" w:type="dxa"/>
            </w:tcMar>
            <w:vAlign w:val="center"/>
            <w:shd w:fill="F6F8FB"/>
          </w:tcPr>
          <w:p>
            <w:pPr>
              <w:spacing w:before="0" w:after="0" w:line="240" w:lineRule="auto"/>
            </w:pPr>
            <w:r>
              <w:rPr>
                <w:rFonts w:ascii="Aptos" w:hAnsi="Aptos"/>
                <w:sz w:val="16"/>
              </w:rPr>
              <w:t>United States</w:t>
            </w:r>
          </w:p>
        </w:tc>
        <w:tc>
          <w:tcPr>
            <w:tcW w:type="dxa" w:w="3384"/>
            <w:tcMar>
              <w:top w:w="40" w:type="dxa"/>
              <w:start w:w="70" w:type="dxa"/>
              <w:bottom w:w="40" w:type="dxa"/>
              <w:end w:w="70" w:type="dxa"/>
            </w:tcMar>
            <w:vAlign w:val="center"/>
            <w:shd w:fill="F6F8FB"/>
          </w:tcPr>
          <w:p>
            <w:pPr>
              <w:spacing w:before="0" w:after="0" w:line="240" w:lineRule="auto"/>
            </w:pPr>
            <w:r>
              <w:rPr>
                <w:rFonts w:ascii="Aptos" w:hAnsi="Aptos"/>
                <w:sz w:val="16"/>
              </w:rPr>
              <w:t>Dominates frontier research, compute access, and notable models through strong federal and private funding.</w:t>
            </w:r>
          </w:p>
        </w:tc>
        <w:tc>
          <w:tcPr>
            <w:tcW w:type="dxa" w:w="3384"/>
            <w:tcMar>
              <w:top w:w="40" w:type="dxa"/>
              <w:start w:w="70" w:type="dxa"/>
              <w:bottom w:w="40" w:type="dxa"/>
              <w:end w:w="70" w:type="dxa"/>
            </w:tcMar>
            <w:vAlign w:val="center"/>
            <w:shd w:fill="F6F8FB"/>
          </w:tcPr>
          <w:p>
            <w:pPr>
              <w:spacing w:before="0" w:after="0" w:line="240" w:lineRule="auto"/>
            </w:pPr>
            <w:r>
              <w:rPr>
                <w:rFonts w:ascii="Aptos" w:hAnsi="Aptos"/>
                <w:sz w:val="16"/>
              </w:rPr>
              <w:t>Expand compute access, national research funding, and flagship AI consortia, while recognizing the scale gap.</w:t>
            </w:r>
          </w:p>
        </w:tc>
        <w:tc>
          <w:tcPr>
            <w:tcW w:type="dxa" w:w="1944"/>
            <w:tcMar>
              <w:top w:w="40" w:type="dxa"/>
              <w:start w:w="70" w:type="dxa"/>
              <w:bottom w:w="40" w:type="dxa"/>
              <w:end w:w="70" w:type="dxa"/>
            </w:tcMar>
            <w:vAlign w:val="center"/>
            <w:shd w:fill="F6F8FB"/>
          </w:tcPr>
          <w:p>
            <w:pPr>
              <w:spacing w:before="0" w:after="0" w:line="240" w:lineRule="auto"/>
            </w:pPr>
            <w:r>
              <w:rPr>
                <w:rFonts w:ascii="Aptos" w:hAnsi="Aptos"/>
                <w:sz w:val="16"/>
              </w:rPr>
              <w:t>Moderate</w:t>
            </w:r>
          </w:p>
        </w:tc>
      </w:tr>
      <w:tr>
        <w:tc>
          <w:tcPr>
            <w:tcW w:type="dxa" w:w="1584"/>
            <w:tcMar>
              <w:top w:w="40" w:type="dxa"/>
              <w:start w:w="70" w:type="dxa"/>
              <w:bottom w:w="40" w:type="dxa"/>
              <w:end w:w="70" w:type="dxa"/>
            </w:tcMar>
            <w:vAlign w:val="center"/>
          </w:tcPr>
          <w:p>
            <w:pPr>
              <w:spacing w:before="0" w:after="0" w:line="240" w:lineRule="auto"/>
            </w:pPr>
            <w:r>
              <w:rPr>
                <w:rFonts w:ascii="Aptos" w:hAnsi="Aptos"/>
                <w:sz w:val="16"/>
              </w:rPr>
              <w:t>Singapore</w:t>
            </w:r>
          </w:p>
        </w:tc>
        <w:tc>
          <w:tcPr>
            <w:tcW w:type="dxa" w:w="3384"/>
            <w:tcMar>
              <w:top w:w="40" w:type="dxa"/>
              <w:start w:w="70" w:type="dxa"/>
              <w:bottom w:w="40" w:type="dxa"/>
              <w:end w:w="70" w:type="dxa"/>
            </w:tcMar>
            <w:vAlign w:val="center"/>
          </w:tcPr>
          <w:p>
            <w:pPr>
              <w:spacing w:before="0" w:after="0" w:line="240" w:lineRule="auto"/>
            </w:pPr>
            <w:r>
              <w:rPr>
                <w:rFonts w:ascii="Aptos" w:hAnsi="Aptos"/>
                <w:sz w:val="16"/>
              </w:rPr>
              <w:t>Uses integrated national AI R&amp;D planning to support foundational and applied research.</w:t>
            </w:r>
          </w:p>
        </w:tc>
        <w:tc>
          <w:tcPr>
            <w:tcW w:type="dxa" w:w="3384"/>
            <w:tcMar>
              <w:top w:w="40" w:type="dxa"/>
              <w:start w:w="70" w:type="dxa"/>
              <w:bottom w:w="40" w:type="dxa"/>
              <w:end w:w="70" w:type="dxa"/>
            </w:tcMar>
            <w:vAlign w:val="center"/>
          </w:tcPr>
          <w:p>
            <w:pPr>
              <w:spacing w:before="0" w:after="0" w:line="240" w:lineRule="auto"/>
            </w:pPr>
            <w:r>
              <w:rPr>
                <w:rFonts w:ascii="Aptos" w:hAnsi="Aptos"/>
                <w:sz w:val="16"/>
              </w:rPr>
              <w:t>A good model for coordinated federal research funding plus talent attraction.</w:t>
            </w:r>
          </w:p>
        </w:tc>
        <w:tc>
          <w:tcPr>
            <w:tcW w:type="dxa" w:w="1944"/>
            <w:tcMar>
              <w:top w:w="40" w:type="dxa"/>
              <w:start w:w="70" w:type="dxa"/>
              <w:bottom w:w="40" w:type="dxa"/>
              <w:end w:w="70" w:type="dxa"/>
            </w:tcMar>
            <w:vAlign w:val="center"/>
          </w:tcPr>
          <w:p>
            <w:pPr>
              <w:spacing w:before="0" w:after="0" w:line="240" w:lineRule="auto"/>
            </w:pPr>
            <w:r>
              <w:rPr>
                <w:rFonts w:ascii="Aptos" w:hAnsi="Aptos"/>
                <w:sz w:val="16"/>
              </w:rPr>
              <w:t>High</w:t>
            </w:r>
          </w:p>
        </w:tc>
      </w:tr>
      <w:tr>
        <w:tc>
          <w:tcPr>
            <w:tcW w:type="dxa" w:w="1584"/>
            <w:tcMar>
              <w:top w:w="40" w:type="dxa"/>
              <w:start w:w="70" w:type="dxa"/>
              <w:bottom w:w="40" w:type="dxa"/>
              <w:end w:w="70" w:type="dxa"/>
            </w:tcMar>
            <w:vAlign w:val="center"/>
            <w:shd w:fill="F6F8FB"/>
          </w:tcPr>
          <w:p>
            <w:pPr>
              <w:spacing w:before="0" w:after="0" w:line="240" w:lineRule="auto"/>
            </w:pPr>
            <w:r>
              <w:rPr>
                <w:rFonts w:ascii="Aptos" w:hAnsi="Aptos"/>
                <w:sz w:val="16"/>
              </w:rPr>
              <w:t>China</w:t>
            </w:r>
          </w:p>
        </w:tc>
        <w:tc>
          <w:tcPr>
            <w:tcW w:type="dxa" w:w="3384"/>
            <w:tcMar>
              <w:top w:w="40" w:type="dxa"/>
              <w:start w:w="70" w:type="dxa"/>
              <w:bottom w:w="40" w:type="dxa"/>
              <w:end w:w="70" w:type="dxa"/>
            </w:tcMar>
            <w:vAlign w:val="center"/>
            <w:shd w:fill="F6F8FB"/>
          </w:tcPr>
          <w:p>
            <w:pPr>
              <w:spacing w:before="0" w:after="0" w:line="240" w:lineRule="auto"/>
            </w:pPr>
            <w:r>
              <w:rPr>
                <w:rFonts w:ascii="Aptos" w:hAnsi="Aptos"/>
                <w:sz w:val="16"/>
              </w:rPr>
              <w:t>Combines large-scale compute, research funding, and industrial coordination.</w:t>
            </w:r>
          </w:p>
        </w:tc>
        <w:tc>
          <w:tcPr>
            <w:tcW w:type="dxa" w:w="3384"/>
            <w:tcMar>
              <w:top w:w="40" w:type="dxa"/>
              <w:start w:w="70" w:type="dxa"/>
              <w:bottom w:w="40" w:type="dxa"/>
              <w:end w:w="70" w:type="dxa"/>
            </w:tcMar>
            <w:vAlign w:val="center"/>
            <w:shd w:fill="F6F8FB"/>
          </w:tcPr>
          <w:p>
            <w:pPr>
              <w:spacing w:before="0" w:after="0" w:line="240" w:lineRule="auto"/>
            </w:pPr>
            <w:r>
              <w:rPr>
                <w:rFonts w:ascii="Aptos" w:hAnsi="Aptos"/>
                <w:sz w:val="16"/>
              </w:rPr>
              <w:t>Selective lesson only: use coordinated compute and research support, not state direction at Chinese scale.</w:t>
            </w:r>
          </w:p>
        </w:tc>
        <w:tc>
          <w:tcPr>
            <w:tcW w:type="dxa" w:w="1944"/>
            <w:tcMar>
              <w:top w:w="40" w:type="dxa"/>
              <w:start w:w="70" w:type="dxa"/>
              <w:bottom w:w="40" w:type="dxa"/>
              <w:end w:w="70" w:type="dxa"/>
            </w:tcMar>
            <w:vAlign w:val="center"/>
            <w:shd w:fill="F6F8FB"/>
          </w:tcPr>
          <w:p>
            <w:pPr>
              <w:spacing w:before="0" w:after="0" w:line="240" w:lineRule="auto"/>
            </w:pPr>
            <w:r>
              <w:rPr>
                <w:rFonts w:ascii="Aptos" w:hAnsi="Aptos"/>
                <w:sz w:val="16"/>
              </w:rPr>
              <w:t>Partial</w:t>
            </w:r>
          </w:p>
        </w:tc>
      </w:tr>
    </w:tbl>
    <w:p>
      <w:pPr>
        <w:spacing w:after="120" w:line="259" w:lineRule="auto"/>
      </w:pPr>
    </w:p>
    <w:p>
      <w:pPr>
        <w:pStyle w:val="Heading2"/>
        <w:spacing w:before="160" w:after="80"/>
      </w:pPr>
      <w:r>
        <w:t>Theme 3 - Talent and federal capability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Country</w:t>
            </w:r>
          </w:p>
        </w:tc>
        <w:tc>
          <w:tcPr>
            <w:tcW w:type="dxa" w:w="3384"/>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What stands out</w:t>
            </w:r>
          </w:p>
        </w:tc>
        <w:tc>
          <w:tcPr>
            <w:tcW w:type="dxa" w:w="3384"/>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Federal lesson for Canada</w:t>
            </w:r>
          </w:p>
        </w:tc>
        <w:tc>
          <w:tcPr>
            <w:tcW w:type="dxa" w:w="1944"/>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Transferability</w:t>
            </w:r>
          </w:p>
        </w:tc>
      </w:tr>
      <w:tr>
        <w:tc>
          <w:tcPr>
            <w:tcW w:type="dxa" w:w="1584"/>
            <w:tcMar>
              <w:top w:w="40" w:type="dxa"/>
              <w:start w:w="70" w:type="dxa"/>
              <w:bottom w:w="40" w:type="dxa"/>
              <w:end w:w="70" w:type="dxa"/>
            </w:tcMar>
            <w:vAlign w:val="center"/>
            <w:shd w:fill="F6F8FB"/>
          </w:tcPr>
          <w:p>
            <w:pPr>
              <w:spacing w:before="0" w:after="0" w:line="240" w:lineRule="auto"/>
            </w:pPr>
            <w:r>
              <w:rPr>
                <w:rFonts w:ascii="Aptos" w:hAnsi="Aptos"/>
                <w:sz w:val="16"/>
              </w:rPr>
              <w:t>United Kingdom</w:t>
            </w:r>
          </w:p>
        </w:tc>
        <w:tc>
          <w:tcPr>
            <w:tcW w:type="dxa" w:w="3384"/>
            <w:tcMar>
              <w:top w:w="40" w:type="dxa"/>
              <w:start w:w="70" w:type="dxa"/>
              <w:bottom w:w="40" w:type="dxa"/>
              <w:end w:w="70" w:type="dxa"/>
            </w:tcMar>
            <w:vAlign w:val="center"/>
            <w:shd w:fill="F6F8FB"/>
          </w:tcPr>
          <w:p>
            <w:pPr>
              <w:spacing w:before="0" w:after="0" w:line="240" w:lineRule="auto"/>
            </w:pPr>
            <w:r>
              <w:rPr>
                <w:rFonts w:ascii="Aptos" w:hAnsi="Aptos"/>
                <w:sz w:val="16"/>
              </w:rPr>
              <w:t>Combines sovereign compute, skills training, and public-sector delivery.</w:t>
            </w:r>
          </w:p>
        </w:tc>
        <w:tc>
          <w:tcPr>
            <w:tcW w:type="dxa" w:w="3384"/>
            <w:tcMar>
              <w:top w:w="40" w:type="dxa"/>
              <w:start w:w="70" w:type="dxa"/>
              <w:bottom w:w="40" w:type="dxa"/>
              <w:end w:w="70" w:type="dxa"/>
            </w:tcMar>
            <w:vAlign w:val="center"/>
            <w:shd w:fill="F6F8FB"/>
          </w:tcPr>
          <w:p>
            <w:pPr>
              <w:spacing w:before="0" w:after="0" w:line="240" w:lineRule="auto"/>
            </w:pPr>
            <w:r>
              <w:rPr>
                <w:rFonts w:ascii="Aptos" w:hAnsi="Aptos"/>
                <w:sz w:val="16"/>
              </w:rPr>
              <w:t>Use AI upskilling, immigration, and public-sector capability-building as direct federal levers.</w:t>
            </w:r>
          </w:p>
        </w:tc>
        <w:tc>
          <w:tcPr>
            <w:tcW w:type="dxa" w:w="1944"/>
            <w:tcMar>
              <w:top w:w="40" w:type="dxa"/>
              <w:start w:w="70" w:type="dxa"/>
              <w:bottom w:w="40" w:type="dxa"/>
              <w:end w:w="70" w:type="dxa"/>
            </w:tcMar>
            <w:vAlign w:val="center"/>
            <w:shd w:fill="F6F8FB"/>
          </w:tcPr>
          <w:p>
            <w:pPr>
              <w:spacing w:before="0" w:after="0" w:line="240" w:lineRule="auto"/>
            </w:pPr>
            <w:r>
              <w:rPr>
                <w:rFonts w:ascii="Aptos" w:hAnsi="Aptos"/>
                <w:sz w:val="16"/>
              </w:rPr>
              <w:t>High</w:t>
            </w:r>
          </w:p>
        </w:tc>
      </w:tr>
      <w:tr>
        <w:tc>
          <w:tcPr>
            <w:tcW w:type="dxa" w:w="1584"/>
            <w:tcMar>
              <w:top w:w="40" w:type="dxa"/>
              <w:start w:w="70" w:type="dxa"/>
              <w:bottom w:w="40" w:type="dxa"/>
              <w:end w:w="70" w:type="dxa"/>
            </w:tcMar>
            <w:vAlign w:val="center"/>
          </w:tcPr>
          <w:p>
            <w:pPr>
              <w:spacing w:before="0" w:after="0" w:line="240" w:lineRule="auto"/>
            </w:pPr>
            <w:r>
              <w:rPr>
                <w:rFonts w:ascii="Aptos" w:hAnsi="Aptos"/>
                <w:sz w:val="16"/>
              </w:rPr>
              <w:t>Singapore</w:t>
            </w:r>
          </w:p>
        </w:tc>
        <w:tc>
          <w:tcPr>
            <w:tcW w:type="dxa" w:w="3384"/>
            <w:tcMar>
              <w:top w:w="40" w:type="dxa"/>
              <w:start w:w="70" w:type="dxa"/>
              <w:bottom w:w="40" w:type="dxa"/>
              <w:end w:w="70" w:type="dxa"/>
            </w:tcMar>
            <w:vAlign w:val="center"/>
          </w:tcPr>
          <w:p>
            <w:pPr>
              <w:spacing w:before="0" w:after="0" w:line="240" w:lineRule="auto"/>
            </w:pPr>
            <w:r>
              <w:rPr>
                <w:rFonts w:ascii="Aptos" w:hAnsi="Aptos"/>
                <w:sz w:val="16"/>
              </w:rPr>
              <w:t>Integrates scholarships, international talent attraction, and national compute access.</w:t>
            </w:r>
          </w:p>
        </w:tc>
        <w:tc>
          <w:tcPr>
            <w:tcW w:type="dxa" w:w="3384"/>
            <w:tcMar>
              <w:top w:w="40" w:type="dxa"/>
              <w:start w:w="70" w:type="dxa"/>
              <w:bottom w:w="40" w:type="dxa"/>
              <w:end w:w="70" w:type="dxa"/>
            </w:tcMar>
            <w:vAlign w:val="center"/>
          </w:tcPr>
          <w:p>
            <w:pPr>
              <w:spacing w:before="0" w:after="0" w:line="240" w:lineRule="auto"/>
            </w:pPr>
            <w:r>
              <w:rPr>
                <w:rFonts w:ascii="Aptos" w:hAnsi="Aptos"/>
                <w:sz w:val="16"/>
              </w:rPr>
              <w:t>A strong model for linking talent programs to national AI priorities.</w:t>
            </w:r>
          </w:p>
        </w:tc>
        <w:tc>
          <w:tcPr>
            <w:tcW w:type="dxa" w:w="1944"/>
            <w:tcMar>
              <w:top w:w="40" w:type="dxa"/>
              <w:start w:w="70" w:type="dxa"/>
              <w:bottom w:w="40" w:type="dxa"/>
              <w:end w:w="70" w:type="dxa"/>
            </w:tcMar>
            <w:vAlign w:val="center"/>
          </w:tcPr>
          <w:p>
            <w:pPr>
              <w:spacing w:before="0" w:after="0" w:line="240" w:lineRule="auto"/>
            </w:pPr>
            <w:r>
              <w:rPr>
                <w:rFonts w:ascii="Aptos" w:hAnsi="Aptos"/>
                <w:sz w:val="16"/>
              </w:rPr>
              <w:t>High</w:t>
            </w:r>
          </w:p>
        </w:tc>
      </w:tr>
      <w:tr>
        <w:tc>
          <w:tcPr>
            <w:tcW w:type="dxa" w:w="1584"/>
            <w:tcMar>
              <w:top w:w="40" w:type="dxa"/>
              <w:start w:w="70" w:type="dxa"/>
              <w:bottom w:w="40" w:type="dxa"/>
              <w:end w:w="70" w:type="dxa"/>
            </w:tcMar>
            <w:vAlign w:val="center"/>
            <w:shd w:fill="F6F8FB"/>
          </w:tcPr>
          <w:p>
            <w:pPr>
              <w:spacing w:before="0" w:after="0" w:line="240" w:lineRule="auto"/>
            </w:pPr>
            <w:r>
              <w:rPr>
                <w:rFonts w:ascii="Aptos" w:hAnsi="Aptos"/>
                <w:sz w:val="16"/>
              </w:rPr>
              <w:t>South Korea</w:t>
            </w:r>
          </w:p>
        </w:tc>
        <w:tc>
          <w:tcPr>
            <w:tcW w:type="dxa" w:w="3384"/>
            <w:tcMar>
              <w:top w:w="40" w:type="dxa"/>
              <w:start w:w="70" w:type="dxa"/>
              <w:bottom w:w="40" w:type="dxa"/>
              <w:end w:w="70" w:type="dxa"/>
            </w:tcMar>
            <w:vAlign w:val="center"/>
            <w:shd w:fill="F6F8FB"/>
          </w:tcPr>
          <w:p>
            <w:pPr>
              <w:spacing w:before="0" w:after="0" w:line="240" w:lineRule="auto"/>
            </w:pPr>
            <w:r>
              <w:rPr>
                <w:rFonts w:ascii="Aptos" w:hAnsi="Aptos"/>
                <w:sz w:val="16"/>
              </w:rPr>
              <w:t>Shows high ambition on compute and talent, but many implementation mechanisms are nationally coordinated at scale.</w:t>
            </w:r>
          </w:p>
        </w:tc>
        <w:tc>
          <w:tcPr>
            <w:tcW w:type="dxa" w:w="3384"/>
            <w:tcMar>
              <w:top w:w="40" w:type="dxa"/>
              <w:start w:w="70" w:type="dxa"/>
              <w:bottom w:w="40" w:type="dxa"/>
              <w:end w:w="70" w:type="dxa"/>
            </w:tcMar>
            <w:vAlign w:val="center"/>
            <w:shd w:fill="F6F8FB"/>
          </w:tcPr>
          <w:p>
            <w:pPr>
              <w:spacing w:before="0" w:after="0" w:line="240" w:lineRule="auto"/>
            </w:pPr>
            <w:r>
              <w:rPr>
                <w:rFonts w:ascii="Aptos" w:hAnsi="Aptos"/>
                <w:sz w:val="16"/>
              </w:rPr>
              <w:t>Borrow the ambition and federal compute/talent logic, but avoid local industrial-zoning style structures.</w:t>
            </w:r>
          </w:p>
        </w:tc>
        <w:tc>
          <w:tcPr>
            <w:tcW w:type="dxa" w:w="1944"/>
            <w:tcMar>
              <w:top w:w="40" w:type="dxa"/>
              <w:start w:w="70" w:type="dxa"/>
              <w:bottom w:w="40" w:type="dxa"/>
              <w:end w:w="70" w:type="dxa"/>
            </w:tcMar>
            <w:vAlign w:val="center"/>
            <w:shd w:fill="F6F8FB"/>
          </w:tcPr>
          <w:p>
            <w:pPr>
              <w:spacing w:before="0" w:after="0" w:line="240" w:lineRule="auto"/>
            </w:pPr>
            <w:r>
              <w:rPr>
                <w:rFonts w:ascii="Aptos" w:hAnsi="Aptos"/>
                <w:sz w:val="16"/>
              </w:rPr>
              <w:t>Partial</w:t>
            </w:r>
          </w:p>
        </w:tc>
      </w:tr>
    </w:tbl>
    <w:p>
      <w:pPr>
        <w:spacing w:after="120" w:line="259" w:lineRule="auto"/>
      </w:pPr>
    </w:p>
    <w:p>
      <w:pPr>
        <w:pStyle w:val="Heading1"/>
        <w:spacing w:before="160" w:after="80"/>
      </w:pPr>
      <w:r>
        <w:t>SECTION E - Revised implementation cards (federal-only)</w:t>
      </w:r>
    </w:p>
    <w:p>
      <w:pPr>
        <w:pStyle w:val="Heading2"/>
        <w:spacing w:before="160" w:after="80"/>
      </w:pPr>
      <w:r>
        <w:t>Implementation Card 1 - Federal AI Commercialization and Adoption Accelerator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Item</w:t>
            </w:r>
          </w:p>
        </w:tc>
        <w:tc>
          <w:tcPr>
            <w:tcW w:type="dxa" w:w="8208"/>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Description</w:t>
            </w:r>
          </w:p>
        </w:tc>
      </w:tr>
      <w:tr>
        <w:trPr>
          <w:cantSplit/>
        </w:trPr>
        <w:tc>
          <w:tcPr>
            <w:tcW w:type="dxa" w:w="2448"/>
            <w:tcMar>
              <w:top w:w="40" w:type="dxa"/>
              <w:start w:w="70" w:type="dxa"/>
              <w:bottom w:w="40" w:type="dxa"/>
              <w:end w:w="70" w:type="dxa"/>
            </w:tcMar>
            <w:vAlign w:val="center"/>
            <w:shd w:fill="F6F8FB"/>
          </w:tcPr>
          <w:p>
            <w:pPr>
              <w:spacing w:before="0" w:after="0" w:line="240" w:lineRule="auto"/>
            </w:pPr>
            <w:r>
              <w:rPr>
                <w:rFonts w:ascii="Aptos" w:hAnsi="Aptos"/>
                <w:sz w:val="16"/>
              </w:rPr>
              <w:t>Recommendation title</w:t>
            </w:r>
          </w:p>
        </w:tc>
        <w:tc>
          <w:tcPr>
            <w:tcW w:type="dxa" w:w="8208"/>
            <w:tcMar>
              <w:top w:w="40" w:type="dxa"/>
              <w:start w:w="70" w:type="dxa"/>
              <w:bottom w:w="40" w:type="dxa"/>
              <w:end w:w="70" w:type="dxa"/>
            </w:tcMar>
            <w:vAlign w:val="center"/>
            <w:shd w:fill="F6F8FB"/>
          </w:tcPr>
          <w:p>
            <w:pPr>
              <w:spacing w:before="0" w:after="0" w:line="240" w:lineRule="auto"/>
            </w:pPr>
            <w:r>
              <w:rPr>
                <w:rFonts w:ascii="Aptos" w:hAnsi="Aptos"/>
                <w:sz w:val="16"/>
              </w:rPr>
              <w:t>Federal AI Commercialization and Adoption Accelerator (FAICAA)</w:t>
            </w:r>
          </w:p>
        </w:tc>
      </w:tr>
      <w:tr>
        <w:trPr>
          <w:cantSplit/>
        </w:trPr>
        <w:tc>
          <w:tcPr>
            <w:tcW w:type="dxa" w:w="2448"/>
            <w:tcMar>
              <w:top w:w="40" w:type="dxa"/>
              <w:start w:w="70" w:type="dxa"/>
              <w:bottom w:w="40" w:type="dxa"/>
              <w:end w:w="70" w:type="dxa"/>
            </w:tcMar>
            <w:vAlign w:val="center"/>
          </w:tcPr>
          <w:p>
            <w:pPr>
              <w:spacing w:before="0" w:after="0" w:line="240" w:lineRule="auto"/>
            </w:pPr>
            <w:r>
              <w:rPr>
                <w:rFonts w:ascii="Aptos" w:hAnsi="Aptos"/>
                <w:sz w:val="16"/>
              </w:rPr>
              <w:t>Specific actions</w:t>
            </w:r>
          </w:p>
        </w:tc>
        <w:tc>
          <w:tcPr>
            <w:tcW w:type="dxa" w:w="8208"/>
            <w:tcMar>
              <w:top w:w="40" w:type="dxa"/>
              <w:start w:w="70" w:type="dxa"/>
              <w:bottom w:w="40" w:type="dxa"/>
              <w:end w:w="70" w:type="dxa"/>
            </w:tcMar>
            <w:vAlign w:val="center"/>
          </w:tcPr>
          <w:p>
            <w:pPr>
              <w:spacing w:before="0" w:after="0" w:line="240" w:lineRule="auto"/>
            </w:pPr>
            <w:r>
              <w:rPr>
                <w:rFonts w:ascii="Aptos" w:hAnsi="Aptos"/>
                <w:sz w:val="16"/>
              </w:rPr>
              <w:t>1. Create a CAD 2.0 billion federal co-investment facility through ISED and BDC focused on Canadian AI scale-ups and commercialization-stage firms.</w:t>
              <w:br/>
              <w:t>2. Launch a federal AI procurement challenge program requiring participating federal departments to pilot and procure qualified Canadian AI solutions for defined public-sector use cases.</w:t>
              <w:br/>
              <w:t>3. Introduce a federal AI adoption tax incentive for SMEs investing in eligible AI deployment, workflow automation, or model-integration projects.</w:t>
              <w:br/>
              <w:t>4. Expand Export Development Canada support for export-ready Canadian AI firms.</w:t>
            </w:r>
          </w:p>
        </w:tc>
      </w:tr>
      <w:tr>
        <w:trPr>
          <w:cantSplit/>
        </w:trPr>
        <w:tc>
          <w:tcPr>
            <w:tcW w:type="dxa" w:w="2448"/>
            <w:tcMar>
              <w:top w:w="40" w:type="dxa"/>
              <w:start w:w="70" w:type="dxa"/>
              <w:bottom w:w="40" w:type="dxa"/>
              <w:end w:w="70" w:type="dxa"/>
            </w:tcMar>
            <w:vAlign w:val="center"/>
            <w:shd w:fill="F6F8FB"/>
          </w:tcPr>
          <w:p>
            <w:pPr>
              <w:spacing w:before="0" w:after="0" w:line="240" w:lineRule="auto"/>
            </w:pPr>
            <w:r>
              <w:rPr>
                <w:rFonts w:ascii="Aptos" w:hAnsi="Aptos"/>
                <w:sz w:val="16"/>
              </w:rPr>
              <w:t>Why this addresses KPI gaps</w:t>
            </w:r>
          </w:p>
        </w:tc>
        <w:tc>
          <w:tcPr>
            <w:tcW w:type="dxa" w:w="8208"/>
            <w:tcMar>
              <w:top w:w="40" w:type="dxa"/>
              <w:start w:w="70" w:type="dxa"/>
              <w:bottom w:w="40" w:type="dxa"/>
              <w:end w:w="70" w:type="dxa"/>
            </w:tcMar>
            <w:vAlign w:val="center"/>
            <w:shd w:fill="F6F8FB"/>
          </w:tcPr>
          <w:p>
            <w:pPr>
              <w:spacing w:before="0" w:after="0" w:line="240" w:lineRule="auto"/>
            </w:pPr>
            <w:r>
              <w:rPr>
                <w:rFonts w:ascii="Aptos" w:hAnsi="Aptos"/>
                <w:sz w:val="16"/>
              </w:rPr>
              <w:t>This is the cleanest federal route to move the biggest weighted-gap indicators: commercial score, investment activity, and adoption. It replaces the earlier growth-zone idea with tools fully under federal control.</w:t>
            </w:r>
          </w:p>
        </w:tc>
      </w:tr>
      <w:tr>
        <w:trPr>
          <w:cantSplit/>
        </w:trPr>
        <w:tc>
          <w:tcPr>
            <w:tcW w:type="dxa" w:w="2448"/>
            <w:tcMar>
              <w:top w:w="40" w:type="dxa"/>
              <w:start w:w="70" w:type="dxa"/>
              <w:bottom w:w="40" w:type="dxa"/>
              <w:end w:w="70" w:type="dxa"/>
            </w:tcMar>
            <w:vAlign w:val="center"/>
          </w:tcPr>
          <w:p>
            <w:pPr>
              <w:spacing w:before="0" w:after="0" w:line="240" w:lineRule="auto"/>
            </w:pPr>
            <w:r>
              <w:rPr>
                <w:rFonts w:ascii="Aptos" w:hAnsi="Aptos"/>
                <w:sz w:val="16"/>
              </w:rPr>
              <w:t>Estimated cost range</w:t>
            </w:r>
          </w:p>
        </w:tc>
        <w:tc>
          <w:tcPr>
            <w:tcW w:type="dxa" w:w="8208"/>
            <w:tcMar>
              <w:top w:w="40" w:type="dxa"/>
              <w:start w:w="70" w:type="dxa"/>
              <w:bottom w:w="40" w:type="dxa"/>
              <w:end w:w="70" w:type="dxa"/>
            </w:tcMar>
            <w:vAlign w:val="center"/>
          </w:tcPr>
          <w:p>
            <w:pPr>
              <w:spacing w:before="0" w:after="0" w:line="240" w:lineRule="auto"/>
            </w:pPr>
            <w:r>
              <w:rPr>
                <w:rFonts w:ascii="Aptos" w:hAnsi="Aptos"/>
                <w:sz w:val="16"/>
              </w:rPr>
              <w:t>CAD 2.5-4.0 billion over 3 years</w:t>
            </w:r>
          </w:p>
        </w:tc>
      </w:tr>
      <w:tr>
        <w:trPr>
          <w:cantSplit/>
        </w:trPr>
        <w:tc>
          <w:tcPr>
            <w:tcW w:type="dxa" w:w="2448"/>
            <w:tcMar>
              <w:top w:w="40" w:type="dxa"/>
              <w:start w:w="70" w:type="dxa"/>
              <w:bottom w:w="40" w:type="dxa"/>
              <w:end w:w="70" w:type="dxa"/>
            </w:tcMar>
            <w:vAlign w:val="center"/>
            <w:shd w:fill="F6F8FB"/>
          </w:tcPr>
          <w:p>
            <w:pPr>
              <w:spacing w:before="0" w:after="0" w:line="240" w:lineRule="auto"/>
            </w:pPr>
            <w:r>
              <w:rPr>
                <w:rFonts w:ascii="Aptos" w:hAnsi="Aptos"/>
                <w:sz w:val="16"/>
              </w:rPr>
              <w:t>Timeline</w:t>
            </w:r>
          </w:p>
        </w:tc>
        <w:tc>
          <w:tcPr>
            <w:tcW w:type="dxa" w:w="8208"/>
            <w:tcMar>
              <w:top w:w="40" w:type="dxa"/>
              <w:start w:w="70" w:type="dxa"/>
              <w:bottom w:w="40" w:type="dxa"/>
              <w:end w:w="70" w:type="dxa"/>
            </w:tcMar>
            <w:vAlign w:val="center"/>
            <w:shd w:fill="F6F8FB"/>
          </w:tcPr>
          <w:p>
            <w:pPr>
              <w:spacing w:before="0" w:after="0" w:line="240" w:lineRule="auto"/>
            </w:pPr>
            <w:r>
              <w:rPr>
                <w:rFonts w:ascii="Aptos" w:hAnsi="Aptos"/>
                <w:sz w:val="16"/>
              </w:rPr>
              <w:t>Year 1: establish facility, define tax-incentive rules, launch first procurement challenges.</w:t>
              <w:br/>
              <w:t>Year 2: first funded scale-ups and departmental procurements; SME uptake begins.</w:t>
              <w:br/>
              <w:t>Year 3: expand successful streams; evaluate commercialization outcomes.</w:t>
            </w:r>
          </w:p>
        </w:tc>
      </w:tr>
      <w:tr>
        <w:trPr>
          <w:cantSplit/>
        </w:trPr>
        <w:tc>
          <w:tcPr>
            <w:tcW w:type="dxa" w:w="2448"/>
            <w:tcMar>
              <w:top w:w="40" w:type="dxa"/>
              <w:start w:w="70" w:type="dxa"/>
              <w:bottom w:w="40" w:type="dxa"/>
              <w:end w:w="70" w:type="dxa"/>
            </w:tcMar>
            <w:vAlign w:val="center"/>
          </w:tcPr>
          <w:p>
            <w:pPr>
              <w:spacing w:before="0" w:after="0" w:line="240" w:lineRule="auto"/>
            </w:pPr>
            <w:r>
              <w:rPr>
                <w:rFonts w:ascii="Aptos" w:hAnsi="Aptos"/>
                <w:sz w:val="16"/>
              </w:rPr>
              <w:t>Primary success metric</w:t>
            </w:r>
          </w:p>
        </w:tc>
        <w:tc>
          <w:tcPr>
            <w:tcW w:type="dxa" w:w="8208"/>
            <w:tcMar>
              <w:top w:w="40" w:type="dxa"/>
              <w:start w:w="70" w:type="dxa"/>
              <w:bottom w:w="40" w:type="dxa"/>
              <w:end w:w="70" w:type="dxa"/>
            </w:tcMar>
            <w:vAlign w:val="center"/>
          </w:tcPr>
          <w:p>
            <w:pPr>
              <w:spacing w:before="0" w:after="0" w:line="240" w:lineRule="auto"/>
            </w:pPr>
            <w:r>
              <w:rPr>
                <w:rFonts w:ascii="Aptos" w:hAnsi="Aptos"/>
                <w:sz w:val="16"/>
              </w:rPr>
              <w:t>Increase Canada's Tortoise Commercial Score by at least 20 points within 3 years.</w:t>
            </w:r>
          </w:p>
        </w:tc>
      </w:tr>
      <w:tr>
        <w:trPr>
          <w:cantSplit/>
        </w:trPr>
        <w:tc>
          <w:tcPr>
            <w:tcW w:type="dxa" w:w="2448"/>
            <w:tcMar>
              <w:top w:w="40" w:type="dxa"/>
              <w:start w:w="70" w:type="dxa"/>
              <w:bottom w:w="40" w:type="dxa"/>
              <w:end w:w="70" w:type="dxa"/>
            </w:tcMar>
            <w:vAlign w:val="center"/>
            <w:shd w:fill="F6F8FB"/>
          </w:tcPr>
          <w:p>
            <w:pPr>
              <w:spacing w:before="0" w:after="0" w:line="240" w:lineRule="auto"/>
            </w:pPr>
            <w:r>
              <w:rPr>
                <w:rFonts w:ascii="Aptos" w:hAnsi="Aptos"/>
                <w:sz w:val="16"/>
              </w:rPr>
              <w:t>Responsible ministry / agency</w:t>
            </w:r>
          </w:p>
        </w:tc>
        <w:tc>
          <w:tcPr>
            <w:tcW w:type="dxa" w:w="8208"/>
            <w:tcMar>
              <w:top w:w="40" w:type="dxa"/>
              <w:start w:w="70" w:type="dxa"/>
              <w:bottom w:w="40" w:type="dxa"/>
              <w:end w:w="70" w:type="dxa"/>
            </w:tcMar>
            <w:vAlign w:val="center"/>
            <w:shd w:fill="F6F8FB"/>
          </w:tcPr>
          <w:p>
            <w:pPr>
              <w:spacing w:before="0" w:after="0" w:line="240" w:lineRule="auto"/>
            </w:pPr>
            <w:r>
              <w:rPr>
                <w:rFonts w:ascii="Aptos" w:hAnsi="Aptos"/>
                <w:sz w:val="16"/>
              </w:rPr>
              <w:t>ISED; BDC; Treasury Board Secretariat; Public Services and Procurement Canada (PSPC); Export Development Canada (EDC)</w:t>
            </w:r>
          </w:p>
        </w:tc>
      </w:tr>
      <w:tr>
        <w:trPr>
          <w:cantSplit/>
        </w:trPr>
        <w:tc>
          <w:tcPr>
            <w:tcW w:type="dxa" w:w="2448"/>
            <w:tcMar>
              <w:top w:w="40" w:type="dxa"/>
              <w:start w:w="70" w:type="dxa"/>
              <w:bottom w:w="40" w:type="dxa"/>
              <w:end w:w="70" w:type="dxa"/>
            </w:tcMar>
            <w:vAlign w:val="center"/>
          </w:tcPr>
          <w:p>
            <w:pPr>
              <w:spacing w:before="0" w:after="0" w:line="240" w:lineRule="auto"/>
            </w:pPr>
            <w:r>
              <w:rPr>
                <w:rFonts w:ascii="Aptos" w:hAnsi="Aptos"/>
                <w:sz w:val="16"/>
              </w:rPr>
              <w:t>Secondary KPIs to monitor</w:t>
            </w:r>
          </w:p>
        </w:tc>
        <w:tc>
          <w:tcPr>
            <w:tcW w:type="dxa" w:w="8208"/>
            <w:tcMar>
              <w:top w:w="40" w:type="dxa"/>
              <w:start w:w="70" w:type="dxa"/>
              <w:bottom w:w="40" w:type="dxa"/>
              <w:end w:w="70" w:type="dxa"/>
            </w:tcMar>
            <w:vAlign w:val="center"/>
          </w:tcPr>
          <w:p>
            <w:pPr>
              <w:spacing w:before="0" w:after="0" w:line="240" w:lineRule="auto"/>
            </w:pPr>
            <w:r>
              <w:rPr>
                <w:rFonts w:ascii="Aptos" w:hAnsi="Aptos"/>
                <w:sz w:val="16"/>
              </w:rPr>
              <w:t>AI Investment Activity; AI Adoption (%); AI Job Postings (% of Total)</w:t>
            </w:r>
          </w:p>
        </w:tc>
      </w:tr>
      <w:tr>
        <w:trPr>
          <w:cantSplit/>
        </w:trPr>
        <w:tc>
          <w:tcPr>
            <w:tcW w:type="dxa" w:w="2448"/>
            <w:tcMar>
              <w:top w:w="40" w:type="dxa"/>
              <w:start w:w="70" w:type="dxa"/>
              <w:bottom w:w="40" w:type="dxa"/>
              <w:end w:w="70" w:type="dxa"/>
            </w:tcMar>
            <w:vAlign w:val="center"/>
            <w:shd w:fill="F6F8FB"/>
          </w:tcPr>
          <w:p>
            <w:pPr>
              <w:spacing w:before="0" w:after="0" w:line="240" w:lineRule="auto"/>
            </w:pPr>
            <w:r>
              <w:rPr>
                <w:rFonts w:ascii="Aptos" w:hAnsi="Aptos"/>
                <w:sz w:val="16"/>
              </w:rPr>
              <w:t>Key implementation risk</w:t>
            </w:r>
          </w:p>
        </w:tc>
        <w:tc>
          <w:tcPr>
            <w:tcW w:type="dxa" w:w="8208"/>
            <w:tcMar>
              <w:top w:w="40" w:type="dxa"/>
              <w:start w:w="70" w:type="dxa"/>
              <w:bottom w:w="40" w:type="dxa"/>
              <w:end w:w="70" w:type="dxa"/>
            </w:tcMar>
            <w:vAlign w:val="center"/>
            <w:shd w:fill="F6F8FB"/>
          </w:tcPr>
          <w:p>
            <w:pPr>
              <w:spacing w:before="0" w:after="0" w:line="240" w:lineRule="auto"/>
            </w:pPr>
            <w:r>
              <w:rPr>
                <w:rFonts w:ascii="Aptos" w:hAnsi="Aptos"/>
                <w:sz w:val="16"/>
              </w:rPr>
              <w:t>Government capital may crowd out private capital or fund weak firms.</w:t>
            </w:r>
          </w:p>
        </w:tc>
      </w:tr>
      <w:tr>
        <w:trPr>
          <w:cantSplit/>
        </w:trPr>
        <w:tc>
          <w:tcPr>
            <w:tcW w:type="dxa" w:w="2448"/>
            <w:tcMar>
              <w:top w:w="40" w:type="dxa"/>
              <w:start w:w="70" w:type="dxa"/>
              <w:bottom w:w="40" w:type="dxa"/>
              <w:end w:w="70" w:type="dxa"/>
            </w:tcMar>
            <w:vAlign w:val="center"/>
          </w:tcPr>
          <w:p>
            <w:pPr>
              <w:spacing w:before="0" w:after="0" w:line="240" w:lineRule="auto"/>
            </w:pPr>
            <w:r>
              <w:rPr>
                <w:rFonts w:ascii="Aptos" w:hAnsi="Aptos"/>
                <w:sz w:val="16"/>
              </w:rPr>
              <w:t>Suggested mitigation</w:t>
            </w:r>
          </w:p>
        </w:tc>
        <w:tc>
          <w:tcPr>
            <w:tcW w:type="dxa" w:w="8208"/>
            <w:tcMar>
              <w:top w:w="40" w:type="dxa"/>
              <w:start w:w="70" w:type="dxa"/>
              <w:bottom w:w="40" w:type="dxa"/>
              <w:end w:w="70" w:type="dxa"/>
            </w:tcMar>
            <w:vAlign w:val="center"/>
          </w:tcPr>
          <w:p>
            <w:pPr>
              <w:spacing w:before="0" w:after="0" w:line="240" w:lineRule="auto"/>
            </w:pPr>
            <w:r>
              <w:rPr>
                <w:rFonts w:ascii="Aptos" w:hAnsi="Aptos"/>
                <w:sz w:val="16"/>
              </w:rPr>
              <w:t>Require private matching capital where feasible, use independent investment committees, and tie procurement pilots to measurable operational outcomes.</w:t>
            </w:r>
          </w:p>
        </w:tc>
      </w:tr>
    </w:tbl>
    <w:p>
      <w:pPr>
        <w:spacing w:after="120" w:line="259" w:lineRule="auto"/>
      </w:pPr>
    </w:p>
    <w:p>
      <w:pPr>
        <w:pStyle w:val="Heading2"/>
        <w:spacing w:before="160" w:after="80"/>
      </w:pPr>
      <w:r>
        <w:t>Implementation Card 2 - Federal AI Research, Compute, and IP Conversion Program</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Item</w:t>
            </w:r>
          </w:p>
        </w:tc>
        <w:tc>
          <w:tcPr>
            <w:tcW w:type="dxa" w:w="8208"/>
            <w:tcMar>
              <w:top w:w="40" w:type="dxa"/>
              <w:start w:w="70" w:type="dxa"/>
              <w:bottom w:w="40" w:type="dxa"/>
              <w:end w:w="70" w:type="dxa"/>
            </w:tcMar>
            <w:vAlign w:val="center"/>
            <w:shd w:fill="1F4E79"/>
          </w:tcPr>
          <w:p>
            <w:pPr>
              <w:spacing w:before="0" w:after="0" w:line="240" w:lineRule="auto"/>
              <w:jc w:val="center"/>
            </w:pPr>
            <w:r>
              <w:rPr>
                <w:rFonts w:ascii="Aptos" w:hAnsi="Aptos"/>
                <w:b/>
                <w:color w:val="FFFFFF"/>
                <w:sz w:val="16"/>
              </w:rPr>
              <w:t>Description</w:t>
            </w:r>
          </w:p>
        </w:tc>
      </w:tr>
      <w:tr>
        <w:trPr>
          <w:cantSplit/>
        </w:trPr>
        <w:tc>
          <w:tcPr>
            <w:tcW w:type="dxa" w:w="2448"/>
            <w:tcMar>
              <w:top w:w="40" w:type="dxa"/>
              <w:start w:w="70" w:type="dxa"/>
              <w:bottom w:w="40" w:type="dxa"/>
              <w:end w:w="70" w:type="dxa"/>
            </w:tcMar>
            <w:vAlign w:val="center"/>
            <w:shd w:fill="F6F8FB"/>
          </w:tcPr>
          <w:p>
            <w:pPr>
              <w:spacing w:before="0" w:after="0" w:line="240" w:lineRule="auto"/>
            </w:pPr>
            <w:r>
              <w:rPr>
                <w:rFonts w:ascii="Aptos" w:hAnsi="Aptos"/>
                <w:sz w:val="16"/>
              </w:rPr>
              <w:t>Recommendation title</w:t>
            </w:r>
          </w:p>
        </w:tc>
        <w:tc>
          <w:tcPr>
            <w:tcW w:type="dxa" w:w="8208"/>
            <w:tcMar>
              <w:top w:w="40" w:type="dxa"/>
              <w:start w:w="70" w:type="dxa"/>
              <w:bottom w:w="40" w:type="dxa"/>
              <w:end w:w="70" w:type="dxa"/>
            </w:tcMar>
            <w:vAlign w:val="center"/>
            <w:shd w:fill="F6F8FB"/>
          </w:tcPr>
          <w:p>
            <w:pPr>
              <w:spacing w:before="0" w:after="0" w:line="240" w:lineRule="auto"/>
            </w:pPr>
            <w:r>
              <w:rPr>
                <w:rFonts w:ascii="Aptos" w:hAnsi="Aptos"/>
                <w:sz w:val="16"/>
              </w:rPr>
              <w:t>Federal AI Research, Compute, and IP Conversion Program (FAR-CIP)</w:t>
            </w:r>
          </w:p>
        </w:tc>
      </w:tr>
      <w:tr>
        <w:trPr>
          <w:cantSplit/>
        </w:trPr>
        <w:tc>
          <w:tcPr>
            <w:tcW w:type="dxa" w:w="2448"/>
            <w:tcMar>
              <w:top w:w="40" w:type="dxa"/>
              <w:start w:w="70" w:type="dxa"/>
              <w:bottom w:w="40" w:type="dxa"/>
              <w:end w:w="70" w:type="dxa"/>
            </w:tcMar>
            <w:vAlign w:val="center"/>
          </w:tcPr>
          <w:p>
            <w:pPr>
              <w:spacing w:before="0" w:after="0" w:line="240" w:lineRule="auto"/>
            </w:pPr>
            <w:r>
              <w:rPr>
                <w:rFonts w:ascii="Aptos" w:hAnsi="Aptos"/>
                <w:sz w:val="16"/>
              </w:rPr>
              <w:t>Specific actions</w:t>
            </w:r>
          </w:p>
        </w:tc>
        <w:tc>
          <w:tcPr>
            <w:tcW w:type="dxa" w:w="8208"/>
            <w:tcMar>
              <w:top w:w="40" w:type="dxa"/>
              <w:start w:w="70" w:type="dxa"/>
              <w:bottom w:w="40" w:type="dxa"/>
              <w:end w:w="70" w:type="dxa"/>
            </w:tcMar>
            <w:vAlign w:val="center"/>
          </w:tcPr>
          <w:p>
            <w:pPr>
              <w:spacing w:before="0" w:after="0" w:line="240" w:lineRule="auto"/>
            </w:pPr>
            <w:r>
              <w:rPr>
                <w:rFonts w:ascii="Aptos" w:hAnsi="Aptos"/>
                <w:sz w:val="16"/>
              </w:rPr>
              <w:t>1. Add CAD 1.0-1.5 billion to the existing federal sovereign compute effort to expand access for Canadian researchers, scale-ups, and model developers.</w:t>
              <w:br/>
              <w:t>2. Create a federal AI frontier research call through NRC / tri-council / CIFAR-linked mechanisms focused on high-impact publications, foundation models, and translational AI.</w:t>
              <w:br/>
              <w:t>3. Launch a national AI patent acceleration and IP support stream through CIPO and related federal innovation agencies.</w:t>
              <w:br/>
              <w:t>4. Fund federal industry-academic challenge consortia around strategic domains such as industrial AI, cybersecurity AI, and public-service AI.</w:t>
            </w:r>
          </w:p>
        </w:tc>
      </w:tr>
      <w:tr>
        <w:trPr>
          <w:cantSplit/>
        </w:trPr>
        <w:tc>
          <w:tcPr>
            <w:tcW w:type="dxa" w:w="2448"/>
            <w:tcMar>
              <w:top w:w="40" w:type="dxa"/>
              <w:start w:w="70" w:type="dxa"/>
              <w:bottom w:w="40" w:type="dxa"/>
              <w:end w:w="70" w:type="dxa"/>
            </w:tcMar>
            <w:vAlign w:val="center"/>
            <w:shd w:fill="F6F8FB"/>
          </w:tcPr>
          <w:p>
            <w:pPr>
              <w:spacing w:before="0" w:after="0" w:line="240" w:lineRule="auto"/>
            </w:pPr>
            <w:r>
              <w:rPr>
                <w:rFonts w:ascii="Aptos" w:hAnsi="Aptos"/>
                <w:sz w:val="16"/>
              </w:rPr>
              <w:t>Why this addresses KPI gaps</w:t>
            </w:r>
          </w:p>
        </w:tc>
        <w:tc>
          <w:tcPr>
            <w:tcW w:type="dxa" w:w="8208"/>
            <w:tcMar>
              <w:top w:w="40" w:type="dxa"/>
              <w:start w:w="70" w:type="dxa"/>
              <w:bottom w:w="40" w:type="dxa"/>
              <w:end w:w="70" w:type="dxa"/>
            </w:tcMar>
            <w:vAlign w:val="center"/>
            <w:shd w:fill="F6F8FB"/>
          </w:tcPr>
          <w:p>
            <w:pPr>
              <w:spacing w:before="0" w:after="0" w:line="240" w:lineRule="auto"/>
            </w:pPr>
            <w:r>
              <w:rPr>
                <w:rFonts w:ascii="Aptos" w:hAnsi="Aptos"/>
                <w:sz w:val="16"/>
              </w:rPr>
              <w:t>This recommendation directly targets research score, development score, citations, publications, notable models, and patents, while aligning with existing federal AI frameworks.</w:t>
            </w:r>
          </w:p>
        </w:tc>
      </w:tr>
      <w:tr>
        <w:trPr>
          <w:cantSplit/>
        </w:trPr>
        <w:tc>
          <w:tcPr>
            <w:tcW w:type="dxa" w:w="2448"/>
            <w:tcMar>
              <w:top w:w="40" w:type="dxa"/>
              <w:start w:w="70" w:type="dxa"/>
              <w:bottom w:w="40" w:type="dxa"/>
              <w:end w:w="70" w:type="dxa"/>
            </w:tcMar>
            <w:vAlign w:val="center"/>
          </w:tcPr>
          <w:p>
            <w:pPr>
              <w:spacing w:before="0" w:after="0" w:line="240" w:lineRule="auto"/>
            </w:pPr>
            <w:r>
              <w:rPr>
                <w:rFonts w:ascii="Aptos" w:hAnsi="Aptos"/>
                <w:sz w:val="16"/>
              </w:rPr>
              <w:t>Estimated cost range</w:t>
            </w:r>
          </w:p>
        </w:tc>
        <w:tc>
          <w:tcPr>
            <w:tcW w:type="dxa" w:w="8208"/>
            <w:tcMar>
              <w:top w:w="40" w:type="dxa"/>
              <w:start w:w="70" w:type="dxa"/>
              <w:bottom w:w="40" w:type="dxa"/>
              <w:end w:w="70" w:type="dxa"/>
            </w:tcMar>
            <w:vAlign w:val="center"/>
          </w:tcPr>
          <w:p>
            <w:pPr>
              <w:spacing w:before="0" w:after="0" w:line="240" w:lineRule="auto"/>
            </w:pPr>
            <w:r>
              <w:rPr>
                <w:rFonts w:ascii="Aptos" w:hAnsi="Aptos"/>
                <w:sz w:val="16"/>
              </w:rPr>
              <w:t>CAD 1.8-2.8 billion over 3 years</w:t>
            </w:r>
          </w:p>
        </w:tc>
      </w:tr>
      <w:tr>
        <w:trPr>
          <w:cantSplit/>
        </w:trPr>
        <w:tc>
          <w:tcPr>
            <w:tcW w:type="dxa" w:w="2448"/>
            <w:tcMar>
              <w:top w:w="40" w:type="dxa"/>
              <w:start w:w="70" w:type="dxa"/>
              <w:bottom w:w="40" w:type="dxa"/>
              <w:end w:w="70" w:type="dxa"/>
            </w:tcMar>
            <w:vAlign w:val="center"/>
            <w:shd w:fill="F6F8FB"/>
          </w:tcPr>
          <w:p>
            <w:pPr>
              <w:spacing w:before="0" w:after="0" w:line="240" w:lineRule="auto"/>
            </w:pPr>
            <w:r>
              <w:rPr>
                <w:rFonts w:ascii="Aptos" w:hAnsi="Aptos"/>
                <w:sz w:val="16"/>
              </w:rPr>
              <w:t>Timeline</w:t>
            </w:r>
          </w:p>
        </w:tc>
        <w:tc>
          <w:tcPr>
            <w:tcW w:type="dxa" w:w="8208"/>
            <w:tcMar>
              <w:top w:w="40" w:type="dxa"/>
              <w:start w:w="70" w:type="dxa"/>
              <w:bottom w:w="40" w:type="dxa"/>
              <w:end w:w="70" w:type="dxa"/>
            </w:tcMar>
            <w:vAlign w:val="center"/>
            <w:shd w:fill="F6F8FB"/>
          </w:tcPr>
          <w:p>
            <w:pPr>
              <w:spacing w:before="0" w:after="0" w:line="240" w:lineRule="auto"/>
            </w:pPr>
            <w:r>
              <w:rPr>
                <w:rFonts w:ascii="Aptos" w:hAnsi="Aptos"/>
                <w:sz w:val="16"/>
              </w:rPr>
              <w:t>Year 1: funding approval, compute allocation design, launch first research and IP calls.</w:t>
              <w:br/>
              <w:t>Year 2: compute access expands, first funded model and patent cohorts emerge.</w:t>
              <w:br/>
              <w:t>Year 3: measurable uplift in publications, citations, patents, and model outputs.</w:t>
            </w:r>
          </w:p>
        </w:tc>
      </w:tr>
      <w:tr>
        <w:trPr>
          <w:cantSplit/>
        </w:trPr>
        <w:tc>
          <w:tcPr>
            <w:tcW w:type="dxa" w:w="2448"/>
            <w:tcMar>
              <w:top w:w="40" w:type="dxa"/>
              <w:start w:w="70" w:type="dxa"/>
              <w:bottom w:w="40" w:type="dxa"/>
              <w:end w:w="70" w:type="dxa"/>
            </w:tcMar>
            <w:vAlign w:val="center"/>
          </w:tcPr>
          <w:p>
            <w:pPr>
              <w:spacing w:before="0" w:after="0" w:line="240" w:lineRule="auto"/>
            </w:pPr>
            <w:r>
              <w:rPr>
                <w:rFonts w:ascii="Aptos" w:hAnsi="Aptos"/>
                <w:sz w:val="16"/>
              </w:rPr>
              <w:t>Primary success metric</w:t>
            </w:r>
          </w:p>
        </w:tc>
        <w:tc>
          <w:tcPr>
            <w:tcW w:type="dxa" w:w="8208"/>
            <w:tcMar>
              <w:top w:w="40" w:type="dxa"/>
              <w:start w:w="70" w:type="dxa"/>
              <w:bottom w:w="40" w:type="dxa"/>
              <w:end w:w="70" w:type="dxa"/>
            </w:tcMar>
            <w:vAlign w:val="center"/>
          </w:tcPr>
          <w:p>
            <w:pPr>
              <w:spacing w:before="0" w:after="0" w:line="240" w:lineRule="auto"/>
            </w:pPr>
            <w:r>
              <w:rPr>
                <w:rFonts w:ascii="Aptos" w:hAnsi="Aptos"/>
                <w:sz w:val="16"/>
              </w:rPr>
              <w:t>Raise Canada's Tortoise Research Score by 15-20 points within 3 years.</w:t>
            </w:r>
          </w:p>
        </w:tc>
      </w:tr>
      <w:tr>
        <w:trPr>
          <w:cantSplit/>
        </w:trPr>
        <w:tc>
          <w:tcPr>
            <w:tcW w:type="dxa" w:w="2448"/>
            <w:tcMar>
              <w:top w:w="40" w:type="dxa"/>
              <w:start w:w="70" w:type="dxa"/>
              <w:bottom w:w="40" w:type="dxa"/>
              <w:end w:w="70" w:type="dxa"/>
            </w:tcMar>
            <w:vAlign w:val="center"/>
            <w:shd w:fill="F6F8FB"/>
          </w:tcPr>
          <w:p>
            <w:pPr>
              <w:spacing w:before="0" w:after="0" w:line="240" w:lineRule="auto"/>
            </w:pPr>
            <w:r>
              <w:rPr>
                <w:rFonts w:ascii="Aptos" w:hAnsi="Aptos"/>
                <w:sz w:val="16"/>
              </w:rPr>
              <w:t>Responsible ministry / agency</w:t>
            </w:r>
          </w:p>
        </w:tc>
        <w:tc>
          <w:tcPr>
            <w:tcW w:type="dxa" w:w="8208"/>
            <w:tcMar>
              <w:top w:w="40" w:type="dxa"/>
              <w:start w:w="70" w:type="dxa"/>
              <w:bottom w:w="40" w:type="dxa"/>
              <w:end w:w="70" w:type="dxa"/>
            </w:tcMar>
            <w:vAlign w:val="center"/>
            <w:shd w:fill="F6F8FB"/>
          </w:tcPr>
          <w:p>
            <w:pPr>
              <w:spacing w:before="0" w:after="0" w:line="240" w:lineRule="auto"/>
            </w:pPr>
            <w:r>
              <w:rPr>
                <w:rFonts w:ascii="Aptos" w:hAnsi="Aptos"/>
                <w:sz w:val="16"/>
              </w:rPr>
              <w:t>ISED; National Research Council (NRC); NSERC; SSHRC; CIFAR; Canadian Intellectual Property Office (CIPO)</w:t>
            </w:r>
          </w:p>
        </w:tc>
      </w:tr>
      <w:tr>
        <w:trPr>
          <w:cantSplit/>
        </w:trPr>
        <w:tc>
          <w:tcPr>
            <w:tcW w:type="dxa" w:w="2448"/>
            <w:tcMar>
              <w:top w:w="40" w:type="dxa"/>
              <w:start w:w="70" w:type="dxa"/>
              <w:bottom w:w="40" w:type="dxa"/>
              <w:end w:w="70" w:type="dxa"/>
            </w:tcMar>
            <w:vAlign w:val="center"/>
          </w:tcPr>
          <w:p>
            <w:pPr>
              <w:spacing w:before="0" w:after="0" w:line="240" w:lineRule="auto"/>
            </w:pPr>
            <w:r>
              <w:rPr>
                <w:rFonts w:ascii="Aptos" w:hAnsi="Aptos"/>
                <w:sz w:val="16"/>
              </w:rPr>
              <w:t>Secondary KPIs to monitor</w:t>
            </w:r>
          </w:p>
        </w:tc>
        <w:tc>
          <w:tcPr>
            <w:tcW w:type="dxa" w:w="8208"/>
            <w:tcMar>
              <w:top w:w="40" w:type="dxa"/>
              <w:start w:w="70" w:type="dxa"/>
              <w:bottom w:w="40" w:type="dxa"/>
              <w:end w:w="70" w:type="dxa"/>
            </w:tcMar>
            <w:vAlign w:val="center"/>
          </w:tcPr>
          <w:p>
            <w:pPr>
              <w:spacing w:before="0" w:after="0" w:line="240" w:lineRule="auto"/>
            </w:pPr>
            <w:r>
              <w:rPr>
                <w:rFonts w:ascii="Aptos" w:hAnsi="Aptos"/>
                <w:sz w:val="16"/>
              </w:rPr>
              <w:t>AI Citations (% of world total); AI Publications (Total); AI Patent Grants (per 100k); Notable AI Models</w:t>
            </w:r>
          </w:p>
        </w:tc>
      </w:tr>
      <w:tr>
        <w:trPr>
          <w:cantSplit/>
        </w:trPr>
        <w:tc>
          <w:tcPr>
            <w:tcW w:type="dxa" w:w="2448"/>
            <w:tcMar>
              <w:top w:w="40" w:type="dxa"/>
              <w:start w:w="70" w:type="dxa"/>
              <w:bottom w:w="40" w:type="dxa"/>
              <w:end w:w="70" w:type="dxa"/>
            </w:tcMar>
            <w:vAlign w:val="center"/>
            <w:shd w:fill="F6F8FB"/>
          </w:tcPr>
          <w:p>
            <w:pPr>
              <w:spacing w:before="0" w:after="0" w:line="240" w:lineRule="auto"/>
            </w:pPr>
            <w:r>
              <w:rPr>
                <w:rFonts w:ascii="Aptos" w:hAnsi="Aptos"/>
                <w:sz w:val="16"/>
              </w:rPr>
              <w:t>Key implementation risk</w:t>
            </w:r>
          </w:p>
        </w:tc>
        <w:tc>
          <w:tcPr>
            <w:tcW w:type="dxa" w:w="8208"/>
            <w:tcMar>
              <w:top w:w="40" w:type="dxa"/>
              <w:start w:w="70" w:type="dxa"/>
              <w:bottom w:w="40" w:type="dxa"/>
              <w:end w:w="70" w:type="dxa"/>
            </w:tcMar>
            <w:vAlign w:val="center"/>
            <w:shd w:fill="F6F8FB"/>
          </w:tcPr>
          <w:p>
            <w:pPr>
              <w:spacing w:before="0" w:after="0" w:line="240" w:lineRule="auto"/>
            </w:pPr>
            <w:r>
              <w:rPr>
                <w:rFonts w:ascii="Aptos" w:hAnsi="Aptos"/>
                <w:sz w:val="16"/>
              </w:rPr>
              <w:t>Funding may disperse too broadly and fail to create globally visible results.</w:t>
            </w:r>
          </w:p>
        </w:tc>
      </w:tr>
      <w:tr>
        <w:trPr>
          <w:cantSplit/>
        </w:trPr>
        <w:tc>
          <w:tcPr>
            <w:tcW w:type="dxa" w:w="2448"/>
            <w:tcMar>
              <w:top w:w="40" w:type="dxa"/>
              <w:start w:w="70" w:type="dxa"/>
              <w:bottom w:w="40" w:type="dxa"/>
              <w:end w:w="70" w:type="dxa"/>
            </w:tcMar>
            <w:vAlign w:val="center"/>
          </w:tcPr>
          <w:p>
            <w:pPr>
              <w:spacing w:before="0" w:after="0" w:line="240" w:lineRule="auto"/>
            </w:pPr>
            <w:r>
              <w:rPr>
                <w:rFonts w:ascii="Aptos" w:hAnsi="Aptos"/>
                <w:sz w:val="16"/>
              </w:rPr>
              <w:t>Suggested mitigation</w:t>
            </w:r>
          </w:p>
        </w:tc>
        <w:tc>
          <w:tcPr>
            <w:tcW w:type="dxa" w:w="8208"/>
            <w:tcMar>
              <w:top w:w="40" w:type="dxa"/>
              <w:start w:w="70" w:type="dxa"/>
              <w:bottom w:w="40" w:type="dxa"/>
              <w:end w:w="70" w:type="dxa"/>
            </w:tcMar>
            <w:vAlign w:val="center"/>
          </w:tcPr>
          <w:p>
            <w:pPr>
              <w:spacing w:before="0" w:after="0" w:line="240" w:lineRule="auto"/>
            </w:pPr>
            <w:r>
              <w:rPr>
                <w:rFonts w:ascii="Aptos" w:hAnsi="Aptos"/>
                <w:sz w:val="16"/>
              </w:rPr>
              <w:t>Concentrate part of funding in mission-driven national calls, tie awards to milestones, and reserve compute for high-potential research and scale-up use cases.</w:t>
            </w:r>
          </w:p>
        </w:tc>
      </w:tr>
    </w:tbl>
    <w:p>
      <w:pPr>
        <w:spacing w:after="120" w:line="259" w:lineRule="auto"/>
      </w:pPr>
    </w:p>
    <w:p>
      <w:pPr>
        <w:pStyle w:val="Heading2"/>
        <w:spacing w:before="160" w:after="80"/>
      </w:pPr>
      <w:r>
        <w:t>Implementation Card 3 - Federal AI Talent, Immigration, and Public-Service Capability Program</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7"/>
              </w:rPr>
              <w:t>Item</w:t>
            </w:r>
          </w:p>
        </w:tc>
        <w:tc>
          <w:tcPr>
            <w:tcW w:type="dxa" w:w="8208"/>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7"/>
              </w:rPr>
              <w:t>Description</w:t>
            </w:r>
          </w:p>
        </w:tc>
      </w:tr>
      <w:tr>
        <w:trPr>
          <w:cantSplit/>
        </w:trPr>
        <w:tc>
          <w:tcPr>
            <w:tcW w:type="dxa" w:w="2448"/>
            <w:tcMar>
              <w:top w:w="50" w:type="dxa"/>
              <w:start w:w="80" w:type="dxa"/>
              <w:bottom w:w="50" w:type="dxa"/>
              <w:end w:w="80" w:type="dxa"/>
            </w:tcMar>
            <w:vAlign w:val="center"/>
            <w:shd w:fill="F6F8FB"/>
          </w:tcPr>
          <w:p>
            <w:pPr>
              <w:spacing w:before="0" w:after="0" w:line="240" w:lineRule="auto"/>
            </w:pPr>
            <w:r>
              <w:rPr>
                <w:rFonts w:ascii="Aptos" w:hAnsi="Aptos"/>
                <w:sz w:val="17"/>
              </w:rPr>
              <w:t>Recommendation title</w:t>
            </w:r>
          </w:p>
        </w:tc>
        <w:tc>
          <w:tcPr>
            <w:tcW w:type="dxa" w:w="8208"/>
            <w:tcMar>
              <w:top w:w="50" w:type="dxa"/>
              <w:start w:w="80" w:type="dxa"/>
              <w:bottom w:w="50" w:type="dxa"/>
              <w:end w:w="80" w:type="dxa"/>
            </w:tcMar>
            <w:vAlign w:val="center"/>
            <w:shd w:fill="F6F8FB"/>
          </w:tcPr>
          <w:p>
            <w:pPr>
              <w:spacing w:before="0" w:after="0" w:line="240" w:lineRule="auto"/>
            </w:pPr>
            <w:r>
              <w:rPr>
                <w:rFonts w:ascii="Aptos" w:hAnsi="Aptos"/>
                <w:sz w:val="17"/>
              </w:rPr>
              <w:t>Federal AI Talent and Capability Program (FATCAP)</w:t>
            </w:r>
          </w:p>
        </w:tc>
      </w:tr>
      <w:tr>
        <w:trPr>
          <w:cantSplit/>
        </w:trPr>
        <w:tc>
          <w:tcPr>
            <w:tcW w:type="dxa" w:w="2448"/>
            <w:tcMar>
              <w:top w:w="50" w:type="dxa"/>
              <w:start w:w="80" w:type="dxa"/>
              <w:bottom w:w="50" w:type="dxa"/>
              <w:end w:w="80" w:type="dxa"/>
            </w:tcMar>
            <w:vAlign w:val="center"/>
          </w:tcPr>
          <w:p>
            <w:pPr>
              <w:spacing w:before="0" w:after="0" w:line="240" w:lineRule="auto"/>
            </w:pPr>
            <w:r>
              <w:rPr>
                <w:rFonts w:ascii="Aptos" w:hAnsi="Aptos"/>
                <w:sz w:val="17"/>
              </w:rPr>
              <w:t>Specific actions</w:t>
            </w:r>
          </w:p>
        </w:tc>
        <w:tc>
          <w:tcPr>
            <w:tcW w:type="dxa" w:w="8208"/>
            <w:tcMar>
              <w:top w:w="50" w:type="dxa"/>
              <w:start w:w="80" w:type="dxa"/>
              <w:bottom w:w="50" w:type="dxa"/>
              <w:end w:w="80" w:type="dxa"/>
            </w:tcMar>
            <w:vAlign w:val="center"/>
          </w:tcPr>
          <w:p>
            <w:pPr>
              <w:spacing w:before="0" w:after="0" w:line="240" w:lineRule="auto"/>
            </w:pPr>
            <w:r>
              <w:rPr>
                <w:rFonts w:ascii="Aptos" w:hAnsi="Aptos"/>
                <w:sz w:val="17"/>
              </w:rPr>
              <w:t>1. Create a dedicated AI talent stream under federal immigration programs with fast processing for high-skill AI researchers, engineers, and founders.</w:t>
              <w:br/>
              <w:t>2. Expand federally funded AI internships, fellowships, and work-integrated learning through existing federal channels and federally backed intermediaries.</w:t>
              <w:br/>
              <w:t>3. Launch an ESDC-led federal AI workforce upskilling stream for workers in priority sectors and for SMEs adopting AI.</w:t>
              <w:br/>
              <w:t>4. Build a federal public-service AI capability program covering training, procurement literacy, model-risk governance, and safe deployment of AI in federal departments.</w:t>
              <w:br/>
              <w:t>5. Release more high-value federal datasets under an open-data-by-design approach where legally permissible.</w:t>
            </w:r>
          </w:p>
        </w:tc>
      </w:tr>
      <w:tr>
        <w:trPr>
          <w:cantSplit/>
        </w:trPr>
        <w:tc>
          <w:tcPr>
            <w:tcW w:type="dxa" w:w="2448"/>
            <w:tcMar>
              <w:top w:w="50" w:type="dxa"/>
              <w:start w:w="80" w:type="dxa"/>
              <w:bottom w:w="50" w:type="dxa"/>
              <w:end w:w="80" w:type="dxa"/>
            </w:tcMar>
            <w:vAlign w:val="center"/>
            <w:shd w:fill="F6F8FB"/>
          </w:tcPr>
          <w:p>
            <w:pPr>
              <w:spacing w:before="0" w:after="0" w:line="240" w:lineRule="auto"/>
            </w:pPr>
            <w:r>
              <w:rPr>
                <w:rFonts w:ascii="Aptos" w:hAnsi="Aptos"/>
                <w:sz w:val="17"/>
              </w:rPr>
              <w:t>Why this addresses KPI gaps</w:t>
            </w:r>
          </w:p>
        </w:tc>
        <w:tc>
          <w:tcPr>
            <w:tcW w:type="dxa" w:w="8208"/>
            <w:tcMar>
              <w:top w:w="50" w:type="dxa"/>
              <w:start w:w="80" w:type="dxa"/>
              <w:bottom w:w="50" w:type="dxa"/>
              <w:end w:w="80" w:type="dxa"/>
            </w:tcMar>
            <w:vAlign w:val="center"/>
            <w:shd w:fill="F6F8FB"/>
          </w:tcPr>
          <w:p>
            <w:pPr>
              <w:spacing w:before="0" w:after="0" w:line="240" w:lineRule="auto"/>
            </w:pPr>
            <w:r>
              <w:rPr>
                <w:rFonts w:ascii="Aptos" w:hAnsi="Aptos"/>
                <w:sz w:val="17"/>
              </w:rPr>
              <w:t>This is the federal version of the earlier talent/infrastructure recommendation. It keeps the parts Ottawa directly controls and removes provincially entangled elements.</w:t>
            </w:r>
          </w:p>
        </w:tc>
      </w:tr>
      <w:tr>
        <w:trPr>
          <w:cantSplit/>
        </w:trPr>
        <w:tc>
          <w:tcPr>
            <w:tcW w:type="dxa" w:w="2448"/>
            <w:tcMar>
              <w:top w:w="50" w:type="dxa"/>
              <w:start w:w="80" w:type="dxa"/>
              <w:bottom w:w="50" w:type="dxa"/>
              <w:end w:w="80" w:type="dxa"/>
            </w:tcMar>
            <w:vAlign w:val="center"/>
          </w:tcPr>
          <w:p>
            <w:pPr>
              <w:spacing w:before="0" w:after="0" w:line="240" w:lineRule="auto"/>
            </w:pPr>
            <w:r>
              <w:rPr>
                <w:rFonts w:ascii="Aptos" w:hAnsi="Aptos"/>
                <w:sz w:val="17"/>
              </w:rPr>
              <w:t>Estimated cost range</w:t>
            </w:r>
          </w:p>
        </w:tc>
        <w:tc>
          <w:tcPr>
            <w:tcW w:type="dxa" w:w="8208"/>
            <w:tcMar>
              <w:top w:w="50" w:type="dxa"/>
              <w:start w:w="80" w:type="dxa"/>
              <w:bottom w:w="50" w:type="dxa"/>
              <w:end w:w="80" w:type="dxa"/>
            </w:tcMar>
            <w:vAlign w:val="center"/>
          </w:tcPr>
          <w:p>
            <w:pPr>
              <w:spacing w:before="0" w:after="0" w:line="240" w:lineRule="auto"/>
            </w:pPr>
            <w:r>
              <w:rPr>
                <w:rFonts w:ascii="Aptos" w:hAnsi="Aptos"/>
                <w:sz w:val="17"/>
              </w:rPr>
              <w:t>CAD 1.2-2.0 billion over 3 years</w:t>
            </w:r>
          </w:p>
        </w:tc>
      </w:tr>
      <w:tr>
        <w:trPr>
          <w:cantSplit/>
        </w:trPr>
        <w:tc>
          <w:tcPr>
            <w:tcW w:type="dxa" w:w="2448"/>
            <w:tcMar>
              <w:top w:w="50" w:type="dxa"/>
              <w:start w:w="80" w:type="dxa"/>
              <w:bottom w:w="50" w:type="dxa"/>
              <w:end w:w="80" w:type="dxa"/>
            </w:tcMar>
            <w:vAlign w:val="center"/>
            <w:shd w:fill="F6F8FB"/>
          </w:tcPr>
          <w:p>
            <w:pPr>
              <w:spacing w:before="0" w:after="0" w:line="240" w:lineRule="auto"/>
            </w:pPr>
            <w:r>
              <w:rPr>
                <w:rFonts w:ascii="Aptos" w:hAnsi="Aptos"/>
                <w:sz w:val="17"/>
              </w:rPr>
              <w:t>Timeline</w:t>
            </w:r>
          </w:p>
        </w:tc>
        <w:tc>
          <w:tcPr>
            <w:tcW w:type="dxa" w:w="8208"/>
            <w:tcMar>
              <w:top w:w="50" w:type="dxa"/>
              <w:start w:w="80" w:type="dxa"/>
              <w:bottom w:w="50" w:type="dxa"/>
              <w:end w:w="80" w:type="dxa"/>
            </w:tcMar>
            <w:vAlign w:val="center"/>
            <w:shd w:fill="F6F8FB"/>
          </w:tcPr>
          <w:p>
            <w:pPr>
              <w:spacing w:before="0" w:after="0" w:line="240" w:lineRule="auto"/>
            </w:pPr>
            <w:r>
              <w:rPr>
                <w:rFonts w:ascii="Aptos" w:hAnsi="Aptos"/>
                <w:sz w:val="17"/>
              </w:rPr>
              <w:t>Year 1: immigration stream design, internship expansion, federal capability program launch.</w:t>
              <w:br/>
              <w:t>Year 2: first major cohort of recruits and trainees; public-service AI adoption expands.</w:t>
              <w:br/>
              <w:t>Year 3: measure labour-market and talent retention effects.</w:t>
            </w:r>
          </w:p>
        </w:tc>
      </w:tr>
      <w:tr>
        <w:trPr>
          <w:cantSplit/>
        </w:trPr>
        <w:tc>
          <w:tcPr>
            <w:tcW w:type="dxa" w:w="2448"/>
            <w:tcMar>
              <w:top w:w="50" w:type="dxa"/>
              <w:start w:w="80" w:type="dxa"/>
              <w:bottom w:w="50" w:type="dxa"/>
              <w:end w:w="80" w:type="dxa"/>
            </w:tcMar>
            <w:vAlign w:val="center"/>
          </w:tcPr>
          <w:p>
            <w:pPr>
              <w:spacing w:before="0" w:after="0" w:line="240" w:lineRule="auto"/>
            </w:pPr>
            <w:r>
              <w:rPr>
                <w:rFonts w:ascii="Aptos" w:hAnsi="Aptos"/>
                <w:sz w:val="17"/>
              </w:rPr>
              <w:t>Primary success metric</w:t>
            </w:r>
          </w:p>
        </w:tc>
        <w:tc>
          <w:tcPr>
            <w:tcW w:type="dxa" w:w="8208"/>
            <w:tcMar>
              <w:top w:w="50" w:type="dxa"/>
              <w:start w:w="80" w:type="dxa"/>
              <w:bottom w:w="50" w:type="dxa"/>
              <w:end w:w="80" w:type="dxa"/>
            </w:tcMar>
            <w:vAlign w:val="center"/>
          </w:tcPr>
          <w:p>
            <w:pPr>
              <w:spacing w:before="0" w:after="0" w:line="240" w:lineRule="auto"/>
            </w:pPr>
            <w:r>
              <w:rPr>
                <w:rFonts w:ascii="Aptos" w:hAnsi="Aptos"/>
                <w:sz w:val="17"/>
              </w:rPr>
              <w:t>Raise Canada's Tortoise Talent Score by 15 points within 3 years.</w:t>
            </w:r>
          </w:p>
        </w:tc>
      </w:tr>
      <w:tr>
        <w:trPr>
          <w:cantSplit/>
        </w:trPr>
        <w:tc>
          <w:tcPr>
            <w:tcW w:type="dxa" w:w="2448"/>
            <w:tcMar>
              <w:top w:w="50" w:type="dxa"/>
              <w:start w:w="80" w:type="dxa"/>
              <w:bottom w:w="50" w:type="dxa"/>
              <w:end w:w="80" w:type="dxa"/>
            </w:tcMar>
            <w:vAlign w:val="center"/>
            <w:shd w:fill="F6F8FB"/>
          </w:tcPr>
          <w:p>
            <w:pPr>
              <w:spacing w:before="0" w:after="0" w:line="240" w:lineRule="auto"/>
            </w:pPr>
            <w:r>
              <w:rPr>
                <w:rFonts w:ascii="Aptos" w:hAnsi="Aptos"/>
                <w:sz w:val="17"/>
              </w:rPr>
              <w:t>Responsible ministry / agency</w:t>
            </w:r>
          </w:p>
        </w:tc>
        <w:tc>
          <w:tcPr>
            <w:tcW w:type="dxa" w:w="8208"/>
            <w:tcMar>
              <w:top w:w="50" w:type="dxa"/>
              <w:start w:w="80" w:type="dxa"/>
              <w:bottom w:w="50" w:type="dxa"/>
              <w:end w:w="80" w:type="dxa"/>
            </w:tcMar>
            <w:vAlign w:val="center"/>
            <w:shd w:fill="F6F8FB"/>
          </w:tcPr>
          <w:p>
            <w:pPr>
              <w:spacing w:before="0" w:after="0" w:line="240" w:lineRule="auto"/>
            </w:pPr>
            <w:r>
              <w:rPr>
                <w:rFonts w:ascii="Aptos" w:hAnsi="Aptos"/>
                <w:sz w:val="17"/>
              </w:rPr>
              <w:t>Immigration, Refugees and Citizenship Canada (IRCC); Employment and Social Development Canada (ESDC); Treasury Board Secretariat; Canada School of Public Service; ISED</w:t>
            </w:r>
          </w:p>
        </w:tc>
      </w:tr>
      <w:tr>
        <w:trPr>
          <w:cantSplit/>
        </w:trPr>
        <w:tc>
          <w:tcPr>
            <w:tcW w:type="dxa" w:w="2448"/>
            <w:tcMar>
              <w:top w:w="50" w:type="dxa"/>
              <w:start w:w="80" w:type="dxa"/>
              <w:bottom w:w="50" w:type="dxa"/>
              <w:end w:w="80" w:type="dxa"/>
            </w:tcMar>
            <w:vAlign w:val="center"/>
          </w:tcPr>
          <w:p>
            <w:pPr>
              <w:spacing w:before="0" w:after="0" w:line="240" w:lineRule="auto"/>
            </w:pPr>
            <w:r>
              <w:rPr>
                <w:rFonts w:ascii="Aptos" w:hAnsi="Aptos"/>
                <w:sz w:val="17"/>
              </w:rPr>
              <w:t>Secondary KPIs to monitor</w:t>
            </w:r>
          </w:p>
        </w:tc>
        <w:tc>
          <w:tcPr>
            <w:tcW w:type="dxa" w:w="8208"/>
            <w:tcMar>
              <w:top w:w="50" w:type="dxa"/>
              <w:start w:w="80" w:type="dxa"/>
              <w:bottom w:w="50" w:type="dxa"/>
              <w:end w:w="80" w:type="dxa"/>
            </w:tcMar>
            <w:vAlign w:val="center"/>
          </w:tcPr>
          <w:p>
            <w:pPr>
              <w:spacing w:before="0" w:after="0" w:line="240" w:lineRule="auto"/>
            </w:pPr>
            <w:r>
              <w:rPr>
                <w:rFonts w:ascii="Aptos" w:hAnsi="Aptos"/>
                <w:sz w:val="17"/>
              </w:rPr>
              <w:t>Net Migration Flow of AI Skills; AI Hiring Rate YoY Ratio; Relative AI Skill Penetration; AI Job Postings (% of Total)</w:t>
            </w:r>
          </w:p>
        </w:tc>
      </w:tr>
      <w:tr>
        <w:trPr>
          <w:cantSplit/>
        </w:trPr>
        <w:tc>
          <w:tcPr>
            <w:tcW w:type="dxa" w:w="2448"/>
            <w:tcMar>
              <w:top w:w="50" w:type="dxa"/>
              <w:start w:w="80" w:type="dxa"/>
              <w:bottom w:w="50" w:type="dxa"/>
              <w:end w:w="80" w:type="dxa"/>
            </w:tcMar>
            <w:vAlign w:val="center"/>
            <w:shd w:fill="F6F8FB"/>
          </w:tcPr>
          <w:p>
            <w:pPr>
              <w:spacing w:before="0" w:after="0" w:line="240" w:lineRule="auto"/>
            </w:pPr>
            <w:r>
              <w:rPr>
                <w:rFonts w:ascii="Aptos" w:hAnsi="Aptos"/>
                <w:sz w:val="17"/>
              </w:rPr>
              <w:t>Key implementation risk</w:t>
            </w:r>
          </w:p>
        </w:tc>
        <w:tc>
          <w:tcPr>
            <w:tcW w:type="dxa" w:w="8208"/>
            <w:tcMar>
              <w:top w:w="50" w:type="dxa"/>
              <w:start w:w="80" w:type="dxa"/>
              <w:bottom w:w="50" w:type="dxa"/>
              <w:end w:w="80" w:type="dxa"/>
            </w:tcMar>
            <w:vAlign w:val="center"/>
            <w:shd w:fill="F6F8FB"/>
          </w:tcPr>
          <w:p>
            <w:pPr>
              <w:spacing w:before="0" w:after="0" w:line="240" w:lineRule="auto"/>
            </w:pPr>
            <w:r>
              <w:rPr>
                <w:rFonts w:ascii="Aptos" w:hAnsi="Aptos"/>
                <w:sz w:val="17"/>
              </w:rPr>
              <w:t>Imported talent may still leave for larger foreign ecosystems.</w:t>
            </w:r>
          </w:p>
        </w:tc>
      </w:tr>
      <w:tr>
        <w:trPr>
          <w:cantSplit/>
        </w:trPr>
        <w:tc>
          <w:tcPr>
            <w:tcW w:type="dxa" w:w="2448"/>
            <w:tcMar>
              <w:top w:w="50" w:type="dxa"/>
              <w:start w:w="80" w:type="dxa"/>
              <w:bottom w:w="50" w:type="dxa"/>
              <w:end w:w="80" w:type="dxa"/>
            </w:tcMar>
            <w:vAlign w:val="center"/>
          </w:tcPr>
          <w:p>
            <w:pPr>
              <w:spacing w:before="0" w:after="0" w:line="240" w:lineRule="auto"/>
            </w:pPr>
            <w:r>
              <w:rPr>
                <w:rFonts w:ascii="Aptos" w:hAnsi="Aptos"/>
                <w:sz w:val="17"/>
              </w:rPr>
              <w:t>Suggested mitigation</w:t>
            </w:r>
          </w:p>
        </w:tc>
        <w:tc>
          <w:tcPr>
            <w:tcW w:type="dxa" w:w="8208"/>
            <w:tcMar>
              <w:top w:w="50" w:type="dxa"/>
              <w:start w:w="80" w:type="dxa"/>
              <w:bottom w:w="50" w:type="dxa"/>
              <w:end w:w="80" w:type="dxa"/>
            </w:tcMar>
            <w:vAlign w:val="center"/>
          </w:tcPr>
          <w:p>
            <w:pPr>
              <w:spacing w:before="0" w:after="0" w:line="240" w:lineRule="auto"/>
            </w:pPr>
            <w:r>
              <w:rPr>
                <w:rFonts w:ascii="Aptos" w:hAnsi="Aptos"/>
                <w:sz w:val="17"/>
              </w:rPr>
              <w:t>Pair visas with research funding, compute access, and scale-up opportunities; link fellowships and internships to Canadian employers and public-interest missions.</w:t>
            </w:r>
          </w:p>
        </w:tc>
      </w:tr>
    </w:tbl>
    <w:p>
      <w:pPr>
        <w:spacing w:after="120" w:line="259" w:lineRule="auto"/>
      </w:pPr>
    </w:p>
    <w:p>
      <w:pPr>
        <w:pStyle w:val="Heading1"/>
        <w:spacing w:before="160" w:after="80"/>
      </w:pPr>
      <w:r>
        <w:t>SECTION F - Revised score-uplift logic</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2232"/>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7"/>
              </w:rPr>
              <w:t>Recommendation</w:t>
            </w:r>
          </w:p>
        </w:tc>
        <w:tc>
          <w:tcPr>
            <w:tcW w:type="dxa" w:w="2808"/>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7"/>
              </w:rPr>
              <w:t>KPIs likely to move first (Year 1)</w:t>
            </w:r>
          </w:p>
        </w:tc>
        <w:tc>
          <w:tcPr>
            <w:tcW w:type="dxa" w:w="2520"/>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7"/>
              </w:rPr>
              <w:t>KPIs moving later (Years 2-3)</w:t>
            </w:r>
          </w:p>
        </w:tc>
        <w:tc>
          <w:tcPr>
            <w:tcW w:type="dxa" w:w="3312"/>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7"/>
              </w:rPr>
              <w:t>Expected effect on composite score</w:t>
            </w:r>
          </w:p>
        </w:tc>
        <w:tc>
          <w:tcPr>
            <w:tcW w:type="dxa" w:w="1296"/>
            <w:tcMar>
              <w:top w:w="50" w:type="dxa"/>
              <w:start w:w="80" w:type="dxa"/>
              <w:bottom w:w="50" w:type="dxa"/>
              <w:end w:w="80" w:type="dxa"/>
            </w:tcMar>
            <w:vAlign w:val="center"/>
            <w:shd w:fill="1F4E79"/>
          </w:tcPr>
          <w:p>
            <w:pPr>
              <w:spacing w:before="0" w:after="0" w:line="240" w:lineRule="auto"/>
              <w:jc w:val="center"/>
            </w:pPr>
            <w:r>
              <w:rPr>
                <w:rFonts w:ascii="Aptos" w:hAnsi="Aptos"/>
                <w:b/>
                <w:color w:val="FFFFFF"/>
                <w:sz w:val="17"/>
              </w:rPr>
              <w:t>Certainty level</w:t>
            </w:r>
          </w:p>
        </w:tc>
      </w:tr>
      <w:tr>
        <w:trPr>
          <w:cantSplit/>
        </w:trPr>
        <w:tc>
          <w:tcPr>
            <w:tcW w:type="dxa" w:w="2232"/>
            <w:tcMar>
              <w:top w:w="50" w:type="dxa"/>
              <w:start w:w="80" w:type="dxa"/>
              <w:bottom w:w="50" w:type="dxa"/>
              <w:end w:w="80" w:type="dxa"/>
            </w:tcMar>
            <w:vAlign w:val="center"/>
            <w:shd w:fill="F6F8FB"/>
          </w:tcPr>
          <w:p>
            <w:pPr>
              <w:spacing w:before="0" w:after="0" w:line="240" w:lineRule="auto"/>
            </w:pPr>
            <w:r>
              <w:rPr>
                <w:rFonts w:ascii="Aptos" w:hAnsi="Aptos"/>
                <w:sz w:val="17"/>
              </w:rPr>
              <w:t>Federal commercialization accelerator</w:t>
            </w:r>
          </w:p>
        </w:tc>
        <w:tc>
          <w:tcPr>
            <w:tcW w:type="dxa" w:w="2808"/>
            <w:tcMar>
              <w:top w:w="50" w:type="dxa"/>
              <w:start w:w="80" w:type="dxa"/>
              <w:bottom w:w="50" w:type="dxa"/>
              <w:end w:w="80" w:type="dxa"/>
            </w:tcMar>
            <w:vAlign w:val="center"/>
            <w:shd w:fill="F6F8FB"/>
          </w:tcPr>
          <w:p>
            <w:pPr>
              <w:spacing w:before="0" w:after="0" w:line="240" w:lineRule="auto"/>
            </w:pPr>
            <w:r>
              <w:rPr>
                <w:rFonts w:ascii="Aptos" w:hAnsi="Aptos"/>
                <w:sz w:val="17"/>
              </w:rPr>
              <w:t>AI Investment Activity; AI Adoption (%); AI Job Postings (%)</w:t>
            </w:r>
          </w:p>
        </w:tc>
        <w:tc>
          <w:tcPr>
            <w:tcW w:type="dxa" w:w="2520"/>
            <w:tcMar>
              <w:top w:w="50" w:type="dxa"/>
              <w:start w:w="80" w:type="dxa"/>
              <w:bottom w:w="50" w:type="dxa"/>
              <w:end w:w="80" w:type="dxa"/>
            </w:tcMar>
            <w:vAlign w:val="center"/>
            <w:shd w:fill="F6F8FB"/>
          </w:tcPr>
          <w:p>
            <w:pPr>
              <w:spacing w:before="0" w:after="0" w:line="240" w:lineRule="auto"/>
            </w:pPr>
            <w:r>
              <w:rPr>
                <w:rFonts w:ascii="Aptos" w:hAnsi="Aptos"/>
                <w:sz w:val="17"/>
              </w:rPr>
              <w:t>Tortoise Commercial Score</w:t>
            </w:r>
          </w:p>
        </w:tc>
        <w:tc>
          <w:tcPr>
            <w:tcW w:type="dxa" w:w="3312"/>
            <w:tcMar>
              <w:top w:w="50" w:type="dxa"/>
              <w:start w:w="80" w:type="dxa"/>
              <w:bottom w:w="50" w:type="dxa"/>
              <w:end w:w="80" w:type="dxa"/>
            </w:tcMar>
            <w:vAlign w:val="center"/>
            <w:shd w:fill="F6F8FB"/>
          </w:tcPr>
          <w:p>
            <w:pPr>
              <w:spacing w:before="0" w:after="0" w:line="240" w:lineRule="auto"/>
            </w:pPr>
            <w:r>
              <w:rPr>
                <w:rFonts w:ascii="Aptos" w:hAnsi="Aptos"/>
                <w:sz w:val="17"/>
              </w:rPr>
              <w:t>Strongest near-term effect on the Investment pillar. More executable than the earlier version because it no longer depends on regional growth-zone structures.</w:t>
            </w:r>
          </w:p>
        </w:tc>
        <w:tc>
          <w:tcPr>
            <w:tcW w:type="dxa" w:w="1296"/>
            <w:tcMar>
              <w:top w:w="50" w:type="dxa"/>
              <w:start w:w="80" w:type="dxa"/>
              <w:bottom w:w="50" w:type="dxa"/>
              <w:end w:w="80" w:type="dxa"/>
            </w:tcMar>
            <w:vAlign w:val="center"/>
            <w:shd w:fill="F6F8FB"/>
          </w:tcPr>
          <w:p>
            <w:pPr>
              <w:spacing w:before="0" w:after="0" w:line="240" w:lineRule="auto"/>
            </w:pPr>
            <w:r>
              <w:rPr>
                <w:rFonts w:ascii="Aptos" w:hAnsi="Aptos"/>
                <w:sz w:val="17"/>
              </w:rPr>
              <w:t>Medium</w:t>
            </w:r>
          </w:p>
        </w:tc>
      </w:tr>
      <w:tr>
        <w:trPr>
          <w:cantSplit/>
        </w:trPr>
        <w:tc>
          <w:tcPr>
            <w:tcW w:type="dxa" w:w="2232"/>
            <w:tcMar>
              <w:top w:w="50" w:type="dxa"/>
              <w:start w:w="80" w:type="dxa"/>
              <w:bottom w:w="50" w:type="dxa"/>
              <w:end w:w="80" w:type="dxa"/>
            </w:tcMar>
            <w:vAlign w:val="center"/>
          </w:tcPr>
          <w:p>
            <w:pPr>
              <w:spacing w:before="0" w:after="0" w:line="240" w:lineRule="auto"/>
            </w:pPr>
            <w:r>
              <w:rPr>
                <w:rFonts w:ascii="Aptos" w:hAnsi="Aptos"/>
                <w:sz w:val="17"/>
              </w:rPr>
              <w:t>Research, compute, and IP conversion</w:t>
            </w:r>
          </w:p>
        </w:tc>
        <w:tc>
          <w:tcPr>
            <w:tcW w:type="dxa" w:w="2808"/>
            <w:tcMar>
              <w:top w:w="50" w:type="dxa"/>
              <w:start w:w="80" w:type="dxa"/>
              <w:bottom w:w="50" w:type="dxa"/>
              <w:end w:w="80" w:type="dxa"/>
            </w:tcMar>
            <w:vAlign w:val="center"/>
          </w:tcPr>
          <w:p>
            <w:pPr>
              <w:spacing w:before="0" w:after="0" w:line="240" w:lineRule="auto"/>
            </w:pPr>
            <w:r>
              <w:rPr>
                <w:rFonts w:ascii="Aptos" w:hAnsi="Aptos"/>
                <w:sz w:val="17"/>
              </w:rPr>
              <w:t>AI Publications; AI Citations; patent filings; academia-industry collaboration</w:t>
            </w:r>
          </w:p>
        </w:tc>
        <w:tc>
          <w:tcPr>
            <w:tcW w:type="dxa" w:w="2520"/>
            <w:tcMar>
              <w:top w:w="50" w:type="dxa"/>
              <w:start w:w="80" w:type="dxa"/>
              <w:bottom w:w="50" w:type="dxa"/>
              <w:end w:w="80" w:type="dxa"/>
            </w:tcMar>
            <w:vAlign w:val="center"/>
          </w:tcPr>
          <w:p>
            <w:pPr>
              <w:spacing w:before="0" w:after="0" w:line="240" w:lineRule="auto"/>
            </w:pPr>
            <w:r>
              <w:rPr>
                <w:rFonts w:ascii="Aptos" w:hAnsi="Aptos"/>
                <w:sz w:val="17"/>
              </w:rPr>
              <w:t>Tortoise Research Score; Tortoise Development Score; Notable AI Models</w:t>
            </w:r>
          </w:p>
        </w:tc>
        <w:tc>
          <w:tcPr>
            <w:tcW w:type="dxa" w:w="3312"/>
            <w:tcMar>
              <w:top w:w="50" w:type="dxa"/>
              <w:start w:w="80" w:type="dxa"/>
              <w:bottom w:w="50" w:type="dxa"/>
              <w:end w:w="80" w:type="dxa"/>
            </w:tcMar>
            <w:vAlign w:val="center"/>
          </w:tcPr>
          <w:p>
            <w:pPr>
              <w:spacing w:before="0" w:after="0" w:line="240" w:lineRule="auto"/>
            </w:pPr>
            <w:r>
              <w:rPr>
                <w:rFonts w:ascii="Aptos" w:hAnsi="Aptos"/>
                <w:sz w:val="17"/>
              </w:rPr>
              <w:t>Strongest medium-term effect on the Innovation pillar, with the clearest federal execution logic.</w:t>
            </w:r>
          </w:p>
        </w:tc>
        <w:tc>
          <w:tcPr>
            <w:tcW w:type="dxa" w:w="1296"/>
            <w:tcMar>
              <w:top w:w="50" w:type="dxa"/>
              <w:start w:w="80" w:type="dxa"/>
              <w:bottom w:w="50" w:type="dxa"/>
              <w:end w:w="80" w:type="dxa"/>
            </w:tcMar>
            <w:vAlign w:val="center"/>
          </w:tcPr>
          <w:p>
            <w:pPr>
              <w:spacing w:before="0" w:after="0" w:line="240" w:lineRule="auto"/>
            </w:pPr>
            <w:r>
              <w:rPr>
                <w:rFonts w:ascii="Aptos" w:hAnsi="Aptos"/>
                <w:sz w:val="17"/>
              </w:rPr>
              <w:t>Medium-high</w:t>
            </w:r>
          </w:p>
        </w:tc>
      </w:tr>
      <w:tr>
        <w:trPr>
          <w:cantSplit/>
        </w:trPr>
        <w:tc>
          <w:tcPr>
            <w:tcW w:type="dxa" w:w="2232"/>
            <w:tcMar>
              <w:top w:w="50" w:type="dxa"/>
              <w:start w:w="80" w:type="dxa"/>
              <w:bottom w:w="50" w:type="dxa"/>
              <w:end w:w="80" w:type="dxa"/>
            </w:tcMar>
            <w:vAlign w:val="center"/>
            <w:shd w:fill="F6F8FB"/>
          </w:tcPr>
          <w:p>
            <w:pPr>
              <w:spacing w:before="0" w:after="0" w:line="240" w:lineRule="auto"/>
            </w:pPr>
            <w:r>
              <w:rPr>
                <w:rFonts w:ascii="Aptos" w:hAnsi="Aptos"/>
                <w:sz w:val="17"/>
              </w:rPr>
              <w:t>Talent and federal capability</w:t>
            </w:r>
          </w:p>
        </w:tc>
        <w:tc>
          <w:tcPr>
            <w:tcW w:type="dxa" w:w="2808"/>
            <w:tcMar>
              <w:top w:w="50" w:type="dxa"/>
              <w:start w:w="80" w:type="dxa"/>
              <w:bottom w:w="50" w:type="dxa"/>
              <w:end w:w="80" w:type="dxa"/>
            </w:tcMar>
            <w:vAlign w:val="center"/>
            <w:shd w:fill="F6F8FB"/>
          </w:tcPr>
          <w:p>
            <w:pPr>
              <w:spacing w:before="0" w:after="0" w:line="240" w:lineRule="auto"/>
            </w:pPr>
            <w:r>
              <w:rPr>
                <w:rFonts w:ascii="Aptos" w:hAnsi="Aptos"/>
                <w:sz w:val="17"/>
              </w:rPr>
              <w:t>Net Migration Flow of AI Skills; AI Hiring Rate YoY Ratio; Tortoise Talent Score</w:t>
            </w:r>
          </w:p>
        </w:tc>
        <w:tc>
          <w:tcPr>
            <w:tcW w:type="dxa" w:w="2520"/>
            <w:tcMar>
              <w:top w:w="50" w:type="dxa"/>
              <w:start w:w="80" w:type="dxa"/>
              <w:bottom w:w="50" w:type="dxa"/>
              <w:end w:w="80" w:type="dxa"/>
            </w:tcMar>
            <w:vAlign w:val="center"/>
            <w:shd w:fill="F6F8FB"/>
          </w:tcPr>
          <w:p>
            <w:pPr>
              <w:spacing w:before="0" w:after="0" w:line="240" w:lineRule="auto"/>
            </w:pPr>
            <w:r>
              <w:rPr>
                <w:rFonts w:ascii="Aptos" w:hAnsi="Aptos"/>
                <w:sz w:val="17"/>
              </w:rPr>
              <w:t>Relative AI Skill Penetration; federal capability spillovers; indirect support to research and commercialization</w:t>
            </w:r>
          </w:p>
        </w:tc>
        <w:tc>
          <w:tcPr>
            <w:tcW w:type="dxa" w:w="3312"/>
            <w:tcMar>
              <w:top w:w="50" w:type="dxa"/>
              <w:start w:w="80" w:type="dxa"/>
              <w:bottom w:w="50" w:type="dxa"/>
              <w:end w:w="80" w:type="dxa"/>
            </w:tcMar>
            <w:vAlign w:val="center"/>
            <w:shd w:fill="F6F8FB"/>
          </w:tcPr>
          <w:p>
            <w:pPr>
              <w:spacing w:before="0" w:after="0" w:line="240" w:lineRule="auto"/>
            </w:pPr>
            <w:r>
              <w:rPr>
                <w:rFonts w:ascii="Aptos" w:hAnsi="Aptos"/>
                <w:sz w:val="17"/>
              </w:rPr>
              <w:t>Moderate effect on Implementation, with stronger credibility because it avoids overclaiming on internet, energy, and regional infrastructure delivery.</w:t>
            </w:r>
          </w:p>
        </w:tc>
        <w:tc>
          <w:tcPr>
            <w:tcW w:type="dxa" w:w="1296"/>
            <w:tcMar>
              <w:top w:w="50" w:type="dxa"/>
              <w:start w:w="80" w:type="dxa"/>
              <w:bottom w:w="50" w:type="dxa"/>
              <w:end w:w="80" w:type="dxa"/>
            </w:tcMar>
            <w:vAlign w:val="center"/>
            <w:shd w:fill="F6F8FB"/>
          </w:tcPr>
          <w:p>
            <w:pPr>
              <w:spacing w:before="0" w:after="0" w:line="240" w:lineRule="auto"/>
            </w:pPr>
            <w:r>
              <w:rPr>
                <w:rFonts w:ascii="Aptos" w:hAnsi="Aptos"/>
                <w:sz w:val="17"/>
              </w:rPr>
              <w:t>Medium</w:t>
            </w:r>
          </w:p>
        </w:tc>
      </w:tr>
    </w:tbl>
    <w:p>
      <w:pPr>
        <w:spacing w:after="120" w:line="259" w:lineRule="auto"/>
      </w:pPr>
    </w:p>
    <w:p>
      <w:pPr>
        <w:pStyle w:val="Heading1"/>
        <w:spacing w:before="160" w:after="80"/>
      </w:pPr>
      <w:r>
        <w:t>SECTION G - Deliverable-ready outputs</w:t>
      </w:r>
    </w:p>
    <w:p>
      <w:pPr>
        <w:pStyle w:val="Heading2"/>
        <w:spacing w:before="160" w:after="80"/>
      </w:pPr>
      <w:r>
        <w:t>G1. Revised executive summary</w:t>
      </w:r>
    </w:p>
    <w:p>
      <w:pPr>
        <w:pStyle w:val="ListBullet"/>
        <w:spacing w:after="40"/>
      </w:pPr>
      <w:r>
        <w:t>Canada remains fifth in the AI competitiveness ranking, with its largest weighted gaps concentrated in commercialization, investment, adoption, research conversion, patents, and talent.</w:t>
      </w:r>
    </w:p>
    <w:p>
      <w:pPr>
        <w:pStyle w:val="ListBullet"/>
        <w:spacing w:after="40"/>
      </w:pPr>
      <w:r>
        <w:t>The strongest response areas are direct national levers the Government of Canada can execute in 1-3 years: procurement, co-investment, tax incentives, sovereign compute, research funding, IP support, immigration, public-service capability building, and federal open data.</w:t>
      </w:r>
    </w:p>
    <w:p>
      <w:pPr>
        <w:pStyle w:val="ListBullet"/>
        <w:spacing w:after="40"/>
      </w:pPr>
      <w:r>
        <w:t>The revised report therefore recommends exactly three federal-executable actions: (1) Federal AI Commercialization and Adoption Accelerator, (2) Federal AI Research, Compute, and IP Conversion Program, and (3) Federal AI Talent and Capability Program.</w:t>
      </w:r>
    </w:p>
    <w:p>
      <w:pPr>
        <w:pStyle w:val="ListBullet"/>
        <w:spacing w:after="40"/>
      </w:pPr>
      <w:r>
        <w:t>These recommendations still address the highest-weighted KPI gaps from the workbook, but with cleaner execution logic and less jurisdictional risk than the earlier version.</w:t>
      </w:r>
    </w:p>
    <w:p>
      <w:pPr>
        <w:pStyle w:val="Heading2"/>
        <w:spacing w:before="160" w:after="80"/>
      </w:pPr>
      <w:r>
        <w:t>G2. Revised 7-minute presentation storyline</w:t>
      </w:r>
    </w:p>
    <w:p>
      <w:pPr>
        <w:pStyle w:val="ListBullet"/>
        <w:spacing w:after="40"/>
      </w:pPr>
      <w:r>
        <w:t>Problem: Canada ranks fifth; biggest weighted gaps are commercialization, research conversion, and talent.</w:t>
      </w:r>
    </w:p>
    <w:p>
      <w:pPr>
        <w:pStyle w:val="ListBullet"/>
        <w:spacing w:after="40"/>
      </w:pPr>
      <w:r>
        <w:t>Key findings: the workbook shows Canada's largest missed opportunity is commercial scale, not just strategy posture.</w:t>
      </w:r>
    </w:p>
    <w:p>
      <w:pPr>
        <w:pStyle w:val="ListBullet"/>
        <w:spacing w:after="40"/>
      </w:pPr>
      <w:r>
        <w:t>Recommendation 1: federal procurement plus co-investment plus adoption tax incentives.</w:t>
      </w:r>
    </w:p>
    <w:p>
      <w:pPr>
        <w:pStyle w:val="ListBullet"/>
        <w:spacing w:after="40"/>
      </w:pPr>
      <w:r>
        <w:t>Recommendation 2: sovereign compute plus research funding plus patent conversion.</w:t>
      </w:r>
    </w:p>
    <w:p>
      <w:pPr>
        <w:pStyle w:val="ListBullet"/>
        <w:spacing w:after="40"/>
      </w:pPr>
      <w:r>
        <w:t>Recommendation 3: AI immigration plus federal internships and upskilling plus federal public-service capability.</w:t>
      </w:r>
    </w:p>
    <w:p>
      <w:pPr>
        <w:pStyle w:val="ListBullet"/>
        <w:spacing w:after="40"/>
      </w:pPr>
      <w:r>
        <w:t>Call to action: Ottawa can execute these directly within 1-3 years.</w:t>
      </w:r>
    </w:p>
    <w:p>
      <w:pPr>
        <w:pStyle w:val="Heading2"/>
        <w:spacing w:before="160" w:after="80"/>
      </w:pPr>
      <w:r>
        <w:t>G3. What was explicitly removed</w:t>
      </w:r>
    </w:p>
    <w:p>
      <w:pPr>
        <w:pStyle w:val="IntenseQuote"/>
      </w:pPr>
      <w:r>
        <w:t>Earlier draft options that depended materially on provincial governments, municipal approvals, utility coordination, or university governance were removed from the final recommendation set. Specifically, region-based AI growth zones, provincially co-owned implementation structures, and direct promises on internet-speed and energy-resilience outcomes were excluded from the final 3 recommendations in order to preserve federal executability.</w:t>
      </w:r>
    </w:p>
    <w:p>
      <w:pPr>
        <w:pStyle w:val="Heading2"/>
        <w:spacing w:before="160" w:after="80"/>
      </w:pPr>
      <w:r>
        <w:t>G4. Clean replacement summary for the 3 final recommendations</w:t>
      </w:r>
    </w:p>
    <w:p>
      <w:pPr>
        <w:pStyle w:val="ListBullet"/>
        <w:spacing w:after="40"/>
      </w:pPr>
      <w:r>
        <w:t>Federal AI Commercialization and Adoption Accelerator - federal procurement, co-investment, SME adoption incentives, export scaling.</w:t>
      </w:r>
    </w:p>
    <w:p>
      <w:pPr>
        <w:pStyle w:val="ListBullet"/>
        <w:spacing w:after="40"/>
      </w:pPr>
      <w:r>
        <w:t>Federal AI Research, Compute, and IP Conversion Program - sovereign compute expansion, frontier research funding, IP acceleration, national challenge consortia.</w:t>
      </w:r>
    </w:p>
    <w:p>
      <w:pPr>
        <w:pStyle w:val="ListBullet"/>
        <w:spacing w:after="40"/>
      </w:pPr>
      <w:r>
        <w:t>Federal AI Talent and Capability Program - AI immigration fast-track, federal internships and upskilling, public-service AI capability, federal open data.</w:t>
      </w:r>
    </w:p>
    <w:p>
      <w:pPr>
        <w:pStyle w:val="Heading2"/>
        <w:spacing w:before="160" w:after="80"/>
      </w:pPr>
      <w:r>
        <w:t>G5. Notebook, report, and chatbot follow-through</w:t>
      </w:r>
    </w:p>
    <w:p>
      <w:pPr>
        <w:pStyle w:val="ListBullet"/>
        <w:spacing w:after="40"/>
      </w:pPr>
      <w:r>
        <w:t>The notebook logic can remain unchanged for methodology and weighted-gap calculations; only the interpretation of policy levers changes.</w:t>
      </w:r>
    </w:p>
    <w:p>
      <w:pPr>
        <w:pStyle w:val="ListBullet"/>
        <w:spacing w:after="40"/>
      </w:pPr>
      <w:r>
        <w:t>The consulting report should present the same KPI evidence but explicitly label the final recommendations as federal-executable.</w:t>
      </w:r>
    </w:p>
    <w:p>
      <w:pPr>
        <w:pStyle w:val="ListBullet"/>
        <w:spacing w:after="40"/>
      </w:pPr>
      <w:r>
        <w:t>The chatbot context pack should include the revised recommendation wording, the federal-only filter, and the note on what was removed.</w:t>
      </w:r>
    </w:p>
    <w:p>
      <w:pPr>
        <w:pStyle w:val="Heading1"/>
        <w:spacing w:before="160" w:after="80"/>
      </w:pPr>
      <w:r>
        <w:t>References</w:t>
      </w:r>
    </w:p>
    <w:p>
      <w:pPr>
        <w:spacing w:after="120" w:line="259" w:lineRule="auto"/>
        <w:ind w:left="360" w:hanging="288"/>
      </w:pPr>
      <w:r>
        <w:t>[1] Singapore Invests Over S$1 billion in National AI Research and Development Plan to Strengthen AI Research Capabilities and Our Position as Global AI Hub. Ministry of Digital Development and Information. https://www.mddi.gov.sg/newsroom/singapore-invests-over-s-1-billion-in-national-ai-research-and-development-plan-to-strengthen-ai-research-capabilities-and-our-position-as-global-ai-hub/</w:t>
      </w:r>
    </w:p>
    <w:p>
      <w:pPr>
        <w:spacing w:after="120" w:line="259" w:lineRule="auto"/>
        <w:ind w:left="360" w:hanging="288"/>
      </w:pPr>
      <w:r>
        <w:t>[2] AI Opportunities Action Plan: One Year On. GOV.UK. https://www.gov.uk/government/publications/ai-opportunities-action-plan-one-year-on/ai-opportunities-action-plan-one-year-on</w:t>
      </w:r>
    </w:p>
    <w:p>
      <w:pPr>
        <w:spacing w:after="120" w:line="259" w:lineRule="auto"/>
        <w:ind w:left="360" w:hanging="288"/>
      </w:pPr>
      <w:r>
        <w:t>[3] Strategy to make Korea top 3 AI power gets KRW 10T budget. Korea.net. https://www.korea.net/NewsFocus/policies/view</w:t>
      </w:r>
    </w:p>
    <w:p>
      <w:pPr>
        <w:spacing w:after="120" w:line="259" w:lineRule="auto"/>
        <w:ind w:left="360" w:hanging="288"/>
      </w:pPr>
      <w:r>
        <w:t>[4] Full Stack: China's Evolving Industrial Policy for AI. RAND. https://www.rand.org/pubs/perspectives/PEA4012-1.html</w:t>
      </w:r>
    </w:p>
    <w:p>
      <w:pPr>
        <w:spacing w:after="120" w:line="259" w:lineRule="auto"/>
        <w:ind w:left="360" w:hanging="288"/>
      </w:pPr>
      <w:r>
        <w:t>[5] The golden opportunity for American AI. Microsoft On the Issues. https://blogs.microsoft.com/on-the-issues/2025/01/03/the-golden-opportunity-for-american-ai/</w:t>
      </w:r>
    </w:p>
    <w:p>
      <w:pPr>
        <w:spacing w:after="120" w:line="259" w:lineRule="auto"/>
        <w:ind w:left="360" w:hanging="288"/>
      </w:pPr>
      <w:r>
        <w:t>[6] Canada to drive billions in investments to build domestic AI compute capacity at home. Canada.ca. https://www.canada.ca/en/innovation-science-economic-development/news/2024/12/canada-to-drive-billions-in-investments-to-build-domestic-ai-compute-capacity-at-home.html</w:t>
      </w:r>
    </w:p>
    <w:p>
      <w:pPr>
        <w:spacing w:after="120" w:line="259" w:lineRule="auto"/>
        <w:ind w:left="360" w:hanging="288"/>
      </w:pPr>
      <w:r>
        <w:t>[7] NVIDIA, South Korea Government and Industrial Giants Build AI Infrastructure and Ecosystem to Fuel Korea Innovation, Industries and Jobs. NVIDIA Investor Relations. https://investor.nvidia.com/news/press-release-details/2025/NVIDIA-South-Korea-Government-and-Industrial-Giants-Build-AI-Infrastructure-and-Ecosystem-to-Fuel-Korea-Innovation-Industries-and-Jobs/default.aspx</w:t>
      </w:r>
    </w:p>
    <w:sectPr w:rsidR="00FC693F" w:rsidRPr="0006063C" w:rsidSect="00034616">
      <w:type w:val="continuous"/>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