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EB32" w14:textId="77777777" w:rsidR="00710E84" w:rsidRPr="00710E84" w:rsidRDefault="00710E84" w:rsidP="00710E84">
      <w:pPr>
        <w:rPr>
          <w:b/>
          <w:bCs/>
        </w:rPr>
      </w:pPr>
      <w:r w:rsidRPr="00710E84">
        <w:rPr>
          <w:b/>
          <w:bCs/>
        </w:rPr>
        <w:t>5. Expected Results and Strategic Impact</w:t>
      </w:r>
    </w:p>
    <w:p w14:paraId="707BDB31" w14:textId="77777777" w:rsidR="00710E84" w:rsidRPr="00710E84" w:rsidRDefault="00710E84" w:rsidP="00710E84">
      <w:r w:rsidRPr="00710E84">
        <w:t>Canada’s AI challenge is not a lack of strategy, research, or institutional support. It is a conversion problem: strong upstream inputs are not translating into retained talent, scaled firms, or domestic market traction. As a result, Canada’s current position is more fragile than its headline rank suggests. Under the no-action baseline, Canada loses relative ground as peer countries continue to strengthen commercialization and deployment faster than Canada does.</w:t>
      </w:r>
    </w:p>
    <w:p w14:paraId="5A94D4B8" w14:textId="75C0B06A" w:rsidR="00710E84" w:rsidRPr="00710E84" w:rsidRDefault="00710E84" w:rsidP="00710E84">
      <w:r w:rsidRPr="00710E84">
        <w:rPr>
          <w:b/>
          <w:bCs/>
          <w:highlight w:val="yellow"/>
        </w:rPr>
        <w:t>Figure A</w:t>
      </w:r>
      <w:r w:rsidR="0030481D" w:rsidRPr="0030481D">
        <w:rPr>
          <w:b/>
          <w:bCs/>
          <w:highlight w:val="yellow"/>
        </w:rPr>
        <w:t xml:space="preserve">: </w:t>
      </w:r>
      <w:r w:rsidRPr="00710E84">
        <w:rPr>
          <w:b/>
          <w:bCs/>
          <w:highlight w:val="yellow"/>
        </w:rPr>
        <w:t>Canada Rank Trajectory — All Scenarios</w:t>
      </w:r>
    </w:p>
    <w:p w14:paraId="1AB182AB" w14:textId="77777777" w:rsidR="00710E84" w:rsidRPr="00710E84" w:rsidRDefault="00710E84" w:rsidP="00710E84">
      <w:r w:rsidRPr="00710E84">
        <w:t xml:space="preserve">As shown in </w:t>
      </w:r>
      <w:r w:rsidRPr="00710E84">
        <w:rPr>
          <w:b/>
          <w:bCs/>
          <w:highlight w:val="yellow"/>
        </w:rPr>
        <w:t>Figure A</w:t>
      </w:r>
      <w:r w:rsidRPr="00710E84">
        <w:t>, the cost of inaction is gradual competitive erosion. Canada does not collapse, but it slips behind peers. This makes the central policy question very clear: how can Canada convert existing strengths into stronger economic outcomes within the next four years?</w:t>
      </w:r>
    </w:p>
    <w:p w14:paraId="26EE9C36" w14:textId="77777777" w:rsidR="00710E84" w:rsidRPr="00710E84" w:rsidRDefault="00710E84" w:rsidP="00710E84">
      <w:r w:rsidRPr="00710E84">
        <w:t>The modeled results show that the three recommendations improve Canada’s position because they target that conversion gap directly. Recommendation 1 strengthens talent retention. Recommendation 2 improves the conditions for scaling AI firms. Recommendation 3 stimulates adoption and first-customer validation. Individually, each recommendation improves a different part of the system. Together, they produce the strongest overall result.</w:t>
      </w:r>
    </w:p>
    <w:p w14:paraId="2AEB7F09" w14:textId="77777777" w:rsidR="00710E84" w:rsidRPr="00710E84" w:rsidRDefault="00710E84" w:rsidP="00710E84">
      <w:r w:rsidRPr="00710E84">
        <w:t xml:space="preserve">By the end of the modeled horizon, the combined scenario raises Canada’s composite AI competitiveness score from </w:t>
      </w:r>
      <w:r w:rsidRPr="00710E84">
        <w:rPr>
          <w:b/>
          <w:bCs/>
        </w:rPr>
        <w:t>32.86</w:t>
      </w:r>
      <w:r w:rsidRPr="00710E84">
        <w:t xml:space="preserve"> to about </w:t>
      </w:r>
      <w:r w:rsidRPr="00710E84">
        <w:rPr>
          <w:b/>
          <w:bCs/>
        </w:rPr>
        <w:t>36.93</w:t>
      </w:r>
      <w:r w:rsidRPr="00710E84">
        <w:t xml:space="preserve">, a gain of </w:t>
      </w:r>
      <w:r w:rsidRPr="00710E84">
        <w:rPr>
          <w:b/>
          <w:bCs/>
        </w:rPr>
        <w:t>4.07 points</w:t>
      </w:r>
      <w:r w:rsidRPr="00710E84">
        <w:t xml:space="preserve">, and moves Canada to a stable </w:t>
      </w:r>
      <w:r w:rsidRPr="00710E84">
        <w:rPr>
          <w:b/>
          <w:bCs/>
        </w:rPr>
        <w:t>4th-place</w:t>
      </w:r>
      <w:r w:rsidRPr="00710E84">
        <w:t xml:space="preserve"> position. This is not only a ranking improvement; it reflects a stronger underlying competitiveness profile, especially in commercialization, investment, adoption, and talent retention.</w:t>
      </w:r>
    </w:p>
    <w:p w14:paraId="5BB19F20" w14:textId="291F07CE" w:rsidR="00710E84" w:rsidRDefault="0030481D" w:rsidP="00710E84">
      <w:r w:rsidRPr="0030481D">
        <w:t>The</w:t>
      </w:r>
      <w:r>
        <w:rPr>
          <w:b/>
          <w:bCs/>
        </w:rPr>
        <w:t xml:space="preserve"> </w:t>
      </w:r>
      <w:r w:rsidR="00710E84" w:rsidRPr="00710E84">
        <w:t>combined package outperforms any single recommendation. This is strategically important. The results suggest that selective action would improve parts of the system, but a coordinated package is what materially changes Canada’s competitive trajectory.</w:t>
      </w:r>
    </w:p>
    <w:p w14:paraId="1AD494E3" w14:textId="1E3254B6" w:rsidR="0030481D" w:rsidRPr="00710E84" w:rsidRDefault="0030481D" w:rsidP="00710E84">
      <w:r w:rsidRPr="0030481D">
        <w:rPr>
          <w:highlight w:val="yellow"/>
        </w:rPr>
        <w:t xml:space="preserve">Figure </w:t>
      </w:r>
      <w:r w:rsidRPr="0030481D">
        <w:rPr>
          <w:highlight w:val="yellow"/>
        </w:rPr>
        <w:t>B</w:t>
      </w:r>
      <w:r w:rsidRPr="0030481D">
        <w:rPr>
          <w:highlight w:val="yellow"/>
        </w:rPr>
        <w:t>: KPI Gap Reduction by Recommendation (2029 Q4) — % of Global-Best Gap Closed</w:t>
      </w:r>
    </w:p>
    <w:p w14:paraId="48328490" w14:textId="7B46F357" w:rsidR="00710E84" w:rsidRPr="00710E84" w:rsidRDefault="00710E84" w:rsidP="00710E84">
      <w:r w:rsidRPr="00710E84">
        <w:t xml:space="preserve">At the KPI level, the strongest gains occur in the areas where Canada is currently weakest. </w:t>
      </w:r>
      <w:r w:rsidR="0030481D" w:rsidRPr="0030481D">
        <w:t xml:space="preserve">As shown in </w:t>
      </w:r>
      <w:r w:rsidR="0030481D" w:rsidRPr="0030481D">
        <w:rPr>
          <w:b/>
          <w:bCs/>
          <w:highlight w:val="yellow"/>
        </w:rPr>
        <w:t xml:space="preserve">Figure </w:t>
      </w:r>
      <w:r w:rsidR="0030481D" w:rsidRPr="0030481D">
        <w:rPr>
          <w:b/>
          <w:bCs/>
          <w:highlight w:val="yellow"/>
        </w:rPr>
        <w:t>B</w:t>
      </w:r>
      <w:r w:rsidR="0030481D">
        <w:rPr>
          <w:b/>
          <w:bCs/>
        </w:rPr>
        <w:t xml:space="preserve">, </w:t>
      </w:r>
      <w:r w:rsidR="0030481D">
        <w:t>t</w:t>
      </w:r>
      <w:r w:rsidRPr="00710E84">
        <w:t xml:space="preserve">he biggest improvements are seen in the </w:t>
      </w:r>
      <w:r w:rsidRPr="00710E84">
        <w:rPr>
          <w:b/>
          <w:bCs/>
        </w:rPr>
        <w:t>Tortoise Commercial Score</w:t>
      </w:r>
      <w:r w:rsidRPr="00710E84">
        <w:t xml:space="preserve">, </w:t>
      </w:r>
      <w:r w:rsidRPr="00710E84">
        <w:rPr>
          <w:b/>
          <w:bCs/>
        </w:rPr>
        <w:t>AI Investment Activity</w:t>
      </w:r>
      <w:r w:rsidRPr="00710E84">
        <w:t xml:space="preserve">, </w:t>
      </w:r>
      <w:r w:rsidRPr="00710E84">
        <w:rPr>
          <w:b/>
          <w:bCs/>
        </w:rPr>
        <w:t>AI Adoption</w:t>
      </w:r>
      <w:r w:rsidRPr="00710E84">
        <w:t>, and key talent indicators. This confirms that the package is acting on the highest-value bottlenecks rather than simply reinforcing areas where Canada already performs well.</w:t>
      </w:r>
    </w:p>
    <w:p w14:paraId="55145E67" w14:textId="77777777" w:rsidR="00710E84" w:rsidRPr="00710E84" w:rsidRDefault="00710E84" w:rsidP="00710E84">
      <w:r w:rsidRPr="00710E84">
        <w:t>The results also show why the recommendations are complementary. Better talent retention improves the quality and continuity of the workforce available to scale firms. Better scale-up conditions improve firms’ ability to turn capability into revenue. Better demand-side adoption creates the domestic validation needed to support commercialization and investment. Together, these effects reinforce one another.</w:t>
      </w:r>
    </w:p>
    <w:p w14:paraId="017EF43A" w14:textId="77777777" w:rsidR="00710E84" w:rsidRPr="00710E84" w:rsidRDefault="00710E84" w:rsidP="00710E84">
      <w:pPr>
        <w:rPr>
          <w:b/>
          <w:bCs/>
        </w:rPr>
      </w:pPr>
      <w:r w:rsidRPr="00710E84">
        <w:rPr>
          <w:b/>
          <w:bCs/>
        </w:rPr>
        <w:t>6. Strategic Interpretation and Conclusion</w:t>
      </w:r>
    </w:p>
    <w:p w14:paraId="7E6C1116" w14:textId="77777777" w:rsidR="00710E84" w:rsidRPr="00710E84" w:rsidRDefault="00710E84" w:rsidP="00710E84">
      <w:r w:rsidRPr="00710E84">
        <w:t xml:space="preserve">The strategic message is straightforward. Canada does not need to rebuild its AI foundations; it needs to capture more value from them. Without intervention, Canada risks gradual decline within </w:t>
      </w:r>
      <w:r w:rsidRPr="00710E84">
        <w:lastRenderedPageBreak/>
        <w:t>its peer set. With intervention, it has a credible path to stronger commercialization, deeper domestic adoption, better talent retention, and a more defensible top-tier global position.</w:t>
      </w:r>
    </w:p>
    <w:p w14:paraId="12D865CB" w14:textId="77777777" w:rsidR="00710E84" w:rsidRPr="00710E84" w:rsidRDefault="00710E84" w:rsidP="00710E84">
      <w:r w:rsidRPr="00710E84">
        <w:t>The three recommendations matter because they address the system where it is weakest, not where it is already strongest. Together, they improve the conditions for talent to stay, firms to scale, and domestic customers to validate Canadian AI solutions. In practical terms, the model suggests that Canada’s next competitiveness gains will come less from new strategy documents and more from disciplined execution on commercialization, demand creation, and retention.</w:t>
      </w:r>
    </w:p>
    <w:p w14:paraId="12C5D1E0" w14:textId="21B9DC59" w:rsidR="00710E84" w:rsidRPr="00710E84" w:rsidRDefault="00710E84" w:rsidP="00710E84">
      <w:r w:rsidRPr="00710E84">
        <w:t>Overall, the combined package is projected to move Canada from a relatively fragile AI leader to a more self-sustaining and economically grounded AI economy.</w:t>
      </w:r>
      <w:r w:rsidR="004B697F">
        <w:t xml:space="preserve"> </w:t>
      </w:r>
      <w:r w:rsidR="004B697F" w:rsidRPr="004B697F">
        <w:t>The reported results reflect the most realistic</w:t>
      </w:r>
      <w:r w:rsidR="00ED5798">
        <w:t xml:space="preserve"> </w:t>
      </w:r>
      <w:r w:rsidR="004B697F" w:rsidRPr="004B697F">
        <w:t xml:space="preserve">implementation scenario. Under more optimistic adoption, the </w:t>
      </w:r>
      <w:r w:rsidR="00ED4690">
        <w:t>proposal</w:t>
      </w:r>
      <w:r w:rsidR="004B697F" w:rsidRPr="004B697F">
        <w:t xml:space="preserve"> indicates potential for earlier score improvement and a faster</w:t>
      </w:r>
      <w:r w:rsidR="00ED5798">
        <w:t xml:space="preserve"> and higher</w:t>
      </w:r>
      <w:r w:rsidR="004B697F" w:rsidRPr="004B697F">
        <w:t xml:space="preserve"> progression in global rank.</w:t>
      </w:r>
    </w:p>
    <w:p w14:paraId="2F9EBE72" w14:textId="77777777" w:rsidR="009C2318" w:rsidRDefault="009C2318"/>
    <w:sectPr w:rsidR="009C23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E84"/>
    <w:rsid w:val="0030481D"/>
    <w:rsid w:val="00462AF9"/>
    <w:rsid w:val="004B697F"/>
    <w:rsid w:val="00710E84"/>
    <w:rsid w:val="009C2318"/>
    <w:rsid w:val="00A76F31"/>
    <w:rsid w:val="00ED4690"/>
    <w:rsid w:val="00ED57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3FF88"/>
  <w15:chartTrackingRefBased/>
  <w15:docId w15:val="{8F79D013-E787-450E-91A2-2E5B9402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E84"/>
    <w:rPr>
      <w:rFonts w:eastAsiaTheme="majorEastAsia" w:cstheme="majorBidi"/>
      <w:color w:val="272727" w:themeColor="text1" w:themeTint="D8"/>
    </w:rPr>
  </w:style>
  <w:style w:type="paragraph" w:styleId="Title">
    <w:name w:val="Title"/>
    <w:basedOn w:val="Normal"/>
    <w:next w:val="Normal"/>
    <w:link w:val="TitleChar"/>
    <w:uiPriority w:val="10"/>
    <w:qFormat/>
    <w:rsid w:val="00710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E84"/>
    <w:pPr>
      <w:spacing w:before="160"/>
      <w:jc w:val="center"/>
    </w:pPr>
    <w:rPr>
      <w:i/>
      <w:iCs/>
      <w:color w:val="404040" w:themeColor="text1" w:themeTint="BF"/>
    </w:rPr>
  </w:style>
  <w:style w:type="character" w:customStyle="1" w:styleId="QuoteChar">
    <w:name w:val="Quote Char"/>
    <w:basedOn w:val="DefaultParagraphFont"/>
    <w:link w:val="Quote"/>
    <w:uiPriority w:val="29"/>
    <w:rsid w:val="00710E84"/>
    <w:rPr>
      <w:i/>
      <w:iCs/>
      <w:color w:val="404040" w:themeColor="text1" w:themeTint="BF"/>
    </w:rPr>
  </w:style>
  <w:style w:type="paragraph" w:styleId="ListParagraph">
    <w:name w:val="List Paragraph"/>
    <w:basedOn w:val="Normal"/>
    <w:uiPriority w:val="34"/>
    <w:qFormat/>
    <w:rsid w:val="00710E84"/>
    <w:pPr>
      <w:ind w:left="720"/>
      <w:contextualSpacing/>
    </w:pPr>
  </w:style>
  <w:style w:type="character" w:styleId="IntenseEmphasis">
    <w:name w:val="Intense Emphasis"/>
    <w:basedOn w:val="DefaultParagraphFont"/>
    <w:uiPriority w:val="21"/>
    <w:qFormat/>
    <w:rsid w:val="00710E84"/>
    <w:rPr>
      <w:i/>
      <w:iCs/>
      <w:color w:val="0F4761" w:themeColor="accent1" w:themeShade="BF"/>
    </w:rPr>
  </w:style>
  <w:style w:type="paragraph" w:styleId="IntenseQuote">
    <w:name w:val="Intense Quote"/>
    <w:basedOn w:val="Normal"/>
    <w:next w:val="Normal"/>
    <w:link w:val="IntenseQuoteChar"/>
    <w:uiPriority w:val="30"/>
    <w:qFormat/>
    <w:rsid w:val="00710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E84"/>
    <w:rPr>
      <w:i/>
      <w:iCs/>
      <w:color w:val="0F4761" w:themeColor="accent1" w:themeShade="BF"/>
    </w:rPr>
  </w:style>
  <w:style w:type="character" w:styleId="IntenseReference">
    <w:name w:val="Intense Reference"/>
    <w:basedOn w:val="DefaultParagraphFont"/>
    <w:uiPriority w:val="32"/>
    <w:qFormat/>
    <w:rsid w:val="00710E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 Babu</dc:creator>
  <cp:keywords/>
  <dc:description/>
  <cp:lastModifiedBy>Daya Babu</cp:lastModifiedBy>
  <cp:revision>2</cp:revision>
  <dcterms:created xsi:type="dcterms:W3CDTF">2026-03-28T21:35:00Z</dcterms:created>
  <dcterms:modified xsi:type="dcterms:W3CDTF">2026-03-28T22:30:00Z</dcterms:modified>
</cp:coreProperties>
</file>