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498D4" w14:textId="77777777" w:rsidR="004416C9" w:rsidRPr="004416C9" w:rsidRDefault="004416C9" w:rsidP="004416C9">
      <w:pPr>
        <w:rPr>
          <w:b/>
          <w:bCs/>
        </w:rPr>
      </w:pPr>
      <w:r w:rsidRPr="004416C9">
        <w:rPr>
          <w:b/>
          <w:bCs/>
        </w:rPr>
        <w:t>5. Expected Results and Strategic Impact</w:t>
      </w:r>
    </w:p>
    <w:p w14:paraId="4F1AE803" w14:textId="77777777" w:rsidR="004416C9" w:rsidRPr="004416C9" w:rsidRDefault="004416C9" w:rsidP="004416C9">
      <w:r w:rsidRPr="004416C9">
        <w:t>Canada’s AI competitiveness challenge is primarily a conversion gap: strong research and policy foundations are not translating sufficiently into retained talent, scaled firms, and domestic adoption. Under the no-action baseline, Canada gradually loses relative ground as peer countries continue strengthening commercialization and deployment capacity.</w:t>
      </w:r>
    </w:p>
    <w:p w14:paraId="79F19D6A" w14:textId="77777777" w:rsidR="004416C9" w:rsidRPr="004416C9" w:rsidRDefault="004416C9" w:rsidP="004416C9">
      <w:r w:rsidRPr="004416C9">
        <w:rPr>
          <w:highlight w:val="yellow"/>
        </w:rPr>
        <w:t>Figure A: Canada Rank Trajectory — All Scenarios</w:t>
      </w:r>
    </w:p>
    <w:p w14:paraId="7F45A8A7" w14:textId="77777777" w:rsidR="004416C9" w:rsidRPr="004416C9" w:rsidRDefault="004416C9" w:rsidP="004416C9">
      <w:r w:rsidRPr="004416C9">
        <w:t xml:space="preserve">As shown in </w:t>
      </w:r>
      <w:r w:rsidRPr="004416C9">
        <w:rPr>
          <w:highlight w:val="yellow"/>
        </w:rPr>
        <w:t>Figure A</w:t>
      </w:r>
      <w:r w:rsidRPr="004416C9">
        <w:t>, inaction leads to a gradual drift from 5th to 6th place, highlighting the economic cost of under-converting existing strengths into market outcomes. The policy objective is therefore not to rebuild foundational capabilities, but to improve the translation of research and talent advantages into sustained domestic value creation.</w:t>
      </w:r>
    </w:p>
    <w:p w14:paraId="2E64117F" w14:textId="77777777" w:rsidR="004416C9" w:rsidRPr="004416C9" w:rsidRDefault="004416C9" w:rsidP="004416C9"/>
    <w:p w14:paraId="4FFFEE4E" w14:textId="77777777" w:rsidR="004416C9" w:rsidRPr="004416C9" w:rsidRDefault="004416C9" w:rsidP="004416C9">
      <w:r w:rsidRPr="004416C9">
        <w:t>The three recommendations address this gap across complementary parts of the ecosystem. Recommendation 1 strengthens talent retention, Recommendation 2 improves scale-up conditions for AI firms, and Recommendation 3 increases domestic adoption through demand-side activation. Individually, each recommendation improves specific KPIs, but the combined package produces the largest overall impact.</w:t>
      </w:r>
    </w:p>
    <w:p w14:paraId="286616E1" w14:textId="77777777" w:rsidR="004416C9" w:rsidRPr="004416C9" w:rsidRDefault="004416C9" w:rsidP="004416C9"/>
    <w:p w14:paraId="63F63E13" w14:textId="43D81A90" w:rsidR="004416C9" w:rsidRPr="004416C9" w:rsidRDefault="004416C9" w:rsidP="004416C9">
      <w:r w:rsidRPr="004416C9">
        <w:t>By 2029 Q4, the combined scenario increases Canada’s composite competitiveness score from 32.86 to 36.93 (+4.07) and stabilizes Canada’s position at 4th globally. This represents a structurally stronger competitiveness profile, particularly in commercialization capacity, investment activity, adoption intensity, and talent retention.</w:t>
      </w:r>
    </w:p>
    <w:p w14:paraId="522B773E" w14:textId="5C47A6D5" w:rsidR="004416C9" w:rsidRPr="004416C9" w:rsidRDefault="004416C9" w:rsidP="004416C9">
      <w:r w:rsidRPr="004416C9">
        <w:rPr>
          <w:highlight w:val="yellow"/>
        </w:rPr>
        <w:t>Figure B: KPI Gap Reduction by Recommendation (2029 Q4) — % of Global-Best Gap Closed</w:t>
      </w:r>
    </w:p>
    <w:p w14:paraId="1EE3CB2F" w14:textId="547FD057" w:rsidR="004416C9" w:rsidRPr="004416C9" w:rsidRDefault="004416C9" w:rsidP="004416C9">
      <w:r w:rsidRPr="004416C9">
        <w:t xml:space="preserve">At the KPI level, the largest improvements occur in the areas where Canada currently exhibits the greatest gaps. As shown in </w:t>
      </w:r>
      <w:r w:rsidRPr="004416C9">
        <w:rPr>
          <w:highlight w:val="yellow"/>
        </w:rPr>
        <w:t>Figure B</w:t>
      </w:r>
      <w:r w:rsidRPr="004416C9">
        <w:t>, the strongest gains are observed in Tortoise Commercial Score (20.0%), AI Hiring Rate YoY (14.3%), AI Job Postings share (13.3%), Net Migration Flow of AI Skills (12.1%), AI Investment Activity (11.4%), and AI Adoption (8.5%). These results indicate that the policy package primarily strengthens commercialization performance, talent retention capacity, and domestic adoption conditions.</w:t>
      </w:r>
    </w:p>
    <w:p w14:paraId="23F69395" w14:textId="77777777" w:rsidR="004416C9" w:rsidRPr="004416C9" w:rsidRDefault="004416C9" w:rsidP="004416C9">
      <w:r w:rsidRPr="004416C9">
        <w:t>The distribution of improvements also demonstrates complementarity between the recommendations. Talent retention increases the availability of specialized skills required for scaling firms. Improved scale-up conditions strengthen firms’ ability to convert innovation into revenue. Increased domestic adoption creates validation pathways that support investment and commercialization. Together, these effects reinforce ecosystem-wide competitiveness.</w:t>
      </w:r>
    </w:p>
    <w:p w14:paraId="458875DF" w14:textId="77777777" w:rsidR="004416C9" w:rsidRPr="004416C9" w:rsidRDefault="004416C9" w:rsidP="004416C9"/>
    <w:p w14:paraId="1F1ED570" w14:textId="77777777" w:rsidR="004416C9" w:rsidRPr="004416C9" w:rsidRDefault="004416C9" w:rsidP="004416C9">
      <w:pPr>
        <w:rPr>
          <w:b/>
          <w:bCs/>
        </w:rPr>
      </w:pPr>
      <w:r w:rsidRPr="004416C9">
        <w:rPr>
          <w:b/>
          <w:bCs/>
        </w:rPr>
        <w:t>6. Strategic Interpretation and Conclusion</w:t>
      </w:r>
    </w:p>
    <w:p w14:paraId="7CEEF2F7" w14:textId="77777777" w:rsidR="004416C9" w:rsidRPr="004416C9" w:rsidRDefault="004416C9" w:rsidP="004416C9"/>
    <w:p w14:paraId="7508931B" w14:textId="46688521" w:rsidR="004416C9" w:rsidRPr="004416C9" w:rsidRDefault="004416C9" w:rsidP="004416C9">
      <w:r w:rsidRPr="004416C9">
        <w:lastRenderedPageBreak/>
        <w:t>The results indicate that Canada’s competitiveness constraint is not upstream capability, but downstream scaling performance. Strengthening commercialization depth, domestic demand, and talent retention enables Canada to capture greater economic value from its existing research strengths.</w:t>
      </w:r>
    </w:p>
    <w:p w14:paraId="5BB0DE33" w14:textId="32C80F91" w:rsidR="004416C9" w:rsidRPr="004416C9" w:rsidRDefault="004416C9" w:rsidP="004416C9">
      <w:r w:rsidRPr="004416C9">
        <w:t>The combined recommendation package improves Canada’s competitiveness profile by addressing structural bottlenecks in firm growth, investment activation, and workforce retention. The modeled results show that coordinated action across these areas produces materially stronger outcomes than isolated interventions.</w:t>
      </w:r>
    </w:p>
    <w:p w14:paraId="12C5D1E0" w14:textId="4009F994" w:rsidR="00710E84" w:rsidRPr="004416C9" w:rsidRDefault="004416C9" w:rsidP="004416C9">
      <w:r w:rsidRPr="004416C9">
        <w:t>Overall, the policy package supports a transition from a research-strong ecosystem to a more balanced and economically resilient AI economy.</w:t>
      </w:r>
      <w:r>
        <w:t xml:space="preserve"> </w:t>
      </w:r>
      <w:r w:rsidR="004B697F" w:rsidRPr="004416C9">
        <w:t>The reported results reflect the most realistic</w:t>
      </w:r>
      <w:r w:rsidR="00ED5798" w:rsidRPr="004416C9">
        <w:t xml:space="preserve"> </w:t>
      </w:r>
      <w:r w:rsidR="004B697F" w:rsidRPr="004416C9">
        <w:t xml:space="preserve">implementation scenario. Under more optimistic adoption, the </w:t>
      </w:r>
      <w:r w:rsidR="00ED4690" w:rsidRPr="004416C9">
        <w:t>proposal</w:t>
      </w:r>
      <w:r w:rsidR="004B697F" w:rsidRPr="004416C9">
        <w:t xml:space="preserve"> indicates potential for earlier score improvement and a faster</w:t>
      </w:r>
      <w:r w:rsidR="00ED5798" w:rsidRPr="004416C9">
        <w:t xml:space="preserve"> and higher</w:t>
      </w:r>
      <w:r w:rsidR="004B697F" w:rsidRPr="004416C9">
        <w:t xml:space="preserve"> progression in global rank.</w:t>
      </w:r>
    </w:p>
    <w:p w14:paraId="2F9EBE72" w14:textId="77777777" w:rsidR="009C2318" w:rsidRPr="004416C9" w:rsidRDefault="009C2318"/>
    <w:sectPr w:rsidR="009C2318" w:rsidRPr="004416C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E84"/>
    <w:rsid w:val="0030481D"/>
    <w:rsid w:val="004416C9"/>
    <w:rsid w:val="00462AF9"/>
    <w:rsid w:val="004B697F"/>
    <w:rsid w:val="00710E84"/>
    <w:rsid w:val="009C2318"/>
    <w:rsid w:val="00A76F31"/>
    <w:rsid w:val="00B52A62"/>
    <w:rsid w:val="00ED4690"/>
    <w:rsid w:val="00ED579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3FF88"/>
  <w15:chartTrackingRefBased/>
  <w15:docId w15:val="{8F79D013-E787-450E-91A2-2E5B94024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E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E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E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E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E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E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E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E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E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E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E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E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E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E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E84"/>
    <w:rPr>
      <w:rFonts w:eastAsiaTheme="majorEastAsia" w:cstheme="majorBidi"/>
      <w:color w:val="272727" w:themeColor="text1" w:themeTint="D8"/>
    </w:rPr>
  </w:style>
  <w:style w:type="paragraph" w:styleId="Title">
    <w:name w:val="Title"/>
    <w:basedOn w:val="Normal"/>
    <w:next w:val="Normal"/>
    <w:link w:val="TitleChar"/>
    <w:uiPriority w:val="10"/>
    <w:qFormat/>
    <w:rsid w:val="00710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E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E84"/>
    <w:pPr>
      <w:spacing w:before="160"/>
      <w:jc w:val="center"/>
    </w:pPr>
    <w:rPr>
      <w:i/>
      <w:iCs/>
      <w:color w:val="404040" w:themeColor="text1" w:themeTint="BF"/>
    </w:rPr>
  </w:style>
  <w:style w:type="character" w:customStyle="1" w:styleId="QuoteChar">
    <w:name w:val="Quote Char"/>
    <w:basedOn w:val="DefaultParagraphFont"/>
    <w:link w:val="Quote"/>
    <w:uiPriority w:val="29"/>
    <w:rsid w:val="00710E84"/>
    <w:rPr>
      <w:i/>
      <w:iCs/>
      <w:color w:val="404040" w:themeColor="text1" w:themeTint="BF"/>
    </w:rPr>
  </w:style>
  <w:style w:type="paragraph" w:styleId="ListParagraph">
    <w:name w:val="List Paragraph"/>
    <w:basedOn w:val="Normal"/>
    <w:uiPriority w:val="34"/>
    <w:qFormat/>
    <w:rsid w:val="00710E84"/>
    <w:pPr>
      <w:ind w:left="720"/>
      <w:contextualSpacing/>
    </w:pPr>
  </w:style>
  <w:style w:type="character" w:styleId="IntenseEmphasis">
    <w:name w:val="Intense Emphasis"/>
    <w:basedOn w:val="DefaultParagraphFont"/>
    <w:uiPriority w:val="21"/>
    <w:qFormat/>
    <w:rsid w:val="00710E84"/>
    <w:rPr>
      <w:i/>
      <w:iCs/>
      <w:color w:val="0F4761" w:themeColor="accent1" w:themeShade="BF"/>
    </w:rPr>
  </w:style>
  <w:style w:type="paragraph" w:styleId="IntenseQuote">
    <w:name w:val="Intense Quote"/>
    <w:basedOn w:val="Normal"/>
    <w:next w:val="Normal"/>
    <w:link w:val="IntenseQuoteChar"/>
    <w:uiPriority w:val="30"/>
    <w:qFormat/>
    <w:rsid w:val="00710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E84"/>
    <w:rPr>
      <w:i/>
      <w:iCs/>
      <w:color w:val="0F4761" w:themeColor="accent1" w:themeShade="BF"/>
    </w:rPr>
  </w:style>
  <w:style w:type="character" w:styleId="IntenseReference">
    <w:name w:val="Intense Reference"/>
    <w:basedOn w:val="DefaultParagraphFont"/>
    <w:uiPriority w:val="32"/>
    <w:qFormat/>
    <w:rsid w:val="00710E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537</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 Babu</dc:creator>
  <cp:keywords/>
  <dc:description/>
  <cp:lastModifiedBy>Daya Babu</cp:lastModifiedBy>
  <cp:revision>3</cp:revision>
  <dcterms:created xsi:type="dcterms:W3CDTF">2026-03-28T22:38:00Z</dcterms:created>
  <dcterms:modified xsi:type="dcterms:W3CDTF">2026-03-28T22:42:00Z</dcterms:modified>
</cp:coreProperties>
</file>