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1F4E8C"/>
          <w:sz w:val="36"/>
        </w:rPr>
        <w:t>Guion de presentación — Pregunta 1: Bajo desempeño en inglés (A−)</w:t>
      </w:r>
    </w:p>
    <w:p>
      <w:r>
        <w:rPr>
          <w:rFonts w:ascii="Calibri" w:hAnsi="Calibri"/>
          <w:b w:val="0"/>
          <w:i w:val="0"/>
          <w:color w:val="555555"/>
          <w:sz w:val="24"/>
        </w:rPr>
        <w:t>Duración objetivo: 2 minutos 40 segundos. Cliente: Secretaría de Educación de Córdoba.</w:t>
      </w:r>
    </w:p>
    <w:p/>
    <w:p>
      <w:r>
        <w:rPr>
          <w:rFonts w:ascii="Calibri" w:hAnsi="Calibri"/>
          <w:b/>
          <w:i w:val="0"/>
          <w:color w:val="1F4E8C"/>
          <w:sz w:val="32"/>
        </w:rPr>
        <w:t>Slide 1 — Portada y problema</w:t>
      </w:r>
    </w:p>
    <w:p>
      <w:r>
        <w:rPr>
          <w:rFonts w:ascii="Calibri" w:hAnsi="Calibri"/>
          <w:b/>
          <w:i w:val="0"/>
          <w:color w:val="555555"/>
          <w:sz w:val="24"/>
        </w:rPr>
        <w:t>Tiempo: ~25 segundos</w:t>
      </w:r>
    </w:p>
    <w:p>
      <w:pPr>
        <w:jc w:val="both"/>
      </w:pPr>
      <w:r>
        <w:rPr>
          <w:rFonts w:ascii="Calibri" w:hAnsi="Calibri"/>
          <w:b w:val="0"/>
          <w:i w:val="0"/>
          <w:color w:val="222222"/>
          <w:sz w:val="22"/>
        </w:rPr>
        <w:t>Buenos días. El 61% de los estudiantes de Córdoba sale del Saber 11 en el nivel más bajo de inglés, A−, sin alcanzar siquiera el básico inicial. Mi pregunta de negocio fue: ¿podemos identificar a esos estudiantes antes del examen, para que la Secretaría pueda intervenir a tiempo? Para responderla, trabajé sobre los 194,070 estudiantes del departamento con 137 variables que combinan contexto familiar, características del colegio y municipio.</w:t>
      </w:r>
    </w:p>
    <w:p/>
    <w:p>
      <w:r>
        <w:rPr>
          <w:rFonts w:ascii="Calibri" w:hAnsi="Calibri"/>
          <w:b/>
          <w:i w:val="0"/>
          <w:color w:val="1F4E8C"/>
          <w:sz w:val="32"/>
        </w:rPr>
        <w:t>Slide 2 — Metodología</w:t>
      </w:r>
    </w:p>
    <w:p>
      <w:r>
        <w:rPr>
          <w:rFonts w:ascii="Calibri" w:hAnsi="Calibri"/>
          <w:b/>
          <w:i w:val="0"/>
          <w:color w:val="555555"/>
          <w:sz w:val="24"/>
        </w:rPr>
        <w:t>Tiempo: ~25 segundos</w:t>
      </w:r>
    </w:p>
    <w:p>
      <w:pPr>
        <w:jc w:val="both"/>
      </w:pPr>
      <w:r>
        <w:rPr>
          <w:rFonts w:ascii="Calibri" w:hAnsi="Calibri"/>
          <w:b w:val="0"/>
          <w:i w:val="0"/>
          <w:color w:val="222222"/>
          <w:sz w:val="22"/>
        </w:rPr>
        <w:t>Para construir el modelo seguí tres pilares de rigor. Primero, dividí los datos en tres conjuntos estratificados: 70% para entrenar, 15% para validación y 15% para test, este último intacto durante todo el desarrollo. Segundo, antes de meter una red neuronal entrené una regresión logística como baseline; alcanzó F1 de 0.72. Eso fijó el piso que la red tenía que superar. Tercero, probé cinco arquitecturas distintas de MLP — desde una red pequeña 32-16 hasta una grande 256-128-64 — todas con class weight balanceado y EarlyStopping. Cada experimento quedó registrado en MLflow para trazabilidad y reproducibilidad.</w:t>
      </w:r>
    </w:p>
    <w:p/>
    <w:p>
      <w:r>
        <w:rPr>
          <w:rFonts w:ascii="Calibri" w:hAnsi="Calibri"/>
          <w:b/>
          <w:i w:val="0"/>
          <w:color w:val="1F4E8C"/>
          <w:sz w:val="32"/>
        </w:rPr>
        <w:t>Slide 3 — Journey de mejora</w:t>
      </w:r>
    </w:p>
    <w:p>
      <w:r>
        <w:rPr>
          <w:rFonts w:ascii="Calibri" w:hAnsi="Calibri"/>
          <w:b/>
          <w:i w:val="0"/>
          <w:color w:val="555555"/>
          <w:sz w:val="24"/>
        </w:rPr>
        <w:t>Tiempo: ~25 segundos</w:t>
      </w:r>
    </w:p>
    <w:p>
      <w:pPr>
        <w:jc w:val="both"/>
      </w:pPr>
      <w:r>
        <w:rPr>
          <w:rFonts w:ascii="Calibri" w:hAnsi="Calibri"/>
          <w:b w:val="0"/>
          <w:i w:val="0"/>
          <w:color w:val="222222"/>
          <w:sz w:val="22"/>
        </w:rPr>
        <w:t>Esta es la evolución completa del modelo. Arranqué en F1 de 0.72 con la regresión logística. La red neuronal con 102 features la superó hasta 0.75. Optimizando el threshold de decisión a 0.29, alineado con el costo asimétrico del cliente, subí a 0.78. Pero el salto definitivo vino al hacer feature engineering: agregué el municipio y el colegio del estudiante mediante target encoding con suavizado bayesiano. Eso disparó el AUC de 0.71 a 0.74 y consolidó el F1 en 0.79. La conclusión metodológica es clara: la mayor ganancia no vino de cambiar la arquitectura, sino de darle al modelo features con más señal.</w:t>
      </w:r>
    </w:p>
    <w:p/>
    <w:p>
      <w:r>
        <w:rPr>
          <w:rFonts w:ascii="Calibri" w:hAnsi="Calibri"/>
          <w:b/>
          <w:i w:val="0"/>
          <w:color w:val="1F4E8C"/>
          <w:sz w:val="32"/>
        </w:rPr>
        <w:t>Slide 4 — Resultados finales</w:t>
      </w:r>
    </w:p>
    <w:p>
      <w:r>
        <w:rPr>
          <w:rFonts w:ascii="Calibri" w:hAnsi="Calibri"/>
          <w:b/>
          <w:i w:val="0"/>
          <w:color w:val="555555"/>
          <w:sz w:val="24"/>
        </w:rPr>
        <w:t>Tiempo: ~30 segundos</w:t>
      </w:r>
    </w:p>
    <w:p>
      <w:pPr>
        <w:jc w:val="both"/>
      </w:pPr>
      <w:r>
        <w:rPr>
          <w:rFonts w:ascii="Calibri" w:hAnsi="Calibri"/>
          <w:b w:val="0"/>
          <w:i w:val="0"/>
          <w:color w:val="222222"/>
          <w:sz w:val="22"/>
        </w:rPr>
        <w:t>Estos son los resultados sobre los 29,000 estudiantes de test que el modelo nunca había visto. La matriz de confusión a la izquierda muestra que de los 17,751 estudiantes que efectivamente cayeron en A−, el modelo identifica correctamente a 16,831 — el 95%. Solo se le escapan 920. La curva ROC a la derecha confirma que el modelo es estadísticamente sólido: un AUC de 0.74 lo coloca muy por encima de un clasificador aleatorio. El costo de la alta sensibilidad es un porcentaje de falsos positivos, pero ese trade-off conviene a la Secretaría: es preferible incluir de más en programas de refuerzo que dejar fuera a quien lo necesita.</w:t>
      </w:r>
    </w:p>
    <w:p/>
    <w:p>
      <w:r>
        <w:rPr>
          <w:rFonts w:ascii="Calibri" w:hAnsi="Calibri"/>
          <w:b/>
          <w:i w:val="0"/>
          <w:color w:val="1F4E8C"/>
          <w:sz w:val="32"/>
        </w:rPr>
        <w:t>Slide 5 — Hallazgo clave</w:t>
      </w:r>
    </w:p>
    <w:p>
      <w:r>
        <w:rPr>
          <w:rFonts w:ascii="Calibri" w:hAnsi="Calibri"/>
          <w:b/>
          <w:i w:val="0"/>
          <w:color w:val="555555"/>
          <w:sz w:val="24"/>
        </w:rPr>
        <w:t>Tiempo: ~35 segundos</w:t>
      </w:r>
    </w:p>
    <w:p>
      <w:pPr>
        <w:jc w:val="both"/>
      </w:pPr>
      <w:r>
        <w:rPr>
          <w:rFonts w:ascii="Calibri" w:hAnsi="Calibri"/>
          <w:b w:val="0"/>
          <w:i w:val="0"/>
          <w:color w:val="222222"/>
          <w:sz w:val="22"/>
        </w:rPr>
        <w:t>Este es el hallazgo que más le interesa a la Secretaría. Cuando le preguntamos al modelo qué variables pesan más en su predicción, el resultado es contundente: el colegio al que asiste el estudiante explica cinco veces más que la siguiente variable. Más que el estrato, más que la educación de los padres, más que cualquier otro factor. Eso significa que en Córdoba existen colegios que sistemáticamente sacan a sus estudiantes del A−, y otros que sistemáticamente los dejan ahí, incluso controlando por el contexto socioeconómico. Es una heterogeneidad institucional enorme. El segundo dato relevante: tener internet y computador en el hogar pesa más que el estrato directo. Esto tiene sentido porque aprender inglés moderno depende del consumo digital.</w:t>
      </w:r>
    </w:p>
    <w:p/>
    <w:p>
      <w:r>
        <w:rPr>
          <w:rFonts w:ascii="Calibri" w:hAnsi="Calibri"/>
          <w:b/>
          <w:i w:val="0"/>
          <w:color w:val="1F4E8C"/>
          <w:sz w:val="32"/>
        </w:rPr>
        <w:t>Slide 6 — Recomendaciones, limitaciones y cierre</w:t>
      </w:r>
    </w:p>
    <w:p>
      <w:r>
        <w:rPr>
          <w:rFonts w:ascii="Calibri" w:hAnsi="Calibri"/>
          <w:b/>
          <w:i w:val="0"/>
          <w:color w:val="555555"/>
          <w:sz w:val="24"/>
        </w:rPr>
        <w:t>Tiempo: ~20 segundos</w:t>
      </w:r>
    </w:p>
    <w:p>
      <w:pPr>
        <w:jc w:val="both"/>
      </w:pPr>
      <w:r>
        <w:rPr>
          <w:rFonts w:ascii="Calibri" w:hAnsi="Calibri"/>
          <w:b w:val="0"/>
          <w:i w:val="0"/>
          <w:color w:val="222222"/>
          <w:sz w:val="22"/>
        </w:rPr>
        <w:t>Esto se traduce en tres recomendaciones para la Secretaría. Primero: identificar y replicar las prácticas pedagógicas de los colegios que están funcionando. Segundo: priorizar conectividad digital sobre transferencias económicas. Tercero: estrategias regionales diferenciadas — Montería opera distinto al resto del departamento. Como limitación honesta, el AUC techo de 0.74 indica que hay variables fuera del dataset, como motivación individual o calidad docente específica, que el modelo no captura. El modelo queda serializado y listo para integrarse al tablero. Gracias.</w:t>
      </w:r>
    </w:p>
    <w:p/>
    <w:p>
      <w:r>
        <w:rPr>
          <w:rFonts w:ascii="Calibri" w:hAnsi="Calibri"/>
          <w:b/>
          <w:i w:val="0"/>
          <w:color w:val="1F4E8C"/>
          <w:sz w:val="28"/>
        </w:rPr>
        <w:t>Frases clave que NO debes olvidar</w:t>
      </w:r>
    </w:p>
    <w:p>
      <w:pPr>
        <w:pStyle w:val="ListBullet"/>
      </w:pPr>
      <w:r>
        <w:rPr>
          <w:rFonts w:ascii="Calibri" w:hAnsi="Calibri"/>
          <w:b w:val="0"/>
          <w:i w:val="0"/>
          <w:color w:val="222222"/>
          <w:sz w:val="22"/>
        </w:rPr>
        <w:t>95% de los estudiantes en riesgo identificados.</w:t>
      </w:r>
    </w:p>
    <w:p>
      <w:pPr>
        <w:pStyle w:val="ListBullet"/>
      </w:pPr>
      <w:r>
        <w:rPr>
          <w:rFonts w:ascii="Calibri" w:hAnsi="Calibri"/>
          <w:b w:val="0"/>
          <w:i w:val="0"/>
          <w:color w:val="222222"/>
          <w:sz w:val="22"/>
        </w:rPr>
        <w:t>El colegio pesa 5 veces más que cualquier otra variable.</w:t>
      </w:r>
    </w:p>
    <w:p>
      <w:pPr>
        <w:pStyle w:val="ListBullet"/>
      </w:pPr>
      <w:r>
        <w:rPr>
          <w:rFonts w:ascii="Calibri" w:hAnsi="Calibri"/>
          <w:b w:val="0"/>
          <w:i w:val="0"/>
          <w:color w:val="222222"/>
          <w:sz w:val="22"/>
        </w:rPr>
        <w:t>Internet y computador en casa pesan más que el estrato directo.</w:t>
      </w:r>
    </w:p>
    <w:p>
      <w:pPr>
        <w:pStyle w:val="ListBullet"/>
      </w:pPr>
      <w:r>
        <w:rPr>
          <w:rFonts w:ascii="Calibri" w:hAnsi="Calibri"/>
          <w:b w:val="0"/>
          <w:i w:val="0"/>
          <w:color w:val="222222"/>
          <w:sz w:val="22"/>
        </w:rPr>
        <w:t>La mayor ganancia vino del feature engineering, no de cambiar la arquitectura.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