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40"/>
      </w:pPr>
      <w:r>
        <w:rPr>
          <w:rFonts w:ascii="Liberation Sans" w:hAnsi="Liberation Sans"/>
          <w:b/>
          <w:color w:val="1F3A5F"/>
          <w:sz w:val="46"/>
        </w:rPr>
        <w:t>TF-GNN Fraud Detection</w:t>
      </w:r>
    </w:p>
    <w:p>
      <w:pPr>
        <w:widowControl/>
        <w:spacing w:after="160"/>
      </w:pPr>
      <w:r>
        <w:rPr>
          <w:rFonts w:ascii="Liberation Sans" w:hAnsi="Liberation Sans"/>
          <w:color w:val="2E6F9E"/>
          <w:sz w:val="25"/>
        </w:rPr>
        <w:t>Measured results, engineering lessons, and a path to customer adoption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8F3EC"/>
            <w:tcMar>
              <w:top w:w="11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3A5F"/>
                <w:sz w:val="23"/>
              </w:rPr>
              <w:t>Main result: the graph helped through explicit features, not through learned GNN embeddings.</w:t>
            </w:r>
          </w:p>
          <w:p>
            <w:pPr>
              <w:spacing w:after="0" w:line="254" w:lineRule="auto"/>
            </w:pPr>
            <w:r>
              <w:rPr>
                <w:rFonts w:ascii="Liberation Sans" w:hAnsi="Liberation Sans"/>
                <w:color w:val="1C2733"/>
                <w:sz w:val="18"/>
              </w:rPr>
              <w:t>The best comparable configuration was XGBoost with nine time-aware behaviour features: 0.5631 test AUC-PR. Static engineered graph features added a small but reliable gain. R-GCN and TGN representations added no measurable fraud signal after controlling for the features already given to XGBoost.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51"/>
            <w:shd w:fill="F2F4F5"/>
            <w:tcMar>
              <w:top w:w="95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color w:val="2E6F9E"/>
                <w:sz w:val="30"/>
              </w:rPr>
              <w:t>22.5M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/>
                <w:color w:val="1C2733"/>
                <w:sz w:val="15"/>
              </w:rPr>
              <w:t>transactions evaluated</w:t>
            </w:r>
          </w:p>
        </w:tc>
        <w:tc>
          <w:tcPr>
            <w:tcW w:type="dxa" w:w="2551"/>
            <w:shd w:fill="F2F4F5"/>
            <w:tcMar>
              <w:top w:w="95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color w:val="2E6F9E"/>
                <w:sz w:val="30"/>
              </w:rPr>
              <w:t>36.4%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/>
                <w:color w:val="1C2733"/>
                <w:sz w:val="15"/>
              </w:rPr>
              <w:t>test rows with a new card or merchant</w:t>
            </w:r>
          </w:p>
        </w:tc>
        <w:tc>
          <w:tcPr>
            <w:tcW w:type="dxa" w:w="2551"/>
            <w:shd w:fill="F2F4F5"/>
            <w:tcMar>
              <w:top w:w="95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color w:val="2E6F9E"/>
                <w:sz w:val="30"/>
              </w:rPr>
              <w:t>0.5631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/>
                <w:color w:val="1C2733"/>
                <w:sz w:val="15"/>
              </w:rPr>
              <w:t>best test AUC-PR</w:t>
            </w:r>
          </w:p>
        </w:tc>
        <w:tc>
          <w:tcPr>
            <w:tcW w:type="dxa" w:w="2551"/>
            <w:shd w:fill="F2F4F5"/>
            <w:tcMar>
              <w:top w:w="95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color w:val="2E6F9E"/>
                <w:sz w:val="30"/>
              </w:rPr>
              <w:t>436x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/>
                <w:color w:val="1C2733"/>
                <w:sz w:val="15"/>
              </w:rPr>
              <w:t>better than random AUC-PR</w:t>
            </w:r>
          </w:p>
        </w:tc>
      </w:tr>
    </w:tbl>
    <w:p>
      <w:pPr>
        <w:keepNext/>
        <w:widowControl/>
        <w:spacing w:before="120" w:after="60" w:line="240" w:lineRule="auto"/>
      </w:pPr>
      <w:r>
        <w:rPr>
          <w:rFonts w:ascii="Liberation Sans" w:hAnsi="Liberation Sans"/>
          <w:b/>
          <w:color w:val="1F3A5F"/>
          <w:sz w:val="23"/>
        </w:rPr>
        <w:t>What was measured</w:t>
      </w:r>
    </w:p>
    <w:p>
      <w:pPr>
        <w:widowControl/>
        <w:spacing w:after="80" w:line="259" w:lineRule="auto"/>
      </w:pPr>
      <w:r>
        <w:rPr>
          <w:rFonts w:ascii="Liberation Sans" w:hAnsi="Liberation Sans"/>
          <w:color w:val="1C2733"/>
          <w:sz w:val="18"/>
        </w:rPr>
        <w:t>Every configuration used the same train, validation, and test rows. AUC-PR is the primary metric because fraud prevalence was only 0.129% in test; a random ranking would score about 0.00129. Differences were measured with paired 95% bootstrap intervals, so the report focuses on incremental value rather than isolated scores.</w:t>
      </w:r>
    </w:p>
    <w:p>
      <w:pPr>
        <w:widowControl/>
        <w:spacing w:after="40"/>
        <w:jc w:val="center"/>
      </w:pPr>
      <w:r>
        <w:rPr>
          <w:rFonts w:ascii="Liberation Sans" w:hAnsi="Liberation Sans"/>
          <w:color w:val="1C2733"/>
          <w:sz w:val="19"/>
        </w:rPr>
        <w:drawing>
          <wp:inline xmlns:a="http://schemas.openxmlformats.org/drawingml/2006/main" xmlns:pic="http://schemas.openxmlformats.org/drawingml/2006/picture">
            <wp:extent cx="6372000" cy="306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gnn_aucp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063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4706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Change tested</w:t>
            </w:r>
          </w:p>
        </w:tc>
        <w:tc>
          <w:tcPr>
            <w:tcW w:type="dxa" w:w="1417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AUC-PR change</w:t>
            </w:r>
          </w:p>
        </w:tc>
        <w:tc>
          <w:tcPr>
            <w:tcW w:type="dxa" w:w="2041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95% interval</w:t>
            </w:r>
          </w:p>
        </w:tc>
        <w:tc>
          <w:tcPr>
            <w:tcW w:type="dxa" w:w="1701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Conclusion</w:t>
            </w:r>
          </w:p>
        </w:tc>
      </w:tr>
      <w:tr>
        <w:trPr>
          <w:cantSplit/>
        </w:trPr>
        <w:tc>
          <w:tcPr>
            <w:tcW w:type="dxa" w:w="470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Aggregates added</w:t>
            </w:r>
          </w:p>
        </w:tc>
        <w:tc>
          <w:tcPr>
            <w:tcW w:type="dxa" w:w="141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+0.0341</w:t>
            </w:r>
          </w:p>
        </w:tc>
        <w:tc>
          <w:tcPr>
            <w:tcW w:type="dxa" w:w="204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[+0.0232, +0.0452]</w:t>
            </w:r>
          </w:p>
        </w:tc>
        <w:tc>
          <w:tcPr>
            <w:tcW w:type="dxa" w:w="170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Useful</w:t>
            </w:r>
          </w:p>
        </w:tc>
      </w:tr>
      <w:tr>
        <w:trPr>
          <w:cantSplit/>
        </w:trPr>
        <w:tc>
          <w:tcPr>
            <w:tcW w:type="dxa" w:w="4706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Engineered graph features added</w:t>
            </w:r>
          </w:p>
        </w:tc>
        <w:tc>
          <w:tcPr>
            <w:tcW w:type="dxa" w:w="1417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+0.0098</w:t>
            </w:r>
          </w:p>
        </w:tc>
        <w:tc>
          <w:tcPr>
            <w:tcW w:type="dxa" w:w="2041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[+0.0025, +0.0171]</w:t>
            </w:r>
          </w:p>
        </w:tc>
        <w:tc>
          <w:tcPr>
            <w:tcW w:type="dxa" w:w="1701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Small, reliable</w:t>
            </w:r>
          </w:p>
        </w:tc>
      </w:tr>
      <w:tr>
        <w:trPr>
          <w:cantSplit/>
        </w:trPr>
        <w:tc>
          <w:tcPr>
            <w:tcW w:type="dxa" w:w="470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Time-aware behaviour features added</w:t>
            </w:r>
          </w:p>
        </w:tc>
        <w:tc>
          <w:tcPr>
            <w:tcW w:type="dxa" w:w="141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+0.3482</w:t>
            </w:r>
          </w:p>
        </w:tc>
        <w:tc>
          <w:tcPr>
            <w:tcW w:type="dxa" w:w="204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[+0.3253, +0.3698]</w:t>
            </w:r>
          </w:p>
        </w:tc>
        <w:tc>
          <w:tcPr>
            <w:tcW w:type="dxa" w:w="170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Dominant result</w:t>
            </w:r>
          </w:p>
        </w:tc>
      </w:tr>
      <w:tr>
        <w:trPr>
          <w:cantSplit/>
        </w:trPr>
        <w:tc>
          <w:tcPr>
            <w:tcW w:type="dxa" w:w="4706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R-GCN embeddings added</w:t>
            </w:r>
          </w:p>
        </w:tc>
        <w:tc>
          <w:tcPr>
            <w:tcW w:type="dxa" w:w="1417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-0.0231</w:t>
            </w:r>
          </w:p>
        </w:tc>
        <w:tc>
          <w:tcPr>
            <w:tcW w:type="dxa" w:w="2041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[-0.0325, -0.0129]</w:t>
            </w:r>
          </w:p>
        </w:tc>
        <w:tc>
          <w:tcPr>
            <w:tcW w:type="dxa" w:w="1701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Worse</w:t>
            </w:r>
          </w:p>
        </w:tc>
      </w:tr>
      <w:tr>
        <w:trPr>
          <w:cantSplit/>
        </w:trPr>
        <w:tc>
          <w:tcPr>
            <w:tcW w:type="dxa" w:w="470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R-GCN pair scores added</w:t>
            </w:r>
          </w:p>
        </w:tc>
        <w:tc>
          <w:tcPr>
            <w:tcW w:type="dxa" w:w="141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+0.0011</w:t>
            </w:r>
          </w:p>
        </w:tc>
        <w:tc>
          <w:tcPr>
            <w:tcW w:type="dxa" w:w="204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[-0.0063, +0.0079]</w:t>
            </w:r>
          </w:p>
        </w:tc>
        <w:tc>
          <w:tcPr>
            <w:tcW w:type="dxa" w:w="170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No measurable gain</w:t>
            </w:r>
          </w:p>
        </w:tc>
      </w:tr>
      <w:tr>
        <w:trPr>
          <w:cantSplit/>
        </w:trPr>
        <w:tc>
          <w:tcPr>
            <w:tcW w:type="dxa" w:w="4706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TGN pair scores added</w:t>
            </w:r>
          </w:p>
        </w:tc>
        <w:tc>
          <w:tcPr>
            <w:tcW w:type="dxa" w:w="1417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+0.0003</w:t>
            </w:r>
          </w:p>
        </w:tc>
        <w:tc>
          <w:tcPr>
            <w:tcW w:type="dxa" w:w="2041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[-0.0077, +0.0078]</w:t>
            </w:r>
          </w:p>
        </w:tc>
        <w:tc>
          <w:tcPr>
            <w:tcW w:type="dxa" w:w="1701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No measurable gain</w:t>
            </w:r>
          </w:p>
        </w:tc>
      </w:tr>
    </w:tbl>
    <w:p>
      <w:pPr>
        <w:widowControl/>
      </w:pPr>
      <w:r>
        <w:rPr>
          <w:rFonts w:ascii="Liberation Sans" w:hAnsi="Liberation Sans"/>
          <w:color w:val="1C2733"/>
          <w:sz w:val="19"/>
        </w:rPr>
        <w:br w:type="page"/>
      </w:r>
    </w:p>
    <w:p>
      <w:pPr>
        <w:keepNext/>
        <w:widowControl/>
        <w:spacing w:before="0" w:after="60" w:line="240" w:lineRule="auto"/>
      </w:pPr>
      <w:r>
        <w:rPr>
          <w:rFonts w:ascii="Liberation Sans" w:hAnsi="Liberation Sans"/>
          <w:b/>
          <w:color w:val="1F3A5F"/>
          <w:sz w:val="30"/>
        </w:rPr>
        <w:t>1. What we built and how the embeddings were produced</w:t>
      </w:r>
    </w:p>
    <w:p>
      <w:pPr>
        <w:widowControl/>
        <w:spacing w:after="80" w:line="259" w:lineRule="auto"/>
      </w:pPr>
      <w:r>
        <w:rPr>
          <w:rFonts w:ascii="Liberation Sans" w:hAnsi="Liberation Sans"/>
          <w:color w:val="1C2733"/>
          <w:sz w:val="18"/>
        </w:rPr>
        <w:t>The pipeline starts with one TigerGraph instance and one read-only transaction fact table. Graph and behavioural features are computed in GSQL, stored on Card, Merchant, Category, Community and Resolved Entity vertices, and joined back to each transaction. Six forward-chaining snapshots ensure that a row only receives information available before that row occurred.</w:t>
      </w:r>
    </w:p>
    <w:p>
      <w:pPr>
        <w:keepNext/>
        <w:widowControl/>
        <w:spacing w:before="100" w:after="60" w:line="240" w:lineRule="auto"/>
      </w:pPr>
      <w:r>
        <w:rPr>
          <w:rFonts w:ascii="Liberation Sans" w:hAnsi="Liberation Sans"/>
          <w:b/>
          <w:color w:val="1F3A5F"/>
          <w:sz w:val="23"/>
        </w:rPr>
        <w:t>R-GCN-style static embeddings</w:t>
      </w:r>
    </w:p>
    <w:p>
      <w:pPr>
        <w:pStyle w:val="ListBullet"/>
        <w:widowControl/>
        <w:spacing w:after="50" w:line="250" w:lineRule="auto"/>
        <w:ind w:left="255" w:hanging="125"/>
      </w:pPr>
      <w:r>
        <w:rPr>
          <w:rFonts w:ascii="Liberation Sans" w:hAnsi="Liberation Sans"/>
          <w:color w:val="1C2733"/>
          <w:sz w:val="18"/>
        </w:rPr>
        <w:t>Inputs: each node receives the same aggregate features already available to the XGBoost baseline; unseen entities receive a ones-vector. There are no learnable node-ID lookup embeddings, so new cards and merchants remain scoreable.</w:t>
      </w:r>
    </w:p>
    <w:p>
      <w:pPr>
        <w:pStyle w:val="ListBullet"/>
        <w:widowControl/>
        <w:spacing w:after="50" w:line="250" w:lineRule="auto"/>
        <w:ind w:left="255" w:hanging="125"/>
      </w:pPr>
      <w:r>
        <w:rPr>
          <w:rFonts w:ascii="Liberation Sans" w:hAnsi="Liberation Sans"/>
          <w:color w:val="1C2733"/>
          <w:sz w:val="18"/>
        </w:rPr>
        <w:t>Graph learning: a heterogeneous PyTorch Geometric model uses relation-specific SAGEConv message passing over nine allowed relation types. It is trained without fraud labels using link prediction.</w:t>
      </w:r>
    </w:p>
    <w:p>
      <w:pPr>
        <w:pStyle w:val="ListBullet"/>
        <w:widowControl/>
        <w:spacing w:after="50" w:line="250" w:lineRule="auto"/>
        <w:ind w:left="255" w:hanging="125"/>
      </w:pPr>
      <w:r>
        <w:rPr>
          <w:rFonts w:ascii="Liberation Sans" w:hAnsi="Liberation Sans"/>
          <w:color w:val="1C2733"/>
          <w:sz w:val="18"/>
        </w:rPr>
        <w:t>Output: 64 values for the card and 64 for the merchant. The wide form adds all 128 values to XGBoost. A compact form instead adds three relationship measures: dot product, cosine similarity and Euclidean distance.</w:t>
      </w:r>
    </w:p>
    <w:p>
      <w:pPr>
        <w:keepNext/>
        <w:widowControl/>
        <w:spacing w:before="100" w:after="60" w:line="240" w:lineRule="auto"/>
      </w:pPr>
      <w:r>
        <w:rPr>
          <w:rFonts w:ascii="Liberation Sans" w:hAnsi="Liberation Sans"/>
          <w:b/>
          <w:color w:val="1F3A5F"/>
          <w:sz w:val="23"/>
        </w:rPr>
        <w:t>TGN temporal embeddings</w:t>
      </w:r>
    </w:p>
    <w:p>
      <w:pPr>
        <w:pStyle w:val="ListBullet"/>
        <w:widowControl/>
        <w:spacing w:after="50" w:line="250" w:lineRule="auto"/>
        <w:ind w:left="255" w:hanging="125"/>
      </w:pPr>
      <w:r>
        <w:rPr>
          <w:rFonts w:ascii="Liberation Sans" w:hAnsi="Liberation Sans"/>
          <w:color w:val="1C2733"/>
          <w:sz w:val="18"/>
        </w:rPr>
        <w:t>Inputs: every event carries 27 usable transaction, graph and time-aware features plus 27 missing-value flags. A time encoding, the current card memory and merchant memory are combined into a 354-value message.</w:t>
      </w:r>
    </w:p>
    <w:p>
      <w:pPr>
        <w:pStyle w:val="ListBullet"/>
        <w:widowControl/>
        <w:spacing w:after="50" w:line="250" w:lineRule="auto"/>
        <w:ind w:left="255" w:hanging="125"/>
      </w:pPr>
      <w:r>
        <w:rPr>
          <w:rFonts w:ascii="Liberation Sans" w:hAnsi="Liberation Sans"/>
          <w:color w:val="1C2733"/>
          <w:sz w:val="18"/>
        </w:rPr>
        <w:t>State update: a GRU folds each event into a 100-value memory per card and merchant. TransformerConv attends over the 10 most recent neighbours. Memory snapshots are exported at each forward-chaining cutoff.</w:t>
      </w:r>
    </w:p>
    <w:p>
      <w:pPr>
        <w:pStyle w:val="ListBullet"/>
        <w:widowControl/>
        <w:spacing w:after="50" w:line="250" w:lineRule="auto"/>
        <w:ind w:left="255" w:hanging="125"/>
      </w:pPr>
      <w:r>
        <w:rPr>
          <w:rFonts w:ascii="Liberation Sans" w:hAnsi="Liberation Sans"/>
          <w:color w:val="1C2733"/>
          <w:sz w:val="18"/>
        </w:rPr>
        <w:t>Comparable output: the label-free link objective produces 100 values per card and 100 per merchant. The measured XGBoost comparison uses the same three relationship measures rather than all 200 raw values.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4D6"/>
            <w:tcMar>
              <w:top w:w="11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3A5F"/>
                <w:sz w:val="23"/>
              </w:rPr>
              <w:t>Why the learned representations did not improve XGBoost</w:t>
            </w:r>
          </w:p>
          <w:p>
            <w:pPr>
              <w:spacing w:after="0" w:line="254" w:lineRule="auto"/>
            </w:pPr>
            <w:r>
              <w:rPr>
                <w:rFonts w:ascii="Liberation Sans" w:hAnsi="Liberation Sans"/>
                <w:color w:val="1C2733"/>
                <w:sz w:val="18"/>
              </w:rPr>
              <w:t>Both networks compressed information that the star-schema join already supplied exactly. The static model received aggregates that XGBoost already had; the temporal model received the same nine time-aware features that XGBoost already had. The 128-column static representation also diluted useful inputs because a tree splits one column at a time. Compressing it to three pair scores recovered 0.0242 AUC-PR, proving dilution was real, but the compact result still added only 0.0011 - effectively zero new information.</w:t>
            </w:r>
          </w:p>
        </w:tc>
      </w:tr>
    </w:tbl>
    <w:p>
      <w:pPr>
        <w:keepNext/>
        <w:widowControl/>
        <w:spacing w:before="100" w:after="60" w:line="240" w:lineRule="auto"/>
      </w:pPr>
      <w:r>
        <w:rPr>
          <w:rFonts w:ascii="Liberation Sans" w:hAnsi="Liberation Sans"/>
          <w:b/>
          <w:color w:val="1F3A5F"/>
          <w:sz w:val="23"/>
        </w:rPr>
        <w:t>Separate result: TGN as a streaming fraud scorer</w:t>
      </w:r>
    </w:p>
    <w:p>
      <w:pPr>
        <w:widowControl/>
        <w:spacing w:after="80" w:line="259" w:lineRule="auto"/>
      </w:pPr>
      <w:r>
        <w:rPr>
          <w:rFonts w:ascii="Liberation Sans" w:hAnsi="Liberation Sans"/>
          <w:color w:val="1C2733"/>
          <w:sz w:val="18"/>
        </w:rPr>
        <w:t>A supervised TGN that scored transactions directly achieved 0.3241 test AUC-PR. It is not included in the controlled feature comparison because it trains on the fraud label, sees a narrower input set, and updates memory while scoring. Its value is operational: O(batch) training, stateful updates and native handling of new accounts. On this dataset it trades accuracy for streaming capability; it does not beat the 0.5631 XGBoost configuration.</w:t>
      </w:r>
    </w:p>
    <w:p>
      <w:pPr>
        <w:keepNext/>
        <w:widowControl/>
        <w:spacing w:before="100" w:after="60" w:line="240" w:lineRule="auto"/>
      </w:pPr>
      <w:r>
        <w:rPr>
          <w:rFonts w:ascii="Liberation Sans" w:hAnsi="Liberation Sans"/>
          <w:b/>
          <w:color w:val="1F3A5F"/>
          <w:sz w:val="23"/>
        </w:rPr>
        <w:t>What the negative GNN result means</w:t>
      </w:r>
    </w:p>
    <w:p>
      <w:pPr>
        <w:widowControl/>
        <w:spacing w:after="80" w:line="259" w:lineRule="auto"/>
      </w:pPr>
      <w:r>
        <w:rPr>
          <w:rFonts w:ascii="Liberation Sans" w:hAnsi="Liberation Sans"/>
          <w:color w:val="1C2733"/>
          <w:sz w:val="18"/>
        </w:rPr>
        <w:t>It does not show that GNNs are generally ineffective. It shows that this graph, this self-supervised link task and this downstream interface did not create information beyond the engineered join. The card-merchant graph is about 27% dense, making edge-existence prediction weak and producing many false negatives during random negative sampling. Two architectures failed under the same pretext task, which points more strongly to objective/data mismatch than to a broken implementation.</w:t>
      </w:r>
    </w:p>
    <w:p>
      <w:pPr>
        <w:widowControl/>
      </w:pPr>
      <w:r>
        <w:rPr>
          <w:rFonts w:ascii="Liberation Sans" w:hAnsi="Liberation Sans"/>
          <w:color w:val="1C2733"/>
          <w:sz w:val="19"/>
        </w:rPr>
        <w:br w:type="page"/>
      </w:r>
    </w:p>
    <w:p>
      <w:pPr>
        <w:keepNext/>
        <w:widowControl/>
        <w:spacing w:before="0" w:after="60" w:line="240" w:lineRule="auto"/>
      </w:pPr>
      <w:r>
        <w:rPr>
          <w:rFonts w:ascii="Liberation Sans" w:hAnsi="Liberation Sans"/>
          <w:b/>
          <w:color w:val="1F3A5F"/>
          <w:sz w:val="30"/>
        </w:rPr>
        <w:t>2. Staying true to ARCHITECTURE.md while adapting to evidence</w:t>
      </w:r>
    </w:p>
    <w:p>
      <w:pPr>
        <w:widowControl/>
        <w:spacing w:after="80" w:line="259" w:lineRule="auto"/>
      </w:pPr>
      <w:r>
        <w:rPr>
          <w:rFonts w:ascii="Liberation Sans" w:hAnsi="Liberation Sans"/>
          <w:color w:val="1C2733"/>
          <w:sz w:val="18"/>
        </w:rPr>
        <w:t>ARCHITECTURE.md was preserved as the pre-build design record. The implementation did not follow it mechanically; PLAN_VS_BUILT.md records 212 commitments, of which 47 were kept and 165 changed, abandoned, reversed or remain unbuilt. This traceability is a strength: the report can distinguish the original intent from the system that was actually measured.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3458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Architectural principle</w:t>
            </w:r>
          </w:p>
        </w:tc>
        <w:tc>
          <w:tcPr>
            <w:tcW w:type="dxa" w:w="6406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How it appears in the measured system</w:t>
            </w:r>
          </w:p>
        </w:tc>
      </w:tr>
      <w:tr>
        <w:trPr>
          <w:cantSplit/>
        </w:trPr>
        <w:tc>
          <w:tcPr>
            <w:tcW w:type="dxa" w:w="3458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6"/>
              </w:rPr>
              <w:t>One shared graph and one feature pipeline</w:t>
            </w:r>
          </w:p>
        </w:tc>
        <w:tc>
          <w:tcPr>
            <w:tcW w:type="dxa" w:w="640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6"/>
              </w:rPr>
              <w:t>Kept. All configurations reuse the same TigerGraph data and GSQL-derived features.</w:t>
            </w:r>
          </w:p>
        </w:tc>
      </w:tr>
      <w:tr>
        <w:trPr>
          <w:cantSplit/>
        </w:trPr>
        <w:tc>
          <w:tcPr>
            <w:tcW w:type="dxa" w:w="3458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6"/>
              </w:rPr>
              <w:t>No-pollution / identical evaluation rows</w:t>
            </w:r>
          </w:p>
        </w:tc>
        <w:tc>
          <w:tcPr>
            <w:tcW w:type="dxa" w:w="6406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6"/>
              </w:rPr>
              <w:t>Kept and strengthened with forward-chaining cutoffs and runtime count gates.</w:t>
            </w:r>
          </w:p>
        </w:tc>
      </w:tr>
      <w:tr>
        <w:trPr>
          <w:cantSplit/>
        </w:trPr>
        <w:tc>
          <w:tcPr>
            <w:tcW w:type="dxa" w:w="3458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6"/>
              </w:rPr>
              <w:t>R-GCN followed by XGBoost</w:t>
            </w:r>
          </w:p>
        </w:tc>
        <w:tc>
          <w:tcPr>
            <w:tcW w:type="dxa" w:w="640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6"/>
              </w:rPr>
              <w:t>Kept as the static learned-representation test.</w:t>
            </w:r>
          </w:p>
        </w:tc>
      </w:tr>
      <w:tr>
        <w:trPr>
          <w:cantSplit/>
        </w:trPr>
        <w:tc>
          <w:tcPr>
            <w:tcW w:type="dxa" w:w="3458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6"/>
              </w:rPr>
              <w:t>Temporal GNN stage</w:t>
            </w:r>
          </w:p>
        </w:tc>
        <w:tc>
          <w:tcPr>
            <w:tcW w:type="dxa" w:w="6406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6"/>
              </w:rPr>
              <w:t>Kept in intent; TGN was selected using the observed importance of recency.</w:t>
            </w:r>
          </w:p>
        </w:tc>
      </w:tr>
      <w:tr>
        <w:trPr>
          <w:cantSplit/>
        </w:trPr>
        <w:tc>
          <w:tcPr>
            <w:tcW w:type="dxa" w:w="3458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6"/>
              </w:rPr>
              <w:t>Common evaluation</w:t>
            </w:r>
          </w:p>
        </w:tc>
        <w:tc>
          <w:tcPr>
            <w:tcW w:type="dxa" w:w="640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6"/>
              </w:rPr>
              <w:t>Kept and expanded: AUC-PR, ROC-AUC, operating threshold and paired intervals.</w:t>
            </w:r>
          </w:p>
        </w:tc>
      </w:tr>
    </w:tbl>
    <w:p>
      <w:pPr>
        <w:keepNext/>
        <w:widowControl/>
        <w:spacing w:before="100" w:after="60" w:line="240" w:lineRule="auto"/>
      </w:pPr>
      <w:r>
        <w:rPr>
          <w:rFonts w:ascii="Liberation Sans" w:hAnsi="Liberation Sans"/>
          <w:b/>
          <w:color w:val="1F3A5F"/>
          <w:sz w:val="23"/>
        </w:rPr>
        <w:t>Deliberate changes from the original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701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3742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Original design</w:t>
            </w:r>
          </w:p>
        </w:tc>
        <w:tc>
          <w:tcPr>
            <w:tcW w:type="dxa" w:w="4422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Measured implementation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Dataset</w:t>
            </w:r>
          </w:p>
        </w:tc>
        <w:tc>
          <w:tcPr>
            <w:tcW w:type="dxa" w:w="374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TabFormer / NVIDIA benchmark context</w:t>
            </w:r>
          </w:p>
        </w:tc>
        <w:tc>
          <w:tcPr>
            <w:tcW w:type="dxa" w:w="442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Generated payment corpus; only within-dataset comparisons are valid.</w:t>
            </w:r>
          </w:p>
        </w:tc>
      </w:tr>
      <w:tr>
        <w:trPr>
          <w:cantSplit/>
        </w:trPr>
        <w:tc>
          <w:tcPr>
            <w:tcW w:type="dxa" w:w="1701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Graph feature code</w:t>
            </w:r>
          </w:p>
        </w:tc>
        <w:tc>
          <w:tcPr>
            <w:tcW w:type="dxa" w:w="3742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Run solution-kit queries as-is</w:t>
            </w:r>
          </w:p>
        </w:tc>
        <w:tc>
          <w:tcPr>
            <w:tcW w:type="dxa" w:w="4422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57 project-specific GSQL scripts; no kit query runs unmodified.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GNN framework</w:t>
            </w:r>
          </w:p>
        </w:tc>
        <w:tc>
          <w:tcPr>
            <w:tcW w:type="dxa" w:w="374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tg-gnn, torchrun, cuGraph-PyG</w:t>
            </w:r>
          </w:p>
        </w:tc>
        <w:tc>
          <w:tcPr>
            <w:tcW w:type="dxa" w:w="442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Single-process PyTorch Geometric exports and training. cuGraph is detected but not used.</w:t>
            </w:r>
          </w:p>
        </w:tc>
      </w:tr>
      <w:tr>
        <w:trPr>
          <w:cantSplit/>
        </w:trPr>
        <w:tc>
          <w:tcPr>
            <w:tcW w:type="dxa" w:w="1701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Experiment design</w:t>
            </w:r>
          </w:p>
        </w:tc>
        <w:tc>
          <w:tcPr>
            <w:tcW w:type="dxa" w:w="3742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Four cells in a 2 x 2</w:t>
            </w:r>
          </w:p>
        </w:tc>
        <w:tc>
          <w:tcPr>
            <w:tcW w:type="dxa" w:w="4422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Eight configurations to separate addition, replacement, information content and dimensional dilution.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Isolation mechanism</w:t>
            </w:r>
          </w:p>
        </w:tc>
        <w:tc>
          <w:tcPr>
            <w:tcW w:type="dxa" w:w="374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Fresh instance per stage</w:t>
            </w:r>
          </w:p>
        </w:tc>
        <w:tc>
          <w:tcPr>
            <w:tcW w:type="dxa" w:w="442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One instance with cutoff-correct exports, build IDs and state gates.</w:t>
            </w:r>
          </w:p>
        </w:tc>
      </w:tr>
    </w:tbl>
    <w:p>
      <w:pPr>
        <w:keepNext/>
        <w:widowControl/>
        <w:spacing w:before="100" w:after="60" w:line="240" w:lineRule="auto"/>
      </w:pPr>
      <w:r>
        <w:rPr>
          <w:rFonts w:ascii="Liberation Sans" w:hAnsi="Liberation Sans"/>
          <w:b/>
          <w:color w:val="1F3A5F"/>
          <w:sz w:val="23"/>
        </w:rPr>
        <w:t>Why the result is credible</w:t>
      </w:r>
    </w:p>
    <w:p>
      <w:pPr>
        <w:pStyle w:val="ListBullet"/>
        <w:widowControl/>
        <w:spacing w:after="40" w:line="250" w:lineRule="auto"/>
        <w:ind w:left="255" w:hanging="125"/>
      </w:pPr>
      <w:r>
        <w:rPr>
          <w:rFonts w:ascii="Liberation Sans" w:hAnsi="Liberation Sans"/>
          <w:color w:val="1C2733"/>
          <w:sz w:val="17"/>
        </w:rPr>
        <w:t>Six forward-chaining builds: no training row reads a feature fitted on itself or on later transactions.</w:t>
      </w:r>
    </w:p>
    <w:p>
      <w:pPr>
        <w:pStyle w:val="ListBullet"/>
        <w:widowControl/>
        <w:spacing w:after="40" w:line="250" w:lineRule="auto"/>
        <w:ind w:left="255" w:hanging="125"/>
      </w:pPr>
      <w:r>
        <w:rPr>
          <w:rFonts w:ascii="Liberation Sans" w:hAnsi="Liberation Sans"/>
          <w:color w:val="1C2733"/>
          <w:sz w:val="17"/>
        </w:rPr>
        <w:t>The cutoff is enforced on timestamped edges; load-time and build-time gates verify the edge and transaction ordering agree.</w:t>
      </w:r>
    </w:p>
    <w:p>
      <w:pPr>
        <w:pStyle w:val="ListBullet"/>
        <w:widowControl/>
        <w:spacing w:after="40" w:line="250" w:lineRule="auto"/>
        <w:ind w:left="255" w:hanging="125"/>
      </w:pPr>
      <w:r>
        <w:rPr>
          <w:rFonts w:ascii="Liberation Sans" w:hAnsi="Liberation Sans"/>
          <w:color w:val="1C2733"/>
          <w:sz w:val="17"/>
        </w:rPr>
        <w:t>Inductive evaluation: 36.4% of test rows contain a card or merchant absent from training, and learnable ID embeddings are forbidden.</w:t>
      </w:r>
    </w:p>
    <w:p>
      <w:pPr>
        <w:pStyle w:val="ListBullet"/>
        <w:widowControl/>
        <w:spacing w:after="40" w:line="250" w:lineRule="auto"/>
        <w:ind w:left="255" w:hanging="125"/>
      </w:pPr>
      <w:r>
        <w:rPr>
          <w:rFonts w:ascii="Liberation Sans" w:hAnsi="Liberation Sans"/>
          <w:color w:val="1C2733"/>
          <w:sz w:val="17"/>
        </w:rPr>
        <w:t>The fraud label is excluded from both comparable GNN objectives. The supervised TGN is clearly marked and reported separately.</w:t>
      </w:r>
    </w:p>
    <w:p>
      <w:pPr>
        <w:pStyle w:val="ListBullet"/>
        <w:widowControl/>
        <w:spacing w:after="40" w:line="250" w:lineRule="auto"/>
        <w:ind w:left="255" w:hanging="125"/>
      </w:pPr>
      <w:r>
        <w:rPr>
          <w:rFonts w:ascii="Liberation Sans" w:hAnsi="Liberation Sans"/>
          <w:color w:val="1C2733"/>
          <w:sz w:val="17"/>
        </w:rPr>
        <w:t>All feature comparisons use identical rows and paired resampling of the difference, not unrelated single-model confidence intervals.</w:t>
      </w:r>
    </w:p>
    <w:p>
      <w:pPr>
        <w:pStyle w:val="ListBullet"/>
        <w:widowControl/>
        <w:spacing w:after="40" w:line="250" w:lineRule="auto"/>
        <w:ind w:left="255" w:hanging="125"/>
      </w:pPr>
      <w:r>
        <w:rPr>
          <w:rFonts w:ascii="Liberation Sans" w:hAnsi="Liberation Sans"/>
          <w:color w:val="1C2733"/>
          <w:sz w:val="17"/>
        </w:rPr>
        <w:t>Sentinel values are converted to missing values rather than zero, preventing unseen entities from becoming a hidden calendar signal.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CEBEC"/>
            <w:tcMar>
              <w:top w:w="11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3A5F"/>
                <w:sz w:val="23"/>
              </w:rPr>
              <w:t>Audit limitation in the supplied bundle</w:t>
            </w:r>
          </w:p>
          <w:p>
            <w:pPr>
              <w:spacing w:after="0" w:line="254" w:lineRule="auto"/>
            </w:pPr>
            <w:r>
              <w:rPr>
                <w:rFonts w:ascii="Liberation Sans" w:hAnsi="Liberation Sans"/>
                <w:color w:val="1C2733"/>
                <w:sz w:val="18"/>
              </w:rPr>
              <w:t>REPORT_BRIEF.md says run.log contains the raw top-feature gain table, memory trace and early-stopping record, but run.log was not included in the archive. The headline metrics are fully present in JSON. The project documentation identifies row_pair_gap_seconds (first card-merchant visit / recency) as the leading temporal signal, but this report does not reproduce a full feature-ranking table without the log.</w:t>
            </w:r>
          </w:p>
        </w:tc>
      </w:tr>
    </w:tbl>
    <w:p>
      <w:pPr>
        <w:widowControl/>
      </w:pPr>
      <w:r>
        <w:rPr>
          <w:rFonts w:ascii="Liberation Sans" w:hAnsi="Liberation Sans"/>
          <w:color w:val="1C2733"/>
          <w:sz w:val="19"/>
        </w:rPr>
        <w:br w:type="page"/>
      </w:r>
    </w:p>
    <w:p>
      <w:pPr>
        <w:keepNext/>
        <w:widowControl/>
        <w:spacing w:before="0" w:after="60" w:line="240" w:lineRule="auto"/>
      </w:pPr>
      <w:r>
        <w:rPr>
          <w:rFonts w:ascii="Liberation Sans" w:hAnsi="Liberation Sans"/>
          <w:b/>
          <w:color w:val="1F3A5F"/>
          <w:sz w:val="30"/>
        </w:rPr>
        <w:t>3. How to improve the project and make GNNs usable on customer 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8F3EC"/>
            <w:tcMar>
              <w:top w:w="11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3A5F"/>
                <w:sz w:val="23"/>
              </w:rPr>
              <w:t>Recommendation: productize the evaluation framework, not this exact graph or model.</w:t>
            </w:r>
          </w:p>
          <w:p>
            <w:pPr>
              <w:spacing w:after="0" w:line="254" w:lineRule="auto"/>
            </w:pPr>
            <w:r>
              <w:rPr>
                <w:rFonts w:ascii="Liberation Sans" w:hAnsi="Liberation Sans"/>
                <w:color w:val="1C2733"/>
                <w:sz w:val="18"/>
              </w:rPr>
              <w:t>The reusable asset is the leakage-safe comparison harness: schema mapping, forward-chaining exports, strong tabular and engineered-graph baselines, GNN representation tests, and paired uncertainty. A customer should first receive a Graph Value Assessment; a GNN is adopted only when it proves incremental value or solves an operational requirement that the baseline cannot.</w:t>
            </w:r>
          </w:p>
        </w:tc>
      </w:tr>
    </w:tbl>
    <w:p>
      <w:pPr>
        <w:keepNext/>
        <w:widowControl/>
        <w:spacing w:before="100" w:after="60" w:line="240" w:lineRule="auto"/>
      </w:pPr>
      <w:r>
        <w:rPr>
          <w:rFonts w:ascii="Liberation Sans" w:hAnsi="Liberation Sans"/>
          <w:b/>
          <w:color w:val="1F3A5F"/>
          <w:sz w:val="23"/>
        </w:rPr>
        <w:t>A customer graph will be structurally different</w:t>
      </w:r>
    </w:p>
    <w:p>
      <w:pPr>
        <w:widowControl/>
        <w:spacing w:after="80" w:line="259" w:lineRule="auto"/>
      </w:pPr>
      <w:r>
        <w:rPr>
          <w:rFonts w:ascii="Liberation Sans" w:hAnsi="Liberation Sans"/>
          <w:color w:val="1C2733"/>
          <w:sz w:val="18"/>
        </w:rPr>
        <w:t>Do not force every dataset into Card -&gt; Transaction -&gt; Merchant. Introduce a schema adapter based on roles rather than names: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984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Canonical role</w:t>
            </w:r>
          </w:p>
        </w:tc>
        <w:tc>
          <w:tcPr>
            <w:tcW w:type="dxa" w:w="3402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Customer examples</w:t>
            </w:r>
          </w:p>
        </w:tc>
        <w:tc>
          <w:tcPr>
            <w:tcW w:type="dxa" w:w="4479"/>
            <w:shd w:fill="1F3A5F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Required mapping question</w:t>
            </w:r>
          </w:p>
        </w:tc>
      </w:tr>
      <w:tr>
        <w:trPr>
          <w:cantSplit/>
        </w:trPr>
        <w:tc>
          <w:tcPr>
            <w:tcW w:type="dxa" w:w="198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Actor / account</w:t>
            </w:r>
          </w:p>
        </w:tc>
        <w:tc>
          <w:tcPr>
            <w:tcW w:type="dxa" w:w="340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customer, card, wallet, user, policyholder</w:t>
            </w:r>
          </w:p>
        </w:tc>
        <w:tc>
          <w:tcPr>
            <w:tcW w:type="dxa" w:w="447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Who initiates or owns activity?</w:t>
            </w:r>
          </w:p>
        </w:tc>
      </w:tr>
      <w:tr>
        <w:trPr>
          <w:cantSplit/>
        </w:trPr>
        <w:tc>
          <w:tcPr>
            <w:tcW w:type="dxa" w:w="1984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Event</w:t>
            </w:r>
          </w:p>
        </w:tc>
        <w:tc>
          <w:tcPr>
            <w:tcW w:type="dxa" w:w="3402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payment, login, transfer, claim, application</w:t>
            </w:r>
          </w:p>
        </w:tc>
        <w:tc>
          <w:tcPr>
            <w:tcW w:type="dxa" w:w="4479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What is scored, and when is it visible?</w:t>
            </w:r>
          </w:p>
        </w:tc>
      </w:tr>
      <w:tr>
        <w:trPr>
          <w:cantSplit/>
        </w:trPr>
        <w:tc>
          <w:tcPr>
            <w:tcW w:type="dxa" w:w="198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Counterparty / target</w:t>
            </w:r>
          </w:p>
        </w:tc>
        <w:tc>
          <w:tcPr>
            <w:tcW w:type="dxa" w:w="340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merchant, beneficiary, device, provider</w:t>
            </w:r>
          </w:p>
        </w:tc>
        <w:tc>
          <w:tcPr>
            <w:tcW w:type="dxa" w:w="447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What relationship may carry risk?</w:t>
            </w:r>
          </w:p>
        </w:tc>
      </w:tr>
      <w:tr>
        <w:trPr>
          <w:cantSplit/>
        </w:trPr>
        <w:tc>
          <w:tcPr>
            <w:tcW w:type="dxa" w:w="1984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Context entity</w:t>
            </w:r>
          </w:p>
        </w:tc>
        <w:tc>
          <w:tcPr>
            <w:tcW w:type="dxa" w:w="3402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IP, address, phone, email, terminal, location</w:t>
            </w:r>
          </w:p>
        </w:tc>
        <w:tc>
          <w:tcPr>
            <w:tcW w:type="dxa" w:w="4479"/>
            <w:shd w:fill="F2F4F5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Which shared entities create meaningful paths?</w:t>
            </w:r>
          </w:p>
        </w:tc>
      </w:tr>
      <w:tr>
        <w:trPr>
          <w:cantSplit/>
        </w:trPr>
        <w:tc>
          <w:tcPr>
            <w:tcW w:type="dxa" w:w="1984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Outcome</w:t>
            </w:r>
          </w:p>
        </w:tc>
        <w:tc>
          <w:tcPr>
            <w:tcW w:type="dxa" w:w="340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chargeback, confirmed fraud, loss</w:t>
            </w:r>
          </w:p>
        </w:tc>
        <w:tc>
          <w:tcPr>
            <w:tcW w:type="dxa" w:w="4479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C2733"/>
                <w:sz w:val="15"/>
              </w:rPr>
              <w:t>When does the label become available?</w:t>
            </w:r>
          </w:p>
        </w:tc>
      </w:tr>
    </w:tbl>
    <w:p>
      <w:pPr>
        <w:keepNext/>
        <w:widowControl/>
        <w:spacing w:before="100" w:after="60" w:line="240" w:lineRule="auto"/>
      </w:pPr>
      <w:r>
        <w:rPr>
          <w:rFonts w:ascii="Liberation Sans" w:hAnsi="Liberation Sans"/>
          <w:b/>
          <w:color w:val="1F3A5F"/>
          <w:sz w:val="23"/>
        </w:rPr>
        <w:t>Recommended delivery sequence</w:t>
      </w:r>
    </w:p>
    <w:p>
      <w:pPr>
        <w:widowControl/>
        <w:spacing w:after="60" w:line="250" w:lineRule="auto"/>
      </w:pPr>
      <w:r>
        <w:rPr>
          <w:rFonts w:ascii="Liberation Sans" w:hAnsi="Liberation Sans"/>
          <w:b/>
          <w:color w:val="1F3A5F"/>
          <w:sz w:val="18"/>
        </w:rPr>
        <w:t xml:space="preserve">1. Graph fitness check: </w:t>
      </w:r>
      <w:r>
        <w:rPr>
          <w:rFonts w:ascii="Liberation Sans" w:hAnsi="Liberation Sans"/>
          <w:color w:val="1C2733"/>
          <w:sz w:val="18"/>
        </w:rPr>
        <w:t>Profile node and relation counts, degree skew, density, connected components, time coverage, label delay, cold-start rate and leakage risks. Reject meaningless relations early.</w:t>
      </w:r>
    </w:p>
    <w:p>
      <w:pPr>
        <w:widowControl/>
        <w:spacing w:after="60" w:line="250" w:lineRule="auto"/>
      </w:pPr>
      <w:r>
        <w:rPr>
          <w:rFonts w:ascii="Liberation Sans" w:hAnsi="Liberation Sans"/>
          <w:b/>
          <w:color w:val="1F3A5F"/>
          <w:sz w:val="18"/>
        </w:rPr>
        <w:t xml:space="preserve">2. Baseline first: </w:t>
      </w:r>
      <w:r>
        <w:rPr>
          <w:rFonts w:ascii="Liberation Sans" w:hAnsi="Liberation Sans"/>
          <w:color w:val="1C2733"/>
          <w:sz w:val="18"/>
        </w:rPr>
        <w:t>Build raw, aggregate, time-aware and engineered-graph baselines on forward time splits. This establishes whether the graph already pays without a GNN.</w:t>
      </w:r>
    </w:p>
    <w:p>
      <w:pPr>
        <w:widowControl/>
        <w:spacing w:after="60" w:line="250" w:lineRule="auto"/>
      </w:pPr>
      <w:r>
        <w:rPr>
          <w:rFonts w:ascii="Liberation Sans" w:hAnsi="Liberation Sans"/>
          <w:b/>
          <w:color w:val="1F3A5F"/>
          <w:sz w:val="18"/>
        </w:rPr>
        <w:t xml:space="preserve">3. Select an aligned learning task: </w:t>
      </w:r>
      <w:r>
        <w:rPr>
          <w:rFonts w:ascii="Liberation Sans" w:hAnsi="Liberation Sans"/>
          <w:color w:val="1C2733"/>
          <w:sz w:val="18"/>
        </w:rPr>
        <w:t>Choose a task tied to the customer mechanism: next interaction / recency, suspicious shared-entity prediction, temporal contrastive learning, anomaly scoring, or supervised fraud training when governance permits. Do not default to edge existence on a dense graph.</w:t>
      </w:r>
    </w:p>
    <w:p>
      <w:pPr>
        <w:widowControl/>
        <w:spacing w:after="60" w:line="250" w:lineRule="auto"/>
      </w:pPr>
      <w:r>
        <w:rPr>
          <w:rFonts w:ascii="Liberation Sans" w:hAnsi="Liberation Sans"/>
          <w:b/>
          <w:color w:val="1F3A5F"/>
          <w:sz w:val="18"/>
        </w:rPr>
        <w:t xml:space="preserve">4. Test the interface: </w:t>
      </w:r>
      <w:r>
        <w:rPr>
          <w:rFonts w:ascii="Liberation Sans" w:hAnsi="Liberation Sans"/>
          <w:color w:val="1C2733"/>
          <w:sz w:val="18"/>
        </w:rPr>
        <w:t>Compare raw embeddings, compact pair scores, replacement of engineered features, and direct online scoring. Require a paired interval and an operational reason for every added component.</w:t>
      </w:r>
    </w:p>
    <w:p>
      <w:pPr>
        <w:widowControl/>
        <w:spacing w:after="60" w:line="250" w:lineRule="auto"/>
      </w:pPr>
      <w:r>
        <w:rPr>
          <w:rFonts w:ascii="Liberation Sans" w:hAnsi="Liberation Sans"/>
          <w:b/>
          <w:color w:val="1F3A5F"/>
          <w:sz w:val="18"/>
        </w:rPr>
        <w:t xml:space="preserve">5. Production gate: </w:t>
      </w:r>
      <w:r>
        <w:rPr>
          <w:rFonts w:ascii="Liberation Sans" w:hAnsi="Liberation Sans"/>
          <w:color w:val="1C2733"/>
          <w:sz w:val="18"/>
        </w:rPr>
        <w:t>Add single-event inference, exactly-once state updates, memory checkpoints, delayed-label handling, drift monitoring, feature lineage and rollback. A notebook score is not a deployable GNN.</w:t>
      </w:r>
    </w:p>
    <w:p>
      <w:pPr>
        <w:keepNext/>
        <w:widowControl/>
        <w:spacing w:before="100" w:after="60" w:line="240" w:lineRule="auto"/>
      </w:pPr>
      <w:r>
        <w:rPr>
          <w:rFonts w:ascii="Liberation Sans" w:hAnsi="Liberation Sans"/>
          <w:b/>
          <w:color w:val="1F3A5F"/>
          <w:sz w:val="23"/>
        </w:rPr>
        <w:t>Highest-value technical improvements for this repository</w:t>
      </w:r>
    </w:p>
    <w:p>
      <w:pPr>
        <w:pStyle w:val="ListBullet"/>
        <w:widowControl/>
        <w:spacing w:after="40" w:line="250" w:lineRule="auto"/>
        <w:ind w:left="255" w:hanging="125"/>
      </w:pPr>
      <w:r>
        <w:rPr>
          <w:rFonts w:ascii="Liberation Sans" w:hAnsi="Liberation Sans"/>
          <w:color w:val="1C2733"/>
          <w:sz w:val="17"/>
        </w:rPr>
        <w:t>Replace random link prediction with a time-aligned pretext task, starting with time-to-next card-counterparty interaction or recency-aware contrastive learning.</w:t>
      </w:r>
    </w:p>
    <w:p>
      <w:pPr>
        <w:pStyle w:val="ListBullet"/>
        <w:widowControl/>
        <w:spacing w:after="40" w:line="250" w:lineRule="auto"/>
        <w:ind w:left="255" w:hanging="125"/>
      </w:pPr>
      <w:r>
        <w:rPr>
          <w:rFonts w:ascii="Liberation Sans" w:hAnsi="Liberation Sans"/>
          <w:color w:val="1C2733"/>
          <w:sz w:val="17"/>
        </w:rPr>
        <w:t>Add automatic graph diagnostics that warn when density, hub concentration or negative-sample collision makes the chosen objective uninformative.</w:t>
      </w:r>
    </w:p>
    <w:p>
      <w:pPr>
        <w:pStyle w:val="ListBullet"/>
        <w:widowControl/>
        <w:spacing w:after="40" w:line="250" w:lineRule="auto"/>
        <w:ind w:left="255" w:hanging="125"/>
      </w:pPr>
      <w:r>
        <w:rPr>
          <w:rFonts w:ascii="Liberation Sans" w:hAnsi="Liberation Sans"/>
          <w:color w:val="1C2733"/>
          <w:sz w:val="17"/>
        </w:rPr>
        <w:t>Make the relation allowlist, node features, time attributes and labels declarative so a customer schema can be mapped without rewriting the training code.</w:t>
      </w:r>
    </w:p>
    <w:p>
      <w:pPr>
        <w:pStyle w:val="ListBullet"/>
        <w:widowControl/>
        <w:spacing w:after="40" w:line="250" w:lineRule="auto"/>
        <w:ind w:left="255" w:hanging="125"/>
      </w:pPr>
      <w:r>
        <w:rPr>
          <w:rFonts w:ascii="Liberation Sans" w:hAnsi="Liberation Sans"/>
          <w:color w:val="1C2733"/>
          <w:sz w:val="17"/>
        </w:rPr>
        <w:t>Prefer compact relationship scores or a direct GNN scorer over hundreds of raw embedding columns unless a downstream model is designed to consume vectors.</w:t>
      </w:r>
    </w:p>
    <w:p>
      <w:pPr>
        <w:pStyle w:val="ListBullet"/>
        <w:widowControl/>
        <w:spacing w:after="40" w:line="250" w:lineRule="auto"/>
        <w:ind w:left="255" w:hanging="125"/>
      </w:pPr>
      <w:r>
        <w:rPr>
          <w:rFonts w:ascii="Liberation Sans" w:hAnsi="Liberation Sans"/>
          <w:color w:val="1C2733"/>
          <w:sz w:val="17"/>
        </w:rPr>
        <w:t>Build an online inference path for TGN and measure whether its streaming and cold-start benefits justify its lower offline accuracy at customer scale.</w:t>
      </w:r>
    </w:p>
    <w:p>
      <w:pPr>
        <w:keepNext/>
        <w:widowControl/>
        <w:spacing w:before="100" w:after="60" w:line="240" w:lineRule="auto"/>
      </w:pPr>
      <w:r>
        <w:rPr>
          <w:rFonts w:ascii="Liberation Sans" w:hAnsi="Liberation Sans"/>
          <w:b/>
          <w:color w:val="1F3A5F"/>
          <w:sz w:val="23"/>
        </w:rPr>
        <w:t>Decision for engineering leadership</w:t>
      </w:r>
    </w:p>
    <w:p>
      <w:pPr>
        <w:widowControl/>
        <w:spacing w:after="60" w:line="259" w:lineRule="auto"/>
      </w:pPr>
      <w:r>
        <w:rPr>
          <w:rFonts w:ascii="Liberation Sans" w:hAnsi="Liberation Sans"/>
          <w:color w:val="1C2733"/>
          <w:sz w:val="18"/>
        </w:rPr>
        <w:t>Treat the current run as a successful negative result. Ship the temporal and engineered graph feature pipeline as the performance baseline. Continue GNN work only through customer-specific graph diagnostics and an objective that matches the customer fraud mechanism. The commercial message should be: "we measure whether a GNN earns its place on your data," not "we add a GNN to every fraud graph."</w:t>
      </w:r>
    </w:p>
    <w:p>
      <w:pPr>
        <w:widowControl/>
        <w:spacing w:before="60" w:after="0"/>
      </w:pPr>
      <w:r>
        <w:rPr>
          <w:rFonts w:ascii="Liberation Sans" w:hAnsi="Liberation Sans"/>
          <w:i/>
          <w:color w:val="66717A"/>
          <w:sz w:val="14"/>
        </w:rPr>
        <w:t>Primary bundle sources: stage1_comparison.json; stage2_metrics.json; stage4_metrics_link.json; stage4_metrics_fraud.json; README.md; SUMMARY.md; ARCHITECTURE.md; PLAN_VS_BUILT.md; DECISIONS_LEAK_CONTROL.md.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652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6717A"/>
        <w:sz w:val="15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Liberation Sans" w:hAnsi="Liberation Sans"/>
        <w:b/>
        <w:color w:val="66717A"/>
        <w:sz w:val="15"/>
      </w:rPr>
      <w:t>TF-GNN | Engineering results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TF-GNN Fraud Detection - Engineering Results Report</dc:title>
  <dc:subject>Results, architecture reconciliation, and customer adoption path</dc:subject>
  <dc:creator>OpenAI</dc:creator>
  <cp:keywords>TigerGraph, GNN, fraud detection, XGBoost, R-GCN, TGN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