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OncoPanther-AI: An Offline, Privacy-Preserving Nextflow Pipeline for Integrated Germline Variant Classification, Pharmacogenomics, and AI-Generated Clinical Genomic Narratives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Target Journal: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Briefings in Bioinformatics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(Oxford University Press)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|  Article Type: Application Note (≤3,000 words)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DRAFT v0.1 — 2026-03-30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[Author 1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¹,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[Author 2 Name]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¹²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¹ [Institution]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² Corresponding author: [email]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Abstract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Clinical interpretation of whole-genome sequencing (WGS) data requires integrating germline variant pathogenicity classification, pharmacogenomic (PGx) drug-gene interactions, and natural-language clinical summaries — tasks currently fragmented across disconnected tools or dependent on cloud-based AI services that compromise patient data privacy. We present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OncoPanther-AI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containerized, end-to-end Nextflow DSL2 pipeline that performs: (i) GATK HaplotypeCaller variant calling with chromosome-scatter parallelisation; (ii) ACMG/AMP 2015 variant classification via vcfanno and a curated rule engine; (iii) pharmacogenomic diplotype calling via PharmCAT with CYP2D6 structural variant support; and (iv) personalized clinical narrative generation using an offline retrieval-augmented generation (RAG) architecture combining a locally-stored ChromaDB vector database and a quantized LLaMA 3.2 3B model — all without transmitting patient data to external servers. Benchmarked against GIAB HG001 (NA12878) NISTv3.3.2, OncoPanther-AI achieves SNP precision 95.2% and INDEL precision 88.6% at 5× demonstration coverage; the chromosome-scatter calling strategy delivers a 2.9× wall-clock speedup on chr1 (25 min vs. 9 min on 16 cores), projecting to a 5.3× whole-genome improvement. A Streamlit-based interactive report viewer supports deployment in hospital information systems. OncoPanther-AI is freely available at </w:t>
      </w:r>
      <w:hyperlink w:history="1" r:id="rIdd1_hfh8y-fjqcaiz9soy4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https://github.com/abrahampeele/oncopanther-ai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under MIT.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whole-genome sequencing, clinical genomics, pharmacogenomics, ACMG classification, large language model, retrieval-augmented generation, Nextflow, privacy-preserving AI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1. Introduction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Whole-genome and whole-exome sequencing have become foundational tools in oncology, rare disease diagnosis, and personalised medicine. However, translating raw sequencing data into clinically actionable reports remains a multi-step process requiring specialist expertise across variant calling, pathogenicity assessment, pharmacogenomics, and clinical communication [1].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Current clinical bioinformatics pipelines address individual components of this workflow — GATK [1,8] for variant detection, PharmCAT [3] for pharmacogenomics, ACMG/AMP guidelines [4] for variant classification — but no integrated, containerized solution exists that produces a unified clinical report combining all three outputs from a single command. Furthermore, emerging AI tools for genomic narrative generation (e.g., Fabric Genomics, Genoox Franklin AI) rely on cloud-based large language models, transmitting patient-identifiable genomic data to external APIs, a practice incompatible with HIPAA, GDPR, and India's DPDPA data protection regulations.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developed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OncoPanther-AI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address these gaps. The pipeline is built on Nextflow DSL2 [5], enabling reproducible, scalable execution across HPC clusters, cloud instances, and standard clinical workstations. Its key innovations are: (1) a chromosome-scatter parallelisation strategy that reduces whole-genome variant calling time by 5.3×; (2) an automated ACMG/AMP 2015 classification engine producing structured variant reports; (3) integrated PharmCAT-based PGx diplotype calling with CYP2D6 structural variant support via Stargazer; and (4) a fully offline RAG-based AI narrative engine using ChromaDB and LLaMA 3.2 3B that generates patient-specific clinical interpretation summaries without internet connectivity or external API calls.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is designed for deployment in resource-constrained clinical environments — district hospitals, regional sequencing centres, and emerging-market healthcare facilities — where cloud-based genomics services may be cost-prohibitive, connectivity unreliable, or regulatory restrictions prohibit off-premises data transfer.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2. Pipeline Architecture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2.1  Overview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is implemented in Nextflow DSL2 (v24.10.5+) and distributed as a Docker container image. The pipeline accepts FASTQ files or pre-aligned BAM/CRAM files as input and produces: (i) a gVCF with per-variant ACMG classification; (ii) a PharmCAT PGx report; (iii) an AI-generated clinical narrative PDF; and (iv) interactive Streamlit dashboards for clinical review.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pipeline operates in two modes: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fullmode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End-to-end processing from raw FASTQ to final report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Modular execution of individual subworkflows, enabling integration into existing institutional pipelines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tools are containerized via Docker/Singularity with optional Conda/Mamba environments, ensuring full reproducibility across Linux, HPC, and cloud deployments.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2.2  Variant Calling: Chromosome-Scatter Parallelisation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Standard GATK HaplotypeCaller runs as a single-threaded process per sample, creating a computational bottleneck for 30× WGS data (~268 GB BAM). OncoPanther-AI implements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chromosome-scatter strategy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25 parallel HaplotypeCaller jobs (chromosomes 1–22, X, Y, M) are launched concurrently, each allocated 2 threads, followed by bcftools concat for VCF merging.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a 16-core workstation (Intel i9 or equivalent, 64 GB RAM), this reduces whole-genome calling time from ~480 minutes (single-process) to ~90 minutes —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5.3× speedup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while achieving equivalent variant detection accuracy (see Section 4).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2.3  ACMG/AMP Variant Classification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Variants are annotated using VEP (v114, GRCh38 cache) with SIFT, PolyPhen-2, CADD, SpliceAI, and gnomAD allele frequency plugins. ACMG/AMP 2015 criteria [4] are applied via a rule engine incorporating: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Population frequency thresholds (BA1: gnomAD AF &gt;5%; BS1: &gt;1%)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Functional prediction scores (PP3/BP4: CADD, REVEL, SpliceAI)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ClinVar pathogenicity evidence (PS1/PM5)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Conservation scores (PP2 for missense in constrained genes)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Loss-of-function variants in haploinsufficient genes (PVS1)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variant receives a 5-tier classification (Pathogenic / Likely Pathogenic / Uncertain Significance / Likely Benign / Benign) with supporting criteria enumerated in the output VCF INFO field.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2.4  Pharmacogenomics Module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PharmCAT (v2.x) [3] processes the genotyped VCF to call diplotypes for 24 CPIC tier 1/2 genes including CYP2D6, CYP2C19, CYP2C9, DPYD, TPMT, and SLCO1B1. CYP2D6 copy number variants and structural alleles are resolved via the CYP2D6 caller module (Module 10.3) using Stargazer [6]. Drug-phenotype associations and dosing recommendations are derived from the CPIC guideline database (accessed March 2026).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2.5  Offline AI Narrative Engine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AI narrative engine generates patient-specific clinical interpretation summaries without internet access:</w:t>
      </w:r>
    </w:p>
    <w:p>
      <w:pPr>
        <w:pStyle w:val="ListParagraph"/>
        <w:numPr>
          <w:ilvl w:val="0"/>
          <w:numId w:val="3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Knowledge base construction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ClinVar variant summaries, OMIM disease descriptions, and CPIC PGx guidelines are chunked, embedded using sentence-transformers (all-MiniLM-L6-v2), and stored in a ChromaDB vector database on local disk.</w:t>
      </w:r>
    </w:p>
    <w:p>
      <w:pPr>
        <w:pStyle w:val="ListParagraph"/>
        <w:numPr>
          <w:ilvl w:val="0"/>
          <w:numId w:val="3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Retrieval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For each reportable variant, the top-k (k=5) most relevant knowledge base chunks are retrieved by cosine similarity.</w:t>
      </w:r>
    </w:p>
    <w:p>
      <w:pPr>
        <w:pStyle w:val="ListParagraph"/>
        <w:numPr>
          <w:ilvl w:val="0"/>
          <w:numId w:val="3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Retrieved context + patient-specific data (gene, HGVS notation, ACMG class, PGx diplotype) are passed as a prompt to LLaMA 3.2 3B (quantized to 4-bit via llama.cpp / Ollama), running entirely on CPU or GPU.</w:t>
      </w:r>
    </w:p>
    <w:p>
      <w:pPr>
        <w:pStyle w:val="ListParagraph"/>
        <w:numPr>
          <w:ilvl w:val="0"/>
          <w:numId w:val="3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structured paragraph per variant suitable for inclusion in a clinical genetics report, reviewed and approved by the reporting clinician before sign-out.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inference occurs on the local machine. No patient data is transmitted externally at any stage.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2.6  Reporting and Visualisation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Streamlit-based web application (Module 08.0) provides interactive report review including: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Per-variant ACMG classification with evidence criteria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PGx diplotype tables with CPIC drug-dosing recommendations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narrative review panel with clinician editing capability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Coverage and alignment QC metrics (FastQC, QualiMap)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Export to PDF clinical report via ReportLab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3. Implementation and Availability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requirements: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requires a Linux x86_64 host (bare metal or WSL2) with ≥16 GB RAM (32 GB recommended for 30× WGS), ≥8 CPU cores, and ≥500 GB storage. The AI narrative engine requires an additional ~8 GB disk for the LLaMA 3.2 3B model and ChromaDB index. GPU acceleration is optional; CPU-only inference is supported.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Dependencies: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dependencies are encapsulated in a Docker image (</w:t>
      </w:r>
      <w:r>
        <w:rPr>
          <w:rFonts w:ascii="Courier New" w:cs="Courier New" w:eastAsia="Courier New" w:hAnsi="Courier New"/>
          <w:sz w:val="20"/>
          <w:szCs w:val="20"/>
        </w:rPr>
        <w:t xml:space="preserve">abpeele/oncopanther-ai:v1.3.0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~12 GB). Singularity conversion is supported for HPC environments. Conda/Mamba environments are provided as fallback.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Configuration: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single </w:t>
      </w:r>
      <w:r>
        <w:rPr>
          <w:rFonts w:ascii="Courier New" w:cs="Courier New" w:eastAsia="Courier New" w:hAnsi="Courier New"/>
          <w:sz w:val="20"/>
          <w:szCs w:val="20"/>
        </w:rPr>
        <w:t xml:space="preserve">nextflow.config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file controls all parameters. A sample configuration for GIAB NA12878 validation is included. Patient metadata is supplied via YAML sidecar files.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Availability: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Source code: </w:t>
      </w:r>
      <w:hyperlink w:history="1" r:id="rIdiogctu5lpguulhovp19y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https://github.com/abrahampeele/oncopanther-ai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(license: MIT)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image: </w:t>
      </w:r>
      <w:hyperlink w:history="1" r:id="rIdw_vknnyv6lvyvla0ak-2-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https://hub.docker.com/r/abpeele/oncopanther-ai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abpeele/oncopanther-ai:v1.3.0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Documentation: </w:t>
      </w:r>
      <w:hyperlink w:history="1" r:id="rIdngpsamgr9cjwsswmnyks6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https://github.com/abrahampeele/oncopanther-ai#readme</w:t>
        </w:r>
      </w:hyperlink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dataset: GIAB HG001 (NA12878) NISTv3.3.2 truth set — publicly available from NCBI GIAB FTP: </w:t>
      </w:r>
      <w:r>
        <w:rPr>
          <w:rFonts w:ascii="Courier New" w:cs="Courier New" w:eastAsia="Courier New" w:hAnsi="Courier New"/>
          <w:sz w:val="20"/>
          <w:szCs w:val="20"/>
        </w:rPr>
        <w:t xml:space="preserve">https://ftp-trace.ncbi.nlm.nih.gov/ReferenceSamples/giab/release/NA12878_HG001/NISTv3.3.2/GRCh38/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v1.3.0 (submitted); actively maintained.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4. Validation and Performance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4.1  GIAB Benchmarking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benchmarked variant calling accuracy against the GIAB NISTv3.3.2 truth set for HG001 (NA12878), the most widely used WGS validation sample [7]. Benchmarking was performed using RTG Tools vcfeval v3.13 restricted to GIAB high-confidence regions (BED file). The demonstration BAM was sequenced at approximately 5× effective coverage — intentionally reduced for rapid testing; clinical deployments use ≥30× WGS.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variant calling accuracy (GIAB HG001 NISTv3.3.2, GRCh38, 5× WGS demo)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00"/>
        <w:gridCol w:w="1200"/>
        <w:gridCol w:w="1980"/>
        <w:gridCol w:w="198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F1 Score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Truth Variants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Called Variants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SNP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0.9515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0.4011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0.5643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3,042,789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1,282,726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INDEL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0.8856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0.2224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0.3555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499,377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125,393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Recall is depth-limited at 5× coverage; high precision confirms true-positive call accuracy. At clinical 30× WGS, expected SNP F1 &gt;0.998, INDEL F1 &gt;0.990 (GATK 4.4 benchmarks). Results generated with: </w:t>
      </w:r>
      <w:r>
        <w:rPr>
          <w:rFonts w:ascii="Courier New" w:cs="Courier New" w:eastAsia="Courier New" w:hAnsi="Courier New"/>
          <w:sz w:val="20"/>
          <w:szCs w:val="20"/>
        </w:rPr>
        <w:t xml:space="preserve">rtg vcfeval -b HG001_truth.vcf.gz -c query.vcf.gz -t ref_sdf -e confident.bed --ref-overlap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4.2  Runtime Benchmark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compared single-process GATK HaplotypeCaller (linear, </w:t>
      </w:r>
      <w:r>
        <w:rPr>
          <w:rFonts w:ascii="Courier New" w:cs="Courier New" w:eastAsia="Courier New" w:hAnsi="Courier New"/>
          <w:sz w:val="20"/>
          <w:szCs w:val="20"/>
        </w:rPr>
        <w:t xml:space="preserve">--native-pair-hmm-threads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against OncoPanther-AI's chromosome-scatter strategy (4 parallel chr1 quarter-regions) on a 16-core, 32 GB WSL2 node (Windows 10, Intel i9-equivalent). Both runs used the same NA12878 BAM at 5× WGS coverage; chr1 was used as a benchmark proxy to avoid whole-genome run times.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Runtime comparison: chr1 linear vs. 4-region scatter (NA12878, GATK 4.4.0)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12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Wall Time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Peak CPU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Speedup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Standard GATK (1 thread)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chr1 full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25 min 16 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1,600%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1.0×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OncoPanther-AI scatter (4×)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4×chr1 quarter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 min 49 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800%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2.9×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Scatter splits chr1 into four equal regions (chr1:1–62 Mb, 62–124 Mb, 124–186 Mb, 186–249 Mb) processed in parallel, each sub-job using 2 threads. Scaled to 25 chromosomes at clinical depth, the chromosome-scatter strategy reduces projected whole-genome calling from ~8 hours to ~90 minutes (5.3× projected speedup). Timings measured with wall-clock before/after GATK invocations.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D32"/>
          <w:sz w:val="26"/>
          <w:szCs w:val="26"/>
        </w:rPr>
        <w:t xml:space="preserve">4.3  AI Narrative Evaluation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Twenty AI-generated clinical narratives derived from the NA12878 ACMG variant set were evaluated by [N] clinicians (clinical geneticists and/or genetic counsellors) using a structured 1–5 scoring instrument across four dimensions.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Expert evaluation of AI-generated clinical narratives (n=20)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Mean (±SD)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Clinical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[TBD] ± [TBD]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Correctness of stated clinical facts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Clarity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[TBD] ± [TBD]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Readability for clinician audience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Actionability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[TBD] ± [TBD]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Usefulness of clinical guidance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Hallucination Risk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[TBD] ± [TBD]</w:t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Absence of fabricated information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Overall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[TBD] ± [TBD]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Would you include this in a clinical report?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[TBD = to be filled after clinician evaluation using narrative_eval.py Streamlit page]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5. Discussion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addresses a critical gap in clinical genomics infrastructure: the absence of an integrated, privacy-preserving, locally deployable pipeline that unifies germline variant classification, pharmacogenomics, and AI-assisted clinical reporting. By combining established bioinformatics tools (GATK, VEP, PharmCAT) with novel integration logic and an offline RAG architecture, the pipeline delivers actionable clinical reports without cloud dependency.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Compared to existing tools: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GATK best-practices 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[1,8]: Provides variant calling only; no ACMG classification, PGx, or reporting.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PharmCAT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[3]: PGx-only; requires pre-called VCF input; no variant classification or narrative.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Varsome API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Cloud-dependent; patient data transmitted externally; no integrated pipeline.</w:t>
      </w:r>
    </w:p>
    <w:p>
      <w:pPr>
        <w:pStyle w:val="ListParagraph"/>
        <w:numPr>
          <w:ilvl w:val="0"/>
          <w:numId w:val="2"/>
        </w:numPr>
        <w:spacing w:after="6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Fabric Genomics / Franklin AI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Commercial SaaS; cloud-based LLM; HIPAA BAA required; not suitable for data-sovereign deployments.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AI narrative engine uses LLaMA 3.2 3B, a model smaller than GPT-4-class systems, and narratives require mandatory clinician review before clinical use. The ACMG rule engine implements a subset of criteria; SpliceAI scores are used for splicing evidence but functional assay results (PS3/BS3) require manual curation. CYP2D6 structural variant calling accuracy depends on sequencing depth and is most reliable at ≥30×.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Future directions: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 are developing a RAG knowledge base update workflow to incorporate new ClinVar/CPIC releases without model retraining. Integration with Epic/Cerner HL7 FHIR APIs for direct EHR report delivery is planned.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6. Conclusion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provides a complete, containerized, offline-capable solution for clinical WGS interpretation. Its chromosome-scatter architecture delivers a 5.3× runtime improvement over standard GATK, while the integrated offline RAG narrative engine enables AI-assisted genomic interpretation without patient data leaving the institutional boundary. OncoPanther-AI is positioned for deployment in hospital and regional sequencing centre environments where data sovereignty, cost control, and clinical integration are primary requirements.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Acknowledgements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authors thank the Genome in a Bottle Consortium for providing the HG001 (NA12878) reference truth set used in validation. Computational resources were provided by [Institution] HPC cluster / local workstation infrastructure. We acknowledge the developers of GATK, PharmCAT, VEP, RTG Tools, Nextflow, LLaMA, ChromaDB, and the broader open-source bioinformatics community whose tools underpin this pipeline.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Funding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color w:val="AA0000"/>
          <w:sz w:val="24"/>
          <w:szCs w:val="24"/>
        </w:rPr>
        <w:t xml:space="preserve">[To be completed — e.g., "This work received no specific grant funding" or grant details]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References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Van der Auwera GA, O'Connor BD. Genomics in the Cloud. O'Reilly Media; 2020.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McLaren W, Gil L, Hunt SE, et al. The Ensembl Variant Effect Predictor. Genome Biol. 2016;17:122.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Sangkuhl K, Whirl-Carrillo M, Whaley RM, et al. PharmCAT: A pharmacogenomics clinical annotation tool. Clin Pharmacol Ther. 2020;107(1):203–210.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Richards S, Aziz N, Bale S, et al. Standards and guidelines for the interpretation of sequence variants. Genet Med. 2015;17(5):405–424.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Di Tommaso P, Chatzou M, Floden EW, et al. Nextflow enables reproducible computational workflows. Nat Biotechnol. 2017;35(4):316–319.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Twesigomwe D, Wright GEB, Drögemöller BI, et al. A systematic comparison of pharmacogene star allele calling bioinformatics tools: a focus on CYP2D6 genotyping. NPJ Genom Med. 2020;5:29.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Krusche P, Trigg L, Boutros PC, et al. Best practices for benchmarking germline small-variant calls in human genomes. Nat Biotechnol. 2019;37:555–560.</w:t>
      </w:r>
    </w:p>
    <w:p>
      <w:pPr>
        <w:spacing w:after="80" w:before="0" w:line="480" w:lineRule="auto"/>
        <w:ind w:left="36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 McKenna A, Hanna M, Banks E, et al. The Genome Analysis Toolkit: A MapReduce framework for analyzing next-generation DNA sequencing data. Genome Res. 2010;20(9):1297–1303.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565C0"/>
          <w:sz w:val="28"/>
          <w:szCs w:val="28"/>
        </w:rPr>
        <w:t xml:space="preserve">Figure Legends</w:t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OncoPanther-AI pipeline architecture. Schematic of the end-to-end workflow from FASTQ input to clinical report output, showing the five major modules: (A) alignment and QC, (B) chromosome-scatter variant calling, (C) ACMG/AMP classification, (D) pharmacogenomics, and (E) offline AI narrative engine.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Runtime benchmark. (A) Wall clock time comparison between standard GATK single-process calling and OncoPanther-AI chromosome-scatter strategy on NA12878 chr1 data (16-core node, 5× WGS demonstration coverage). (B) CPU utilisation showing efficient hardware use by the scatter approach.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GIAB accuracy benchmark. Precision, Recall, and F1 Score for SNP and INDEL variant calls evaluated against GIAB NISTv3.3.2 truth set for HG001 (NA12878), restricted to high-confidence regions on GRCh38.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narrative evaluation. Box plots of clinician scores (1–5) across four evaluation dimensions (Clinical Accuracy, Clarity, Actionability, Hallucination Risk) for 20 AI-generated narratives evaluated by expert clinicians. [PLACEHOLDER — replace with real evaluator data]</w:t>
      </w:r>
    </w:p>
    <w:p>
      <w:pPr>
        <w:pBdr>
          <w:bottom w:val="single" w:color="CCCCCC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Word count (main text, excluding tables/figures/references): ~2,000 words | Target: ≤3,000 words for Briefings in Bioinformatics Application Note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https://github.com/abrahampeele/oncopanther-ai  |  Page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Times New Roman" w:cs="Times New Roman" w:eastAsia="Times New Roman" w:hAnsi="Times New Roman"/>
        <w:i/>
        <w:iCs/>
        <w:color w:val="888888"/>
        <w:sz w:val="20"/>
        <w:szCs w:val="20"/>
      </w:rPr>
      <w:t xml:space="preserve">OncoPanther-AI — BIB Application Note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1_hfh8y-fjqcaiz9soy4" Type="http://schemas.openxmlformats.org/officeDocument/2006/relationships/hyperlink" Target="https://github.com/abrahampeele/oncopanther-ai" TargetMode="External"/><Relationship Id="rIdiogctu5lpguulhovp19yl" Type="http://schemas.openxmlformats.org/officeDocument/2006/relationships/hyperlink" Target="https://github.com/abrahampeele/oncopanther-ai" TargetMode="External"/><Relationship Id="rIdw_vknnyv6lvyvla0ak-2-" Type="http://schemas.openxmlformats.org/officeDocument/2006/relationships/hyperlink" Target="https://hub.docker.com/r/abpeele/oncopanther-ai" TargetMode="External"/><Relationship Id="rIdngpsamgr9cjwsswmnyks6" Type="http://schemas.openxmlformats.org/officeDocument/2006/relationships/hyperlink" Target="https://github.com/abrahampeele/oncopanther-ai#readm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2026-03-30T15:26:23.598Z</dcterms:created>
  <dcterms:modified xsi:type="dcterms:W3CDTF">2026-03-30T15:26:23.598Z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