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rFonts w:ascii="Calibri" w:cs="Calibri" w:eastAsia="Calibri" w:hAnsi="Calibri"/>
          <w:b/>
          <w:bCs/>
          <w:sz w:val="40"/>
          <w:szCs w:val="40"/>
        </w:rPr>
        <w:t xml:space="preserve">DUOC UC</w:t>
      </w:r>
    </w:p>
    <w:p>
      <w:pPr>
        <w:spacing w:after="200"/>
      </w:pPr>
      <w:r>
        <w:t xml:space="preserve"/>
      </w:r>
    </w:p>
    <w:p>
      <w:pPr>
        <w:spacing w:after="100"/>
        <w:jc w:val="center"/>
      </w:pPr>
      <w:r>
        <w:rPr>
          <w:rFonts w:ascii="Calibri" w:cs="Calibri" w:eastAsia="Calibri" w:hAnsi="Calibri"/>
          <w:b/>
          <w:bCs/>
          <w:sz w:val="40"/>
          <w:szCs w:val="40"/>
        </w:rPr>
        <w:t xml:space="preserve">INFORME INDIVIDUAL</w:t>
      </w:r>
    </w:p>
    <w:p>
      <w:pPr>
        <w:spacing w:after="100"/>
        <w:jc w:val="center"/>
      </w:pPr>
      <w:r>
        <w:rPr>
          <w:rFonts w:ascii="Calibri" w:cs="Calibri" w:eastAsia="Calibri" w:hAnsi="Calibri"/>
          <w:sz w:val="24"/>
          <w:szCs w:val="24"/>
        </w:rPr>
        <w:t xml:space="preserve">Evaluación Final Transversal – Encargo con Defensa Técnica</w:t>
      </w:r>
    </w:p>
    <w:p>
      <w:pPr>
        <w:spacing w:after="300"/>
      </w:pPr>
      <w:r>
        <w:t xml:space="preserve"/>
      </w:r>
    </w:p>
    <w:p>
      <w:pPr>
        <w:spacing w:after="60"/>
        <w:jc w:val="center"/>
      </w:pPr>
      <w:r>
        <w:rPr>
          <w:rFonts w:ascii="Calibri" w:cs="Calibri" w:eastAsia="Calibri" w:hAnsi="Calibri"/>
          <w:b/>
          <w:bCs/>
          <w:sz w:val="24"/>
          <w:szCs w:val="24"/>
        </w:rPr>
        <w:t xml:space="preserve">Proyecto</w:t>
      </w:r>
    </w:p>
    <w:p>
      <w:pPr>
        <w:spacing w:after="100"/>
        <w:jc w:val="center"/>
      </w:pPr>
      <w:r>
        <w:rPr>
          <w:rFonts w:ascii="Calibri" w:cs="Calibri" w:eastAsia="Calibri" w:hAnsi="Calibri"/>
          <w:sz w:val="24"/>
          <w:szCs w:val="24"/>
        </w:rPr>
        <w:t xml:space="preserve">Sistema de Reserva de Canchas Deportivas</w:t>
      </w:r>
    </w:p>
    <w:p>
      <w:pPr>
        <w:spacing w:after="400"/>
      </w:pPr>
      <w:r>
        <w:t xml:space="preserve"/>
      </w:r>
    </w:p>
    <w:p>
      <w:pPr>
        <w:spacing w:after="60"/>
        <w:jc w:val="center"/>
      </w:pPr>
      <w:r>
        <w:rPr>
          <w:rFonts w:ascii="Calibri" w:cs="Calibri" w:eastAsia="Calibri" w:hAnsi="Calibri"/>
          <w:sz w:val="22"/>
          <w:szCs w:val="22"/>
        </w:rPr>
        <w:t xml:space="preserve">Alumno: Benjamin Cea</w:t>
      </w:r>
    </w:p>
    <w:p>
      <w:pPr>
        <w:spacing w:after="60"/>
        <w:jc w:val="center"/>
      </w:pPr>
      <w:r>
        <w:rPr>
          <w:rFonts w:ascii="Calibri" w:cs="Calibri" w:eastAsia="Calibri" w:hAnsi="Calibri"/>
          <w:sz w:val="22"/>
          <w:szCs w:val="22"/>
        </w:rPr>
        <w:t xml:space="preserve">Asignatura: Desarrollo Full Stack I – DSY1103</w:t>
      </w:r>
    </w:p>
    <w:p>
      <w:pPr>
        <w:spacing w:after="60"/>
        <w:jc w:val="center"/>
      </w:pPr>
      <w:r>
        <w:rPr>
          <w:rFonts w:ascii="Calibri" w:cs="Calibri" w:eastAsia="Calibri" w:hAnsi="Calibri"/>
          <w:sz w:val="22"/>
          <w:szCs w:val="22"/>
        </w:rPr>
        <w:t xml:space="preserve">Equipo: Pablo Acuña, Benjamin Cea, Abraham Puente (Grupo 8)</w:t>
      </w:r>
    </w:p>
    <w:p>
      <w:pPr>
        <w:spacing w:after="60"/>
        <w:jc w:val="center"/>
      </w:pPr>
      <w:r>
        <w:rPr>
          <w:rFonts w:ascii="Calibri" w:cs="Calibri" w:eastAsia="Calibri" w:hAnsi="Calibri"/>
          <w:sz w:val="22"/>
          <w:szCs w:val="22"/>
        </w:rPr>
        <w:t xml:space="preserve">Fecha: Julio 2026</w:t>
      </w:r>
    </w:p>
    <w:p>
      <w:pPr>
        <w:spacing w:after="60"/>
        <w:jc w:val="center"/>
      </w:pPr>
      <w:r>
        <w:rPr>
          <w:rFonts w:ascii="Calibri" w:cs="Calibri" w:eastAsia="Calibri" w:hAnsi="Calibri"/>
          <w:sz w:val="22"/>
          <w:szCs w:val="22"/>
        </w:rPr>
        <w:t xml:space="preserve">Santiago, Chile</w:t>
      </w:r>
    </w:p>
    <w:p>
      <w:r>
        <w:br w:type="page"/>
      </w:r>
    </w:p>
    <w:p>
      <w:pPr>
        <w:pStyle w:val="Heading1"/>
        <w:spacing w:after="150" w:before="300"/>
      </w:pPr>
      <w:r>
        <w:rPr>
          <w:rFonts w:ascii="Calibri" w:cs="Calibri" w:eastAsia="Calibri" w:hAnsi="Calibri"/>
          <w:b/>
          <w:bCs/>
          <w:color w:val="1F3864"/>
          <w:sz w:val="28"/>
          <w:szCs w:val="28"/>
        </w:rPr>
        <w:t xml:space="preserve">1. Introducción</w:t>
      </w:r>
    </w:p>
    <w:p>
      <w:pPr>
        <w:spacing w:after="160" w:line="276"/>
        <w:jc w:val="both"/>
      </w:pPr>
      <w:r>
        <w:rPr>
          <w:rFonts w:ascii="Calibri" w:cs="Calibri" w:eastAsia="Calibri" w:hAnsi="Calibri"/>
          <w:sz w:val="22"/>
          <w:szCs w:val="22"/>
        </w:rPr>
        <w:t xml:space="preserve">El proyecto desarrollado por el equipo consistió en construir el backend de un sistema de reserva de canchas deportivas mediante una arquitectura de microservicios con Spring Boot y Spring Cloud, en la que cada funcionalidad del negocio quedó separada en un servicio independiente con su propia base de datos, comunicándose entre sí a través de Eureka y un API Gateway centralizado.</w:t>
      </w:r>
    </w:p>
    <w:p>
      <w:pPr>
        <w:spacing w:after="160" w:line="276"/>
        <w:jc w:val="both"/>
      </w:pPr>
      <w:r>
        <w:rPr>
          <w:rFonts w:ascii="Calibri" w:cs="Calibri" w:eastAsia="Calibri" w:hAnsi="Calibri"/>
          <w:sz w:val="22"/>
          <w:szCs w:val="22"/>
        </w:rPr>
        <w:t xml:space="preserve">Dentro del equipo, mi responsabilidad principal fue el desarrollo de tres microservicios de negocio: Recinto Service, Precio Service y Pago Service. Estos tres servicios cubren un tramo específico del flujo de negocio: el registro de los recintos deportivos que ofrecen las canchas, la definición del precio asociado a cada cancha y el registro del pago de una reserva ya creada.</w:t>
      </w:r>
    </w:p>
    <w:p>
      <w:pPr>
        <w:spacing w:after="160" w:line="276"/>
        <w:jc w:val="both"/>
      </w:pPr>
      <w:r>
        <w:rPr>
          <w:rFonts w:ascii="Calibri" w:cs="Calibri" w:eastAsia="Calibri" w:hAnsi="Calibri"/>
          <w:sz w:val="22"/>
          <w:szCs w:val="22"/>
        </w:rPr>
        <w:t xml:space="preserve">En este informe explico el funcionamiento de cada uno de estos tres microservicios, las reglas de negocio y validaciones que implementé, cómo se comunican con el resto del sistema, y el estado actual de las pruebas y la documentación, de manera de tener claridad completa para la defensa técnica individual.</w:t>
      </w:r>
    </w:p>
    <w:p>
      <w:pPr>
        <w:pStyle w:val="Heading1"/>
        <w:spacing w:after="150" w:before="300"/>
      </w:pPr>
      <w:r>
        <w:rPr>
          <w:rFonts w:ascii="Calibri" w:cs="Calibri" w:eastAsia="Calibri" w:hAnsi="Calibri"/>
          <w:b/>
          <w:bCs/>
          <w:color w:val="1F3864"/>
          <w:sz w:val="28"/>
          <w:szCs w:val="28"/>
        </w:rPr>
        <w:t xml:space="preserve">2. Descripción del proyecto</w:t>
      </w:r>
    </w:p>
    <w:p>
      <w:pPr>
        <w:spacing w:after="160" w:line="276"/>
        <w:jc w:val="both"/>
      </w:pPr>
      <w:r>
        <w:rPr>
          <w:rFonts w:ascii="Calibri" w:cs="Calibri" w:eastAsia="Calibri" w:hAnsi="Calibri"/>
          <w:sz w:val="22"/>
          <w:szCs w:val="22"/>
        </w:rPr>
        <w:t xml:space="preserve">El sistema completo está compuesto por 12 servicios: 10 microservicios de negocio (usuarios, recintos, canchas, horarios, reservas, precios, pagos, notificaciones, reseñas y mantenimientos), un Discovery Service basado en Netflix Eureka y un API Gateway construido con Spring Cloud Gateway como punto único de entrada.</w:t>
      </w:r>
    </w:p>
    <w:p>
      <w:pPr>
        <w:spacing w:after="160" w:line="276"/>
        <w:jc w:val="both"/>
      </w:pPr>
      <w:r>
        <w:rPr>
          <w:rFonts w:ascii="Calibri" w:cs="Calibri" w:eastAsia="Calibri" w:hAnsi="Calibri"/>
          <w:sz w:val="22"/>
          <w:szCs w:val="22"/>
        </w:rPr>
        <w:t xml:space="preserve">El flujo de negocio completo parte con la creación de un usuario y un recinto, sigue con la creación de canchas y horarios asociados a ese recinto, continúa con la reserva de un horario por parte de un cliente, y se cierra con la asociación de un precio a la cancha y el registro del pago correspondiente a la reserva. Los tres microservicios que desarrollé (Recinto, Precio y Pago) participan en distintos puntos de ese flujo: el recinto es la base sobre la que se construyen las canchas, el precio determina cuánto cuesta reservar una cancha y el pago cierra el proceso de reserva.</w:t>
      </w:r>
    </w:p>
    <w:p>
      <w:pPr>
        <w:pStyle w:val="Heading1"/>
        <w:spacing w:after="150" w:before="300"/>
      </w:pPr>
      <w:r>
        <w:rPr>
          <w:rFonts w:ascii="Calibri" w:cs="Calibri" w:eastAsia="Calibri" w:hAnsi="Calibri"/>
          <w:b/>
          <w:bCs/>
          <w:color w:val="1F3864"/>
          <w:sz w:val="28"/>
          <w:szCs w:val="28"/>
        </w:rPr>
        <w:t xml:space="preserve">3. Desarrollo realizado</w:t>
      </w:r>
    </w:p>
    <w:p>
      <w:pPr>
        <w:pStyle w:val="Heading2"/>
        <w:spacing w:after="120" w:before="220"/>
      </w:pPr>
      <w:r>
        <w:rPr>
          <w:rFonts w:ascii="Calibri" w:cs="Calibri" w:eastAsia="Calibri" w:hAnsi="Calibri"/>
          <w:b/>
          <w:bCs/>
          <w:color w:val="2E5395"/>
          <w:sz w:val="24"/>
          <w:szCs w:val="24"/>
        </w:rPr>
        <w:t xml:space="preserve">3.1 Recinto Service</w:t>
      </w:r>
    </w:p>
    <w:p>
      <w:pPr>
        <w:spacing w:after="160" w:line="276"/>
        <w:jc w:val="both"/>
      </w:pPr>
      <w:r>
        <w:rPr>
          <w:rFonts w:ascii="Calibri" w:cs="Calibri" w:eastAsia="Calibri" w:hAnsi="Calibri"/>
          <w:sz w:val="22"/>
          <w:szCs w:val="22"/>
        </w:rPr>
        <w:t xml:space="preserve">Recinto Service administra los recintos deportivos: nombre, dirección, ciudad, comuna, teléfono, el usuario dueño (managerUserId) y un listado de imágenes asociadas. El servicio corre en el puerto 8082 y sigue el patrón Controller–Service–Repository, con DTOs separados de la entidad JPA (RecintoRequest / RecintoResponse) y persistencia mediante Spring Data JPA sobre RecintoRepository.</w:t>
      </w:r>
    </w:p>
    <w:p>
      <w:pPr>
        <w:spacing w:after="160" w:line="276"/>
        <w:jc w:val="both"/>
      </w:pPr>
      <w:r>
        <w:rPr>
          <w:rFonts w:ascii="Calibri" w:cs="Calibri" w:eastAsia="Calibri" w:hAnsi="Calibri"/>
          <w:sz w:val="22"/>
          <w:szCs w:val="22"/>
        </w:rPr>
        <w:t xml:space="preserve">Endpoints expuestos bajo /api/recintos: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rPr>
          <w:tblHeader/>
        </w:trPr>
        <w:tc>
          <w:tcPr>
            <w:tcW w:type="dxa" w:w="1600"/>
            <w:shd w:fill="1F3864" w:color="auto" w:val="clear"/>
          </w:tcPr>
          <w:p>
            <w:r>
              <w:rPr>
                <w:rFonts w:ascii="Calibri" w:cs="Calibri" w:eastAsia="Calibri" w:hAnsi="Calibri"/>
                <w:b/>
                <w:bCs/>
                <w:color w:val="FFFFFF"/>
                <w:sz w:val="20"/>
                <w:szCs w:val="20"/>
              </w:rPr>
              <w:t xml:space="preserve">Método</w:t>
            </w:r>
          </w:p>
        </w:tc>
        <w:tc>
          <w:tcPr>
            <w:tcW w:type="dxa" w:w="3400"/>
            <w:shd w:fill="1F3864" w:color="auto" w:val="clear"/>
          </w:tcPr>
          <w:p>
            <w:r>
              <w:rPr>
                <w:rFonts w:ascii="Calibri" w:cs="Calibri" w:eastAsia="Calibri" w:hAnsi="Calibri"/>
                <w:b/>
                <w:bCs/>
                <w:color w:val="FFFFFF"/>
                <w:sz w:val="20"/>
                <w:szCs w:val="20"/>
              </w:rPr>
              <w:t xml:space="preserve">Ruta</w:t>
            </w:r>
          </w:p>
        </w:tc>
        <w:tc>
          <w:tcPr>
            <w:tcW w:type="dxa" w:w="4000"/>
            <w:shd w:fill="1F3864" w:color="auto" w:val="clear"/>
          </w:tcPr>
          <w:p>
            <w:r>
              <w:rPr>
                <w:rFonts w:ascii="Calibri" w:cs="Calibri" w:eastAsia="Calibri" w:hAnsi="Calibri"/>
                <w:b/>
                <w:bCs/>
                <w:color w:val="FFFFFF"/>
                <w:sz w:val="20"/>
                <w:szCs w:val="20"/>
              </w:rPr>
              <w:t xml:space="preserve">Función</w:t>
            </w:r>
          </w:p>
        </w:tc>
      </w:tr>
      <w:tr>
        <w:tc>
          <w:tcPr>
            <w:tcW w:type="dxa" w:w="1600"/>
          </w:tcPr>
          <w:p>
            <w:r>
              <w:rPr>
                <w:rFonts w:ascii="Calibri" w:cs="Calibri" w:eastAsia="Calibri" w:hAnsi="Calibri"/>
                <w:sz w:val="20"/>
                <w:szCs w:val="20"/>
              </w:rPr>
              <w:t xml:space="preserve">POST</w:t>
            </w:r>
          </w:p>
        </w:tc>
        <w:tc>
          <w:tcPr>
            <w:tcW w:type="dxa" w:w="3400"/>
          </w:tcPr>
          <w:p>
            <w:r>
              <w:rPr>
                <w:rFonts w:ascii="Calibri" w:cs="Calibri" w:eastAsia="Calibri" w:hAnsi="Calibri"/>
                <w:sz w:val="20"/>
                <w:szCs w:val="20"/>
              </w:rPr>
              <w:t xml:space="preserve">/api/recintos</w:t>
            </w:r>
          </w:p>
        </w:tc>
        <w:tc>
          <w:tcPr>
            <w:tcW w:type="dxa" w:w="4000"/>
          </w:tcPr>
          <w:p>
            <w:r>
              <w:rPr>
                <w:rFonts w:ascii="Calibri" w:cs="Calibri" w:eastAsia="Calibri" w:hAnsi="Calibri"/>
                <w:sz w:val="20"/>
                <w:szCs w:val="20"/>
              </w:rPr>
              <w:t xml:space="preserve">Crea un recinto nuevo</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/api/recintos</w:t>
            </w:r>
          </w:p>
        </w:tc>
        <w:tc>
          <w:tcPr>
            <w:tcW w:type="dxa" w:w="4000"/>
          </w:tcPr>
          <w:p>
            <w:r>
              <w:rPr>
                <w:rFonts w:ascii="Calibri" w:cs="Calibri" w:eastAsia="Calibri" w:hAnsi="Calibri"/>
                <w:sz w:val="20"/>
                <w:szCs w:val="20"/>
              </w:rPr>
              <w:t xml:space="preserve">Lista todos los recintos</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/api/recintos/{id}</w:t>
            </w:r>
          </w:p>
        </w:tc>
        <w:tc>
          <w:tcPr>
            <w:tcW w:type="dxa" w:w="4000"/>
          </w:tcPr>
          <w:p>
            <w:r>
              <w:rPr>
                <w:rFonts w:ascii="Calibri" w:cs="Calibri" w:eastAsia="Calibri" w:hAnsi="Calibri"/>
                <w:sz w:val="20"/>
                <w:szCs w:val="20"/>
              </w:rPr>
              <w:t xml:space="preserve">Obtiene un recinto por id</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/api/recintos/{id}/exists</w:t>
            </w:r>
          </w:p>
        </w:tc>
        <w:tc>
          <w:tcPr>
            <w:tcW w:type="dxa" w:w="4000"/>
          </w:tcPr>
          <w:p>
            <w:r>
              <w:rPr>
                <w:rFonts w:ascii="Calibri" w:cs="Calibri" w:eastAsia="Calibri" w:hAnsi="Calibri"/>
                <w:sz w:val="20"/>
                <w:szCs w:val="20"/>
              </w:rPr>
              <w:t xml:space="preserve">Verifica si un recinto existe y está ACTIVO (usado por otros servicios)</w:t>
            </w:r>
          </w:p>
        </w:tc>
      </w:tr>
      <w:tr>
        <w:tc>
          <w:tcPr>
            <w:tcW w:type="dxa" w:w="1600"/>
          </w:tcPr>
          <w:p>
            <w:r>
              <w:rPr>
                <w:rFonts w:ascii="Calibri" w:cs="Calibri" w:eastAsia="Calibri" w:hAnsi="Calibri"/>
                <w:sz w:val="20"/>
                <w:szCs w:val="20"/>
              </w:rPr>
              <w:t xml:space="preserve">PUT</w:t>
            </w:r>
          </w:p>
        </w:tc>
        <w:tc>
          <w:tcPr>
            <w:tcW w:type="dxa" w:w="3400"/>
          </w:tcPr>
          <w:p>
            <w:r>
              <w:rPr>
                <w:rFonts w:ascii="Calibri" w:cs="Calibri" w:eastAsia="Calibri" w:hAnsi="Calibri"/>
                <w:sz w:val="20"/>
                <w:szCs w:val="20"/>
              </w:rPr>
              <w:t xml:space="preserve">/api/recintos/{id}</w:t>
            </w:r>
          </w:p>
        </w:tc>
        <w:tc>
          <w:tcPr>
            <w:tcW w:type="dxa" w:w="4000"/>
          </w:tcPr>
          <w:p>
            <w:r>
              <w:rPr>
                <w:rFonts w:ascii="Calibri" w:cs="Calibri" w:eastAsia="Calibri" w:hAnsi="Calibri"/>
                <w:sz w:val="20"/>
                <w:szCs w:val="20"/>
              </w:rPr>
              <w:t xml:space="preserve">Actualiza los datos de un recinto</w:t>
            </w:r>
          </w:p>
        </w:tc>
      </w:tr>
      <w:tr>
        <w:tc>
          <w:tcPr>
            <w:tcW w:type="dxa" w:w="1600"/>
          </w:tcPr>
          <w:p>
            <w:r>
              <w:rPr>
                <w:rFonts w:ascii="Calibri" w:cs="Calibri" w:eastAsia="Calibri" w:hAnsi="Calibri"/>
                <w:sz w:val="20"/>
                <w:szCs w:val="20"/>
              </w:rPr>
              <w:t xml:space="preserve">DELETE</w:t>
            </w:r>
          </w:p>
        </w:tc>
        <w:tc>
          <w:tcPr>
            <w:tcW w:type="dxa" w:w="3400"/>
          </w:tcPr>
          <w:p>
            <w:r>
              <w:rPr>
                <w:rFonts w:ascii="Calibri" w:cs="Calibri" w:eastAsia="Calibri" w:hAnsi="Calibri"/>
                <w:sz w:val="20"/>
                <w:szCs w:val="20"/>
              </w:rPr>
              <w:t xml:space="preserve">/api/recintos/{id}</w:t>
            </w:r>
          </w:p>
        </w:tc>
        <w:tc>
          <w:tcPr>
            <w:tcW w:type="dxa" w:w="4000"/>
          </w:tcPr>
          <w:p>
            <w:r>
              <w:rPr>
                <w:rFonts w:ascii="Calibri" w:cs="Calibri" w:eastAsia="Calibri" w:hAnsi="Calibri"/>
                <w:sz w:val="20"/>
                <w:szCs w:val="20"/>
              </w:rPr>
              <w:t xml:space="preserve">Baja lógica del recinto (cambia su estado a INACTIVO)</w:t>
            </w:r>
          </w:p>
        </w:tc>
      </w:tr>
    </w:tbl>
    <w:p>
      <w:pPr>
        <w:spacing w:after="160"/>
      </w:pPr>
      <w:r>
        <w:t xml:space="preserve"/>
      </w:r>
    </w:p>
    <w:p>
      <w:pPr>
        <w:spacing w:after="160" w:line="276"/>
        <w:jc w:val="both"/>
      </w:pPr>
      <w:r>
        <w:rPr>
          <w:rFonts w:ascii="Calibri" w:cs="Calibri" w:eastAsia="Calibri" w:hAnsi="Calibri"/>
          <w:sz w:val="22"/>
          <w:szCs w:val="22"/>
        </w:rPr>
        <w:t xml:space="preserve">Validaciones y reglas de negocio implementadas:</w:t>
      </w:r>
    </w:p>
    <w:p>
      <w:pPr>
        <w:pStyle w:val="ListParagraph"/>
        <w:numPr>
          <w:ilvl w:val="0"/>
          <w:numId w:val="1"/>
        </w:numPr>
        <w:spacing w:after="80"/>
      </w:pPr>
      <w:r>
        <w:rPr>
          <w:rFonts w:ascii="Calibri" w:cs="Calibri" w:eastAsia="Calibri" w:hAnsi="Calibri"/>
          <w:sz w:val="22"/>
          <w:szCs w:val="22"/>
        </w:rPr>
        <w:t xml:space="preserve">Bean Validation en el DTO de entrada: name obligatorio (entre 3 y 100 caracteres), address, city, commune y phone obligatorios, managerUserId obligatorio.</w:t>
      </w:r>
    </w:p>
    <w:p>
      <w:pPr>
        <w:pStyle w:val="ListParagraph"/>
        <w:numPr>
          <w:ilvl w:val="0"/>
          <w:numId w:val="1"/>
        </w:numPr>
        <w:spacing w:after="80"/>
      </w:pPr>
      <w:r>
        <w:rPr>
          <w:rFonts w:ascii="Calibri" w:cs="Calibri" w:eastAsia="Calibri" w:hAnsi="Calibri"/>
          <w:sz w:val="22"/>
          <w:szCs w:val="22"/>
        </w:rPr>
        <w:t xml:space="preserve">Antes de crear o actualizar un recinto, se llama a User Service (UserClient) para validar que el managerUserId corresponda a un usuario con rol DUEÑO o ADMIN.</w:t>
      </w:r>
    </w:p>
    <w:p>
      <w:pPr>
        <w:pStyle w:val="ListParagraph"/>
        <w:numPr>
          <w:ilvl w:val="0"/>
          <w:numId w:val="1"/>
        </w:numPr>
        <w:spacing w:after="80"/>
      </w:pPr>
      <w:r>
        <w:rPr>
          <w:rFonts w:ascii="Calibri" w:cs="Calibri" w:eastAsia="Calibri" w:hAnsi="Calibri"/>
          <w:sz w:val="22"/>
          <w:szCs w:val="22"/>
        </w:rPr>
        <w:t xml:space="preserve">Regla de unicidad: no se permite crear un recinto ACTIVO con el mismo nombre, dirección y comuna que uno ya existente (existsByNameAndAddressAndCommuneAndStatus).</w:t>
      </w:r>
    </w:p>
    <w:p>
      <w:pPr>
        <w:pStyle w:val="ListParagraph"/>
        <w:numPr>
          <w:ilvl w:val="0"/>
          <w:numId w:val="1"/>
        </w:numPr>
        <w:spacing w:after="80"/>
      </w:pPr>
      <w:r>
        <w:rPr>
          <w:rFonts w:ascii="Calibri" w:cs="Calibri" w:eastAsia="Calibri" w:hAnsi="Calibri"/>
          <w:sz w:val="22"/>
          <w:szCs w:val="22"/>
        </w:rPr>
        <w:t xml:space="preserve">La eliminación es una baja lógica: el recinto no se borra de la base de datos, solo cambia su estado a INACTIVO.</w:t>
      </w:r>
    </w:p>
    <w:p>
      <w:pPr>
        <w:pStyle w:val="Heading2"/>
        <w:spacing w:after="120" w:before="220"/>
      </w:pPr>
      <w:r>
        <w:rPr>
          <w:rFonts w:ascii="Calibri" w:cs="Calibri" w:eastAsia="Calibri" w:hAnsi="Calibri"/>
          <w:b/>
          <w:bCs/>
          <w:color w:val="2E5395"/>
          <w:sz w:val="24"/>
          <w:szCs w:val="24"/>
        </w:rPr>
        <w:t xml:space="preserve">3.2 Precio Service</w:t>
      </w:r>
    </w:p>
    <w:p>
      <w:pPr>
        <w:spacing w:after="160" w:line="276"/>
        <w:jc w:val="both"/>
      </w:pPr>
      <w:r>
        <w:rPr>
          <w:rFonts w:ascii="Calibri" w:cs="Calibri" w:eastAsia="Calibri" w:hAnsi="Calibri"/>
          <w:sz w:val="22"/>
          <w:szCs w:val="22"/>
        </w:rPr>
        <w:t xml:space="preserve">Precio Service administra el valor asociado a cada cancha. Corre en el puerto 8086 y sigue la misma estructura CSR que el resto de los microservicios del proyecto.</w:t>
      </w:r>
    </w:p>
    <w:p>
      <w:pPr>
        <w:spacing w:after="160" w:line="276"/>
        <w:jc w:val="both"/>
      </w:pPr>
      <w:r>
        <w:rPr>
          <w:rFonts w:ascii="Calibri" w:cs="Calibri" w:eastAsia="Calibri" w:hAnsi="Calibri"/>
          <w:sz w:val="22"/>
          <w:szCs w:val="22"/>
        </w:rPr>
        <w:t xml:space="preserve">Endpoints expuestos bajo /api/precios: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rPr>
          <w:tblHeader/>
        </w:trPr>
        <w:tc>
          <w:tcPr>
            <w:tcW w:type="dxa" w:w="1600"/>
            <w:shd w:fill="1F3864" w:color="auto" w:val="clear"/>
          </w:tcPr>
          <w:p>
            <w:r>
              <w:rPr>
                <w:rFonts w:ascii="Calibri" w:cs="Calibri" w:eastAsia="Calibri" w:hAnsi="Calibri"/>
                <w:b/>
                <w:bCs/>
                <w:color w:val="FFFFFF"/>
                <w:sz w:val="20"/>
                <w:szCs w:val="20"/>
              </w:rPr>
              <w:t xml:space="preserve">Método</w:t>
            </w:r>
          </w:p>
        </w:tc>
        <w:tc>
          <w:tcPr>
            <w:tcW w:type="dxa" w:w="3400"/>
            <w:shd w:fill="1F3864" w:color="auto" w:val="clear"/>
          </w:tcPr>
          <w:p>
            <w:r>
              <w:rPr>
                <w:rFonts w:ascii="Calibri" w:cs="Calibri" w:eastAsia="Calibri" w:hAnsi="Calibri"/>
                <w:b/>
                <w:bCs/>
                <w:color w:val="FFFFFF"/>
                <w:sz w:val="20"/>
                <w:szCs w:val="20"/>
              </w:rPr>
              <w:t xml:space="preserve">Ruta</w:t>
            </w:r>
          </w:p>
        </w:tc>
        <w:tc>
          <w:tcPr>
            <w:tcW w:type="dxa" w:w="4000"/>
            <w:shd w:fill="1F3864" w:color="auto" w:val="clear"/>
          </w:tcPr>
          <w:p>
            <w:r>
              <w:rPr>
                <w:rFonts w:ascii="Calibri" w:cs="Calibri" w:eastAsia="Calibri" w:hAnsi="Calibri"/>
                <w:b/>
                <w:bCs/>
                <w:color w:val="FFFFFF"/>
                <w:sz w:val="20"/>
                <w:szCs w:val="20"/>
              </w:rPr>
              <w:t xml:space="preserve">Función</w:t>
            </w:r>
          </w:p>
        </w:tc>
      </w:tr>
      <w:tr>
        <w:tc>
          <w:tcPr>
            <w:tcW w:type="dxa" w:w="1600"/>
          </w:tcPr>
          <w:p>
            <w:r>
              <w:rPr>
                <w:rFonts w:ascii="Calibri" w:cs="Calibri" w:eastAsia="Calibri" w:hAnsi="Calibri"/>
                <w:sz w:val="20"/>
                <w:szCs w:val="20"/>
              </w:rPr>
              <w:t xml:space="preserve">POST</w:t>
            </w:r>
          </w:p>
        </w:tc>
        <w:tc>
          <w:tcPr>
            <w:tcW w:type="dxa" w:w="3400"/>
          </w:tcPr>
          <w:p>
            <w:r>
              <w:rPr>
                <w:rFonts w:ascii="Calibri" w:cs="Calibri" w:eastAsia="Calibri" w:hAnsi="Calibri"/>
                <w:sz w:val="20"/>
                <w:szCs w:val="20"/>
              </w:rPr>
              <w:t xml:space="preserve">/api/precios</w:t>
            </w:r>
          </w:p>
        </w:tc>
        <w:tc>
          <w:tcPr>
            <w:tcW w:type="dxa" w:w="4000"/>
          </w:tcPr>
          <w:p>
            <w:r>
              <w:rPr>
                <w:rFonts w:ascii="Calibri" w:cs="Calibri" w:eastAsia="Calibri" w:hAnsi="Calibri"/>
                <w:sz w:val="20"/>
                <w:szCs w:val="20"/>
              </w:rPr>
              <w:t xml:space="preserve">Crea un precio para una cancha</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/api/precios</w:t>
            </w:r>
          </w:p>
        </w:tc>
        <w:tc>
          <w:tcPr>
            <w:tcW w:type="dxa" w:w="4000"/>
          </w:tcPr>
          <w:p>
            <w:r>
              <w:rPr>
                <w:rFonts w:ascii="Calibri" w:cs="Calibri" w:eastAsia="Calibri" w:hAnsi="Calibri"/>
                <w:sz w:val="20"/>
                <w:szCs w:val="20"/>
              </w:rPr>
              <w:t xml:space="preserve">Lista todos los precios</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/api/precios/{id}</w:t>
            </w:r>
          </w:p>
        </w:tc>
        <w:tc>
          <w:tcPr>
            <w:tcW w:type="dxa" w:w="4000"/>
          </w:tcPr>
          <w:p>
            <w:r>
              <w:rPr>
                <w:rFonts w:ascii="Calibri" w:cs="Calibri" w:eastAsia="Calibri" w:hAnsi="Calibri"/>
                <w:sz w:val="20"/>
                <w:szCs w:val="20"/>
              </w:rPr>
              <w:t xml:space="preserve">Obtiene un precio por id</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/api/precios/{id}/exists</w:t>
            </w:r>
          </w:p>
        </w:tc>
        <w:tc>
          <w:tcPr>
            <w:tcW w:type="dxa" w:w="4000"/>
          </w:tcPr>
          <w:p>
            <w:r>
              <w:rPr>
                <w:rFonts w:ascii="Calibri" w:cs="Calibri" w:eastAsia="Calibri" w:hAnsi="Calibri"/>
                <w:sz w:val="20"/>
                <w:szCs w:val="20"/>
              </w:rPr>
              <w:t xml:space="preserve">Verifica si un precio existe y está ACTIVO</w:t>
            </w:r>
          </w:p>
        </w:tc>
      </w:tr>
      <w:tr>
        <w:tc>
          <w:tcPr>
            <w:tcW w:type="dxa" w:w="1600"/>
          </w:tcPr>
          <w:p>
            <w:r>
              <w:rPr>
                <w:rFonts w:ascii="Calibri" w:cs="Calibri" w:eastAsia="Calibri" w:hAnsi="Calibri"/>
                <w:sz w:val="20"/>
                <w:szCs w:val="20"/>
              </w:rPr>
              <w:t xml:space="preserve">PUT</w:t>
            </w:r>
          </w:p>
        </w:tc>
        <w:tc>
          <w:tcPr>
            <w:tcW w:type="dxa" w:w="3400"/>
          </w:tcPr>
          <w:p>
            <w:r>
              <w:rPr>
                <w:rFonts w:ascii="Calibri" w:cs="Calibri" w:eastAsia="Calibri" w:hAnsi="Calibri"/>
                <w:sz w:val="20"/>
                <w:szCs w:val="20"/>
              </w:rPr>
              <w:t xml:space="preserve">/api/precios/{id}</w:t>
            </w:r>
          </w:p>
        </w:tc>
        <w:tc>
          <w:tcPr>
            <w:tcW w:type="dxa" w:w="4000"/>
          </w:tcPr>
          <w:p>
            <w:r>
              <w:rPr>
                <w:rFonts w:ascii="Calibri" w:cs="Calibri" w:eastAsia="Calibri" w:hAnsi="Calibri"/>
                <w:sz w:val="20"/>
                <w:szCs w:val="20"/>
              </w:rPr>
              <w:t xml:space="preserve">Actualiza un precio</w:t>
            </w:r>
          </w:p>
        </w:tc>
      </w:tr>
      <w:tr>
        <w:tc>
          <w:tcPr>
            <w:tcW w:type="dxa" w:w="1600"/>
          </w:tcPr>
          <w:p>
            <w:r>
              <w:rPr>
                <w:rFonts w:ascii="Calibri" w:cs="Calibri" w:eastAsia="Calibri" w:hAnsi="Calibri"/>
                <w:sz w:val="20"/>
                <w:szCs w:val="20"/>
              </w:rPr>
              <w:t xml:space="preserve">DELETE</w:t>
            </w:r>
          </w:p>
        </w:tc>
        <w:tc>
          <w:tcPr>
            <w:tcW w:type="dxa" w:w="3400"/>
          </w:tcPr>
          <w:p>
            <w:r>
              <w:rPr>
                <w:rFonts w:ascii="Calibri" w:cs="Calibri" w:eastAsia="Calibri" w:hAnsi="Calibri"/>
                <w:sz w:val="20"/>
                <w:szCs w:val="20"/>
              </w:rPr>
              <w:t xml:space="preserve">/api/precios/{id}</w:t>
            </w:r>
          </w:p>
        </w:tc>
        <w:tc>
          <w:tcPr>
            <w:tcW w:type="dxa" w:w="4000"/>
          </w:tcPr>
          <w:p>
            <w:r>
              <w:rPr>
                <w:rFonts w:ascii="Calibri" w:cs="Calibri" w:eastAsia="Calibri" w:hAnsi="Calibri"/>
                <w:sz w:val="20"/>
                <w:szCs w:val="20"/>
              </w:rPr>
              <w:t xml:space="preserve">Baja lógica del precio (cambia su estado a INACTIVO)</w:t>
            </w:r>
          </w:p>
        </w:tc>
      </w:tr>
    </w:tbl>
    <w:p>
      <w:pPr>
        <w:spacing w:after="160"/>
      </w:pPr>
      <w:r>
        <w:t xml:space="preserve"/>
      </w:r>
    </w:p>
    <w:p>
      <w:pPr>
        <w:spacing w:after="160" w:line="276"/>
        <w:jc w:val="both"/>
      </w:pPr>
      <w:r>
        <w:rPr>
          <w:rFonts w:ascii="Calibri" w:cs="Calibri" w:eastAsia="Calibri" w:hAnsi="Calibri"/>
          <w:sz w:val="22"/>
          <w:szCs w:val="22"/>
        </w:rPr>
        <w:t xml:space="preserve">Validaciones y reglas de negocio implementadas:</w:t>
      </w:r>
    </w:p>
    <w:p>
      <w:pPr>
        <w:pStyle w:val="ListParagraph"/>
        <w:numPr>
          <w:ilvl w:val="0"/>
          <w:numId w:val="1"/>
        </w:numPr>
        <w:spacing w:after="80"/>
      </w:pPr>
      <w:r>
        <w:rPr>
          <w:rFonts w:ascii="Calibri" w:cs="Calibri" w:eastAsia="Calibri" w:hAnsi="Calibri"/>
          <w:sz w:val="22"/>
          <w:szCs w:val="22"/>
        </w:rPr>
        <w:t xml:space="preserve">Bean Validation en el DTO: canchaId, valor y descripcion son obligatorios.</w:t>
      </w:r>
    </w:p>
    <w:p>
      <w:pPr>
        <w:pStyle w:val="ListParagraph"/>
        <w:numPr>
          <w:ilvl w:val="0"/>
          <w:numId w:val="1"/>
        </w:numPr>
        <w:spacing w:after="80"/>
      </w:pPr>
      <w:r>
        <w:rPr>
          <w:rFonts w:ascii="Calibri" w:cs="Calibri" w:eastAsia="Calibri" w:hAnsi="Calibri"/>
          <w:sz w:val="22"/>
          <w:szCs w:val="22"/>
        </w:rPr>
        <w:t xml:space="preserve">Antes de crear o actualizar un precio, se llama a Cancha Service (CanchaClient) para validar que la cancha exista.</w:t>
      </w:r>
    </w:p>
    <w:p>
      <w:pPr>
        <w:pStyle w:val="ListParagraph"/>
        <w:numPr>
          <w:ilvl w:val="0"/>
          <w:numId w:val="1"/>
        </w:numPr>
        <w:spacing w:after="80"/>
      </w:pPr>
      <w:r>
        <w:rPr>
          <w:rFonts w:ascii="Calibri" w:cs="Calibri" w:eastAsia="Calibri" w:hAnsi="Calibri"/>
          <w:sz w:val="22"/>
          <w:szCs w:val="22"/>
        </w:rPr>
        <w:t xml:space="preserve">Validación de negocio adicional en la capa de servicio: el valor debe ser mayor a cero y la descripción no puede estar en blanco.</w:t>
      </w:r>
    </w:p>
    <w:p>
      <w:pPr>
        <w:pStyle w:val="ListParagraph"/>
        <w:numPr>
          <w:ilvl w:val="0"/>
          <w:numId w:val="1"/>
        </w:numPr>
        <w:spacing w:after="80"/>
      </w:pPr>
      <w:r>
        <w:rPr>
          <w:rFonts w:ascii="Calibri" w:cs="Calibri" w:eastAsia="Calibri" w:hAnsi="Calibri"/>
          <w:sz w:val="22"/>
          <w:szCs w:val="22"/>
        </w:rPr>
        <w:t xml:space="preserve">Regla de unicidad: una cancha no puede tener más de un precio ACTIVO al mismo tiempo (existsByCanchaIdAndEstado); al actualizar y cambiar la cancha asociada, se vuelve a validar esta regla contra la nueva cancha.</w:t>
      </w:r>
    </w:p>
    <w:p>
      <w:pPr>
        <w:pStyle w:val="ListParagraph"/>
        <w:numPr>
          <w:ilvl w:val="0"/>
          <w:numId w:val="1"/>
        </w:numPr>
        <w:spacing w:after="80"/>
      </w:pPr>
      <w:r>
        <w:rPr>
          <w:rFonts w:ascii="Calibri" w:cs="Calibri" w:eastAsia="Calibri" w:hAnsi="Calibri"/>
          <w:sz w:val="22"/>
          <w:szCs w:val="22"/>
        </w:rPr>
        <w:t xml:space="preserve">La moneda queda fija en CLP y el estado se valida contra los valores permitidos (ACTIVO / INACTIVO).</w:t>
      </w:r>
    </w:p>
    <w:p>
      <w:pPr>
        <w:pStyle w:val="Heading2"/>
        <w:spacing w:after="120" w:before="220"/>
      </w:pPr>
      <w:r>
        <w:rPr>
          <w:rFonts w:ascii="Calibri" w:cs="Calibri" w:eastAsia="Calibri" w:hAnsi="Calibri"/>
          <w:b/>
          <w:bCs/>
          <w:color w:val="2E5395"/>
          <w:sz w:val="24"/>
          <w:szCs w:val="24"/>
        </w:rPr>
        <w:t xml:space="preserve">3.3 Pago Service</w:t>
      </w:r>
    </w:p>
    <w:p>
      <w:pPr>
        <w:spacing w:after="160" w:line="276"/>
        <w:jc w:val="both"/>
      </w:pPr>
      <w:r>
        <w:rPr>
          <w:rFonts w:ascii="Calibri" w:cs="Calibri" w:eastAsia="Calibri" w:hAnsi="Calibri"/>
          <w:sz w:val="22"/>
          <w:szCs w:val="22"/>
        </w:rPr>
        <w:t xml:space="preserve">Pago Service registra los pagos asociados a una reserva. Corre en el puerto 8087 y también sigue el patrón CSR.</w:t>
      </w:r>
    </w:p>
    <w:p>
      <w:pPr>
        <w:spacing w:after="160" w:line="276"/>
        <w:jc w:val="both"/>
      </w:pPr>
      <w:r>
        <w:rPr>
          <w:rFonts w:ascii="Calibri" w:cs="Calibri" w:eastAsia="Calibri" w:hAnsi="Calibri"/>
          <w:sz w:val="22"/>
          <w:szCs w:val="22"/>
        </w:rPr>
        <w:t xml:space="preserve">Endpoints expuestos bajo /api/pagos: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rPr>
          <w:tblHeader/>
        </w:trPr>
        <w:tc>
          <w:tcPr>
            <w:tcW w:type="dxa" w:w="1600"/>
            <w:shd w:fill="1F3864" w:color="auto" w:val="clear"/>
          </w:tcPr>
          <w:p>
            <w:r>
              <w:rPr>
                <w:rFonts w:ascii="Calibri" w:cs="Calibri" w:eastAsia="Calibri" w:hAnsi="Calibri"/>
                <w:b/>
                <w:bCs/>
                <w:color w:val="FFFFFF"/>
                <w:sz w:val="20"/>
                <w:szCs w:val="20"/>
              </w:rPr>
              <w:t xml:space="preserve">Método</w:t>
            </w:r>
          </w:p>
        </w:tc>
        <w:tc>
          <w:tcPr>
            <w:tcW w:type="dxa" w:w="3400"/>
            <w:shd w:fill="1F3864" w:color="auto" w:val="clear"/>
          </w:tcPr>
          <w:p>
            <w:r>
              <w:rPr>
                <w:rFonts w:ascii="Calibri" w:cs="Calibri" w:eastAsia="Calibri" w:hAnsi="Calibri"/>
                <w:b/>
                <w:bCs/>
                <w:color w:val="FFFFFF"/>
                <w:sz w:val="20"/>
                <w:szCs w:val="20"/>
              </w:rPr>
              <w:t xml:space="preserve">Ruta</w:t>
            </w:r>
          </w:p>
        </w:tc>
        <w:tc>
          <w:tcPr>
            <w:tcW w:type="dxa" w:w="4000"/>
            <w:shd w:fill="1F3864" w:color="auto" w:val="clear"/>
          </w:tcPr>
          <w:p>
            <w:r>
              <w:rPr>
                <w:rFonts w:ascii="Calibri" w:cs="Calibri" w:eastAsia="Calibri" w:hAnsi="Calibri"/>
                <w:b/>
                <w:bCs/>
                <w:color w:val="FFFFFF"/>
                <w:sz w:val="20"/>
                <w:szCs w:val="20"/>
              </w:rPr>
              <w:t xml:space="preserve">Función</w:t>
            </w:r>
          </w:p>
        </w:tc>
      </w:tr>
      <w:tr>
        <w:tc>
          <w:tcPr>
            <w:tcW w:type="dxa" w:w="1600"/>
          </w:tcPr>
          <w:p>
            <w:r>
              <w:rPr>
                <w:rFonts w:ascii="Calibri" w:cs="Calibri" w:eastAsia="Calibri" w:hAnsi="Calibri"/>
                <w:sz w:val="20"/>
                <w:szCs w:val="20"/>
              </w:rPr>
              <w:t xml:space="preserve">POST</w:t>
            </w:r>
          </w:p>
        </w:tc>
        <w:tc>
          <w:tcPr>
            <w:tcW w:type="dxa" w:w="3400"/>
          </w:tcPr>
          <w:p>
            <w:r>
              <w:rPr>
                <w:rFonts w:ascii="Calibri" w:cs="Calibri" w:eastAsia="Calibri" w:hAnsi="Calibri"/>
                <w:sz w:val="20"/>
                <w:szCs w:val="20"/>
              </w:rPr>
              <w:t xml:space="preserve">/api/pagos</w:t>
            </w:r>
          </w:p>
        </w:tc>
        <w:tc>
          <w:tcPr>
            <w:tcW w:type="dxa" w:w="4000"/>
          </w:tcPr>
          <w:p>
            <w:r>
              <w:rPr>
                <w:rFonts w:ascii="Calibri" w:cs="Calibri" w:eastAsia="Calibri" w:hAnsi="Calibri"/>
                <w:sz w:val="20"/>
                <w:szCs w:val="20"/>
              </w:rPr>
              <w:t xml:space="preserve">Registra un pago para una reserva</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/api/pagos</w:t>
            </w:r>
          </w:p>
        </w:tc>
        <w:tc>
          <w:tcPr>
            <w:tcW w:type="dxa" w:w="4000"/>
          </w:tcPr>
          <w:p>
            <w:r>
              <w:rPr>
                <w:rFonts w:ascii="Calibri" w:cs="Calibri" w:eastAsia="Calibri" w:hAnsi="Calibri"/>
                <w:sz w:val="20"/>
                <w:szCs w:val="20"/>
              </w:rPr>
              <w:t xml:space="preserve">Lista todos los pagos</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/api/pagos/{id}</w:t>
            </w:r>
          </w:p>
        </w:tc>
        <w:tc>
          <w:tcPr>
            <w:tcW w:type="dxa" w:w="4000"/>
          </w:tcPr>
          <w:p>
            <w:r>
              <w:rPr>
                <w:rFonts w:ascii="Calibri" w:cs="Calibri" w:eastAsia="Calibri" w:hAnsi="Calibri"/>
                <w:sz w:val="20"/>
                <w:szCs w:val="20"/>
              </w:rPr>
              <w:t xml:space="preserve">Obtiene un pago por id</w:t>
            </w:r>
          </w:p>
        </w:tc>
      </w:tr>
      <w:tr>
        <w:tc>
          <w:tcPr>
            <w:tcW w:type="dxa" w:w="1600"/>
          </w:tcPr>
          <w:p>
            <w:r>
              <w:rPr>
                <w:rFonts w:ascii="Calibri" w:cs="Calibri" w:eastAsia="Calibri" w:hAnsi="Calibri"/>
                <w:sz w:val="20"/>
                <w:szCs w:val="20"/>
              </w:rPr>
              <w:t xml:space="preserve">GET</w:t>
            </w:r>
          </w:p>
        </w:tc>
        <w:tc>
          <w:tcPr>
            <w:tcW w:type="dxa" w:w="3400"/>
          </w:tcPr>
          <w:p>
            <w:r>
              <w:rPr>
                <w:rFonts w:ascii="Calibri" w:cs="Calibri" w:eastAsia="Calibri" w:hAnsi="Calibri"/>
                <w:sz w:val="20"/>
                <w:szCs w:val="20"/>
              </w:rPr>
              <w:t xml:space="preserve">/api/pagos/{id}/exists</w:t>
            </w:r>
          </w:p>
        </w:tc>
        <w:tc>
          <w:tcPr>
            <w:tcW w:type="dxa" w:w="4000"/>
          </w:tcPr>
          <w:p>
            <w:r>
              <w:rPr>
                <w:rFonts w:ascii="Calibri" w:cs="Calibri" w:eastAsia="Calibri" w:hAnsi="Calibri"/>
                <w:sz w:val="20"/>
                <w:szCs w:val="20"/>
              </w:rPr>
              <w:t xml:space="preserve">Verifica si un pago existe y no está ANULADO</w:t>
            </w:r>
          </w:p>
        </w:tc>
      </w:tr>
      <w:tr>
        <w:tc>
          <w:tcPr>
            <w:tcW w:type="dxa" w:w="1600"/>
          </w:tcPr>
          <w:p>
            <w:r>
              <w:rPr>
                <w:rFonts w:ascii="Calibri" w:cs="Calibri" w:eastAsia="Calibri" w:hAnsi="Calibri"/>
                <w:sz w:val="20"/>
                <w:szCs w:val="20"/>
              </w:rPr>
              <w:t xml:space="preserve">PUT</w:t>
            </w:r>
          </w:p>
        </w:tc>
        <w:tc>
          <w:tcPr>
            <w:tcW w:type="dxa" w:w="3400"/>
          </w:tcPr>
          <w:p>
            <w:r>
              <w:rPr>
                <w:rFonts w:ascii="Calibri" w:cs="Calibri" w:eastAsia="Calibri" w:hAnsi="Calibri"/>
                <w:sz w:val="20"/>
                <w:szCs w:val="20"/>
              </w:rPr>
              <w:t xml:space="preserve">/api/pagos/{id}</w:t>
            </w:r>
          </w:p>
        </w:tc>
        <w:tc>
          <w:tcPr>
            <w:tcW w:type="dxa" w:w="4000"/>
          </w:tcPr>
          <w:p>
            <w:r>
              <w:rPr>
                <w:rFonts w:ascii="Calibri" w:cs="Calibri" w:eastAsia="Calibri" w:hAnsi="Calibri"/>
                <w:sz w:val="20"/>
                <w:szCs w:val="20"/>
              </w:rPr>
              <w:t xml:space="preserve">Actualiza un pago</w:t>
            </w:r>
          </w:p>
        </w:tc>
      </w:tr>
      <w:tr>
        <w:tc>
          <w:tcPr>
            <w:tcW w:type="dxa" w:w="1600"/>
          </w:tcPr>
          <w:p>
            <w:r>
              <w:rPr>
                <w:rFonts w:ascii="Calibri" w:cs="Calibri" w:eastAsia="Calibri" w:hAnsi="Calibri"/>
                <w:sz w:val="20"/>
                <w:szCs w:val="20"/>
              </w:rPr>
              <w:t xml:space="preserve">DELETE</w:t>
            </w:r>
          </w:p>
        </w:tc>
        <w:tc>
          <w:tcPr>
            <w:tcW w:type="dxa" w:w="3400"/>
          </w:tcPr>
          <w:p>
            <w:r>
              <w:rPr>
                <w:rFonts w:ascii="Calibri" w:cs="Calibri" w:eastAsia="Calibri" w:hAnsi="Calibri"/>
                <w:sz w:val="20"/>
                <w:szCs w:val="20"/>
              </w:rPr>
              <w:t xml:space="preserve">/api/pagos/{id}</w:t>
            </w:r>
          </w:p>
        </w:tc>
        <w:tc>
          <w:tcPr>
            <w:tcW w:type="dxa" w:w="4000"/>
          </w:tcPr>
          <w:p>
            <w:r>
              <w:rPr>
                <w:rFonts w:ascii="Calibri" w:cs="Calibri" w:eastAsia="Calibri" w:hAnsi="Calibri"/>
                <w:sz w:val="20"/>
                <w:szCs w:val="20"/>
              </w:rPr>
              <w:t xml:space="preserve">Anula el pago (cambia su estado a ANULADO)</w:t>
            </w:r>
          </w:p>
        </w:tc>
      </w:tr>
    </w:tbl>
    <w:p>
      <w:pPr>
        <w:spacing w:after="160"/>
      </w:pPr>
      <w:r>
        <w:t xml:space="preserve"/>
      </w:r>
    </w:p>
    <w:p>
      <w:pPr>
        <w:spacing w:after="160" w:line="276"/>
        <w:jc w:val="both"/>
      </w:pPr>
      <w:r>
        <w:rPr>
          <w:rFonts w:ascii="Calibri" w:cs="Calibri" w:eastAsia="Calibri" w:hAnsi="Calibri"/>
          <w:sz w:val="22"/>
          <w:szCs w:val="22"/>
        </w:rPr>
        <w:t xml:space="preserve">Validaciones y reglas de negocio implementadas:</w:t>
      </w:r>
    </w:p>
    <w:p>
      <w:pPr>
        <w:pStyle w:val="ListParagraph"/>
        <w:numPr>
          <w:ilvl w:val="0"/>
          <w:numId w:val="1"/>
        </w:numPr>
        <w:spacing w:after="80"/>
      </w:pPr>
      <w:r>
        <w:rPr>
          <w:rFonts w:ascii="Calibri" w:cs="Calibri" w:eastAsia="Calibri" w:hAnsi="Calibri"/>
          <w:sz w:val="22"/>
          <w:szCs w:val="22"/>
        </w:rPr>
        <w:t xml:space="preserve">Bean Validation en el DTO: reservaId, monto y metodoPago son obligatorios.</w:t>
      </w:r>
    </w:p>
    <w:p>
      <w:pPr>
        <w:pStyle w:val="ListParagraph"/>
        <w:numPr>
          <w:ilvl w:val="0"/>
          <w:numId w:val="1"/>
        </w:numPr>
        <w:spacing w:after="80"/>
      </w:pPr>
      <w:r>
        <w:rPr>
          <w:rFonts w:ascii="Calibri" w:cs="Calibri" w:eastAsia="Calibri" w:hAnsi="Calibri"/>
          <w:sz w:val="22"/>
          <w:szCs w:val="22"/>
        </w:rPr>
        <w:t xml:space="preserve">Antes de crear o actualizar un pago, se llama a Reserva Service (ReservaClient) para validar que la reserva exista.</w:t>
      </w:r>
    </w:p>
    <w:p>
      <w:pPr>
        <w:pStyle w:val="ListParagraph"/>
        <w:numPr>
          <w:ilvl w:val="0"/>
          <w:numId w:val="1"/>
        </w:numPr>
        <w:spacing w:after="80"/>
      </w:pPr>
      <w:r>
        <w:rPr>
          <w:rFonts w:ascii="Calibri" w:cs="Calibri" w:eastAsia="Calibri" w:hAnsi="Calibri"/>
          <w:sz w:val="22"/>
          <w:szCs w:val="22"/>
        </w:rPr>
        <w:t xml:space="preserve">Validación de negocio: el monto debe ser mayor a cero, el método de pago debe ser TARJETA, TRANSFERENCIA, WEBPAY o EFECTIVO, y el estado (si viene informado) debe ser PENDIENTE, PAGADO, RECHAZADO o ANULADO.</w:t>
      </w:r>
    </w:p>
    <w:p>
      <w:pPr>
        <w:pStyle w:val="ListParagraph"/>
        <w:numPr>
          <w:ilvl w:val="0"/>
          <w:numId w:val="1"/>
        </w:numPr>
        <w:spacing w:after="80"/>
      </w:pPr>
      <w:r>
        <w:rPr>
          <w:rFonts w:ascii="Calibri" w:cs="Calibri" w:eastAsia="Calibri" w:hAnsi="Calibri"/>
          <w:sz w:val="22"/>
          <w:szCs w:val="22"/>
        </w:rPr>
        <w:t xml:space="preserve">Regla de unicidad: una misma reserva no puede tener más de un pago en estado PAGADO (existsByReservaIdAndEstado).</w:t>
      </w:r>
    </w:p>
    <w:p>
      <w:pPr>
        <w:pStyle w:val="ListParagraph"/>
        <w:numPr>
          <w:ilvl w:val="0"/>
          <w:numId w:val="1"/>
        </w:numPr>
        <w:spacing w:after="80"/>
      </w:pPr>
      <w:r>
        <w:rPr>
          <w:rFonts w:ascii="Calibri" w:cs="Calibri" w:eastAsia="Calibri" w:hAnsi="Calibri"/>
          <w:sz w:val="22"/>
          <w:szCs w:val="22"/>
        </w:rPr>
        <w:t xml:space="preserve">La moneda queda fija en CLP; la anulación de un pago es una baja lógica que cambia su estado a ANULADO.</w:t>
      </w:r>
    </w:p>
    <w:p>
      <w:pPr>
        <w:pStyle w:val="Heading2"/>
        <w:spacing w:after="120" w:before="220"/>
      </w:pPr>
      <w:r>
        <w:rPr>
          <w:rFonts w:ascii="Calibri" w:cs="Calibri" w:eastAsia="Calibri" w:hAnsi="Calibri"/>
          <w:b/>
          <w:bCs/>
          <w:color w:val="2E5395"/>
          <w:sz w:val="24"/>
          <w:szCs w:val="24"/>
        </w:rPr>
        <w:t xml:space="preserve">3.4 Aspectos comunes a los tres servicios</w:t>
      </w:r>
    </w:p>
    <w:p>
      <w:pPr>
        <w:spacing w:after="160" w:line="276"/>
        <w:jc w:val="both"/>
      </w:pPr>
      <w:r>
        <w:rPr>
          <w:rFonts w:ascii="Calibri" w:cs="Calibri" w:eastAsia="Calibri" w:hAnsi="Calibri"/>
          <w:sz w:val="22"/>
          <w:szCs w:val="22"/>
        </w:rPr>
        <w:t xml:space="preserve">Los tres microservicios comparten la misma base técnica:</w:t>
      </w:r>
    </w:p>
    <w:p>
      <w:pPr>
        <w:pStyle w:val="ListParagraph"/>
        <w:numPr>
          <w:ilvl w:val="0"/>
          <w:numId w:val="1"/>
        </w:numPr>
        <w:spacing w:after="80"/>
      </w:pPr>
      <w:r>
        <w:rPr>
          <w:rFonts w:ascii="Calibri" w:cs="Calibri" w:eastAsia="Calibri" w:hAnsi="Calibri"/>
          <w:sz w:val="22"/>
          <w:szCs w:val="22"/>
        </w:rPr>
        <w:t xml:space="preserve">Patrón Controller–Service–Repository/Model, con DTOs de entrada y salida separados de las entidades JPA.</w:t>
      </w:r>
    </w:p>
    <w:p>
      <w:pPr>
        <w:pStyle w:val="ListParagraph"/>
        <w:numPr>
          <w:ilvl w:val="0"/>
          <w:numId w:val="1"/>
        </w:numPr>
        <w:spacing w:after="80"/>
      </w:pPr>
      <w:r>
        <w:rPr>
          <w:rFonts w:ascii="Calibri" w:cs="Calibri" w:eastAsia="Calibri" w:hAnsi="Calibri"/>
          <w:sz w:val="22"/>
          <w:szCs w:val="22"/>
        </w:rPr>
        <w:t xml:space="preserve">Manejo centralizado de errores mediante un GlobalExceptionHandler anotado con @RestControllerAdvice, que traduce ResourceNotFoundException a 404, BusinessRuleException a 400 y los errores de Bean Validation (MethodArgumentNotValidException) a 400 con el listado de mensajes de validación.</w:t>
      </w:r>
    </w:p>
    <w:p>
      <w:pPr>
        <w:pStyle w:val="ListParagraph"/>
        <w:numPr>
          <w:ilvl w:val="0"/>
          <w:numId w:val="1"/>
        </w:numPr>
        <w:spacing w:after="80"/>
      </w:pPr>
      <w:r>
        <w:rPr>
          <w:rFonts w:ascii="Calibri" w:cs="Calibri" w:eastAsia="Calibri" w:hAnsi="Calibri"/>
          <w:sz w:val="22"/>
          <w:szCs w:val="22"/>
        </w:rPr>
        <w:t xml:space="preserve">Comunicación síncrona con otros microservicios usando RestClient y Spring Cloud LoadBalancer, resolviendo direcciones a través de los nombres registrados en Eureka (por ejemplo http://USER-SERVICE, http://CANCHA-SERVICE, http://RESERVA-SERVICE) en lugar de URLs fijas.</w:t>
      </w:r>
    </w:p>
    <w:p>
      <w:pPr>
        <w:pStyle w:val="ListParagraph"/>
        <w:numPr>
          <w:ilvl w:val="0"/>
          <w:numId w:val="1"/>
        </w:numPr>
        <w:spacing w:after="80"/>
      </w:pPr>
      <w:r>
        <w:rPr>
          <w:rFonts w:ascii="Calibri" w:cs="Calibri" w:eastAsia="Calibri" w:hAnsi="Calibri"/>
          <w:sz w:val="22"/>
          <w:szCs w:val="22"/>
        </w:rPr>
        <w:t xml:space="preserve">Documentación Swagger/OpenAPI propia (OpenApiConfig) en cada servicio, agregada a la documentación centralizada que se expone desde el API Gateway.</w:t>
      </w:r>
    </w:p>
    <w:p>
      <w:pPr>
        <w:pStyle w:val="ListParagraph"/>
        <w:numPr>
          <w:ilvl w:val="0"/>
          <w:numId w:val="1"/>
        </w:numPr>
        <w:spacing w:after="80"/>
      </w:pPr>
      <w:r>
        <w:rPr>
          <w:rFonts w:ascii="Calibri" w:cs="Calibri" w:eastAsia="Calibri" w:hAnsi="Calibri"/>
          <w:sz w:val="22"/>
          <w:szCs w:val="22"/>
        </w:rPr>
        <w:t xml:space="preserve">Registro de eventos con SLF4J en las operaciones principales (creación, actualización, anulación/baja y errores de negocio).</w:t>
      </w:r>
    </w:p>
    <w:p>
      <w:pPr>
        <w:pStyle w:val="ListParagraph"/>
        <w:numPr>
          <w:ilvl w:val="0"/>
          <w:numId w:val="1"/>
        </w:numPr>
        <w:spacing w:after="80"/>
      </w:pPr>
      <w:r>
        <w:rPr>
          <w:rFonts w:ascii="Calibri" w:cs="Calibri" w:eastAsia="Calibri" w:hAnsi="Calibri"/>
          <w:sz w:val="22"/>
          <w:szCs w:val="22"/>
        </w:rPr>
        <w:t xml:space="preserve">Dockerfile multi-stage (build con Maven + imagen final eclipse-temurin:17-jre) que ejecuta la aplicación con un usuario no root (springuser) en lugar del usuario root por defecto.</w:t>
      </w:r>
    </w:p>
    <w:p>
      <w:pPr>
        <w:pStyle w:val="ListParagraph"/>
        <w:numPr>
          <w:ilvl w:val="0"/>
          <w:numId w:val="1"/>
        </w:numPr>
        <w:spacing w:after="80"/>
      </w:pPr>
      <w:r>
        <w:rPr>
          <w:rFonts w:ascii="Calibri" w:cs="Calibri" w:eastAsia="Calibri" w:hAnsi="Calibri"/>
          <w:sz w:val="22"/>
          <w:szCs w:val="22"/>
        </w:rPr>
        <w:t xml:space="preserve">Cada servicio tiene su propia base de datos MySQL y sus migraciones Flyway en src/main/resources/db/migration.</w:t>
      </w:r>
    </w:p>
    <w:p>
      <w:pPr>
        <w:pStyle w:val="Heading1"/>
        <w:spacing w:after="150" w:before="300"/>
      </w:pPr>
      <w:r>
        <w:rPr>
          <w:rFonts w:ascii="Calibri" w:cs="Calibri" w:eastAsia="Calibri" w:hAnsi="Calibri"/>
          <w:b/>
          <w:bCs/>
          <w:color w:val="1F3864"/>
          <w:sz w:val="28"/>
          <w:szCs w:val="28"/>
        </w:rPr>
        <w:t xml:space="preserve">4. Evidencia de mi participación</w:t>
      </w:r>
    </w:p>
    <w:p>
      <w:pPr>
        <w:spacing w:after="160" w:line="276"/>
        <w:jc w:val="both"/>
      </w:pPr>
      <w:r>
        <w:rPr>
          <w:rFonts w:ascii="Calibri" w:cs="Calibri" w:eastAsia="Calibri" w:hAnsi="Calibri"/>
          <w:sz w:val="22"/>
          <w:szCs w:val="22"/>
        </w:rPr>
        <w:t xml:space="preserve">Mi trabajo en el proyecto está concentrado en el desarrollo completo de Recinto Service, Precio Service y Pago Service: modelo de datos, capa de persistencia, reglas de negocio, validaciones, manejo de errores, comunicación con los servicios de los que dependen (User, Cancha y Reserva), documentación Swagger y el Dockerfile de cada uno de los tres. Esta participación puede verificarse en el historial de commits del repositorio del equipo, en las carpetas recinto-service, precio-service y pago-service.</w:t>
      </w:r>
    </w:p>
    <w:p>
      <w:pPr>
        <w:pStyle w:val="Heading1"/>
        <w:spacing w:after="150" w:before="300"/>
      </w:pPr>
      <w:r>
        <w:rPr>
          <w:rFonts w:ascii="Calibri" w:cs="Calibri" w:eastAsia="Calibri" w:hAnsi="Calibri"/>
          <w:b/>
          <w:bCs/>
          <w:color w:val="1F3864"/>
          <w:sz w:val="28"/>
          <w:szCs w:val="28"/>
        </w:rPr>
        <w:t xml:space="preserve">5. Archivos en los que trabajé</w:t>
      </w:r>
    </w:p>
    <w:p>
      <w:pPr>
        <w:pStyle w:val="ListParagraph"/>
        <w:numPr>
          <w:ilvl w:val="0"/>
          <w:numId w:val="1"/>
        </w:numPr>
        <w:spacing w:after="80"/>
      </w:pPr>
      <w:r>
        <w:rPr>
          <w:rFonts w:ascii="Calibri" w:cs="Calibri" w:eastAsia="Calibri" w:hAnsi="Calibri"/>
          <w:sz w:val="22"/>
          <w:szCs w:val="22"/>
        </w:rPr>
        <w:t xml:space="preserve">recinto-service (modelo, DTOs, controller, service, repository, cliente REST a User Service, configuración de seguridad y Swagger, Dockerfile).</w:t>
      </w:r>
    </w:p>
    <w:p>
      <w:pPr>
        <w:pStyle w:val="ListParagraph"/>
        <w:numPr>
          <w:ilvl w:val="0"/>
          <w:numId w:val="1"/>
        </w:numPr>
        <w:spacing w:after="80"/>
      </w:pPr>
      <w:r>
        <w:rPr>
          <w:rFonts w:ascii="Calibri" w:cs="Calibri" w:eastAsia="Calibri" w:hAnsi="Calibri"/>
          <w:sz w:val="22"/>
          <w:szCs w:val="22"/>
        </w:rPr>
        <w:t xml:space="preserve">precio-service (modelo, DTOs, controller, service, repository, cliente REST a Cancha Service, configuración de seguridad y Swagger, Dockerfile).</w:t>
      </w:r>
    </w:p>
    <w:p>
      <w:pPr>
        <w:pStyle w:val="ListParagraph"/>
        <w:numPr>
          <w:ilvl w:val="0"/>
          <w:numId w:val="1"/>
        </w:numPr>
        <w:spacing w:after="80"/>
      </w:pPr>
      <w:r>
        <w:rPr>
          <w:rFonts w:ascii="Calibri" w:cs="Calibri" w:eastAsia="Calibri" w:hAnsi="Calibri"/>
          <w:sz w:val="22"/>
          <w:szCs w:val="22"/>
        </w:rPr>
        <w:t xml:space="preserve">pago-service (modelo, DTOs, controller, service, repository, cliente REST a Reserva Service, configuración de seguridad y Swagger, Dockerfile).</w:t>
      </w:r>
    </w:p>
    <w:p>
      <w:pPr>
        <w:pStyle w:val="Heading2"/>
        <w:spacing w:after="120" w:before="220"/>
      </w:pPr>
      <w:r>
        <w:rPr>
          <w:rFonts w:ascii="Calibri" w:cs="Calibri" w:eastAsia="Calibri" w:hAnsi="Calibri"/>
          <w:b/>
          <w:bCs/>
          <w:color w:val="2E5395"/>
          <w:sz w:val="24"/>
          <w:szCs w:val="24"/>
        </w:rPr>
        <w:t xml:space="preserve">5.1 Pruebas realizadas</w:t>
      </w:r>
    </w:p>
    <w:p>
      <w:pPr>
        <w:spacing w:after="160" w:line="276"/>
        <w:jc w:val="both"/>
      </w:pPr>
      <w:r>
        <w:rPr>
          <w:rFonts w:ascii="Calibri" w:cs="Calibri" w:eastAsia="Calibri" w:hAnsi="Calibri"/>
          <w:sz w:val="22"/>
          <w:szCs w:val="22"/>
        </w:rPr>
        <w:t xml:space="preserve">La validación de estos tres servicios la hice principalmente probando los endpoints a través de Swagger/OpenAPI y verificando manualmente los distintos escenarios de negocio: creación exitosa, rechazo por datos inválidos, rechazo por dependencias inexistentes (recinto sin dueño válido, precio sin cancha válida, pago sin reserva válida) y rechazo por reglas de unicidad (recinto duplicado, cancha con precio activo, reserva con pago ya pagado).</w:t>
      </w:r>
    </w:p>
    <w:p>
      <w:pPr>
        <w:spacing w:after="160" w:line="276"/>
        <w:jc w:val="both"/>
      </w:pPr>
      <w:r>
        <w:rPr>
          <w:rFonts w:ascii="Calibri" w:cs="Calibri" w:eastAsia="Calibri" w:hAnsi="Calibri"/>
          <w:sz w:val="22"/>
          <w:szCs w:val="22"/>
        </w:rPr>
        <w:t xml:space="preserve">A diferencia de Cancha Service, Horario Service, Reserva Service y User Service, que sí cuentan con pruebas unitarias de servicio (JUnit 5 + Mockito), en Recinto, Precio y Pago Service actualmente solo existe la prueba de carga de contexto (contextLoads) generada por defecto por Spring Boot, sin pruebas unitarias de la lógica de negocio. Lo dejo indicado explícitamente porque la pauta de la EFT evalúa en la defensa individual la capacidad de explicar e integrar pruebas unitarias en tiempo acotado (IE 3.1.2), así que antes de la defensa conviene tener claro este punto y, si el tiempo lo permite, preparar al menos un caso de prueba de ejemplo con mocks para uno de estos tres servicios.</w:t>
      </w:r>
    </w:p>
    <w:p>
      <w:pPr>
        <w:pStyle w:val="Heading1"/>
        <w:spacing w:after="150" w:before="300"/>
      </w:pPr>
      <w:r>
        <w:rPr>
          <w:rFonts w:ascii="Calibri" w:cs="Calibri" w:eastAsia="Calibri" w:hAnsi="Calibri"/>
          <w:b/>
          <w:bCs/>
          <w:color w:val="1F3864"/>
          <w:sz w:val="28"/>
          <w:szCs w:val="28"/>
        </w:rPr>
        <w:t xml:space="preserve">6. Aprendizajes</w:t>
      </w:r>
    </w:p>
    <w:p>
      <w:pPr>
        <w:spacing w:after="160" w:line="276"/>
        <w:jc w:val="both"/>
      </w:pPr>
      <w:r>
        <w:rPr>
          <w:rFonts w:ascii="Calibri" w:cs="Calibri" w:eastAsia="Calibri" w:hAnsi="Calibri"/>
          <w:sz w:val="22"/>
          <w:szCs w:val="22"/>
        </w:rPr>
        <w:t xml:space="preserve">Trabajar en Recinto, Precio y Pago Service me permitió entender en profundidad cómo diseñar reglas de negocio que dependen de otro microservicio (por ejemplo, no poder crear un precio si la cancha no existe, o no poder pagar una reserva que no existe), y cómo separar esa validación de dependencia externa de las validaciones propias del servicio.</w:t>
      </w:r>
    </w:p>
    <w:p>
      <w:pPr>
        <w:spacing w:after="160" w:line="276"/>
        <w:jc w:val="both"/>
      </w:pPr>
      <w:r>
        <w:rPr>
          <w:rFonts w:ascii="Calibri" w:cs="Calibri" w:eastAsia="Calibri" w:hAnsi="Calibri"/>
          <w:sz w:val="22"/>
          <w:szCs w:val="22"/>
        </w:rPr>
        <w:t xml:space="preserve">También me quedó claro el valor de las bajas lógicas (cambiar un estado en vez de borrar el registro) para mantener la trazabilidad de los datos, y la importancia de centralizar el manejo de errores para que todos los microservicios respondan de forma consistente ante los mismos tipos de problema.</w:t>
      </w:r>
    </w:p>
    <w:p>
      <w:pPr>
        <w:pStyle w:val="Heading1"/>
        <w:spacing w:after="150" w:before="300"/>
      </w:pPr>
      <w:r>
        <w:rPr>
          <w:rFonts w:ascii="Calibri" w:cs="Calibri" w:eastAsia="Calibri" w:hAnsi="Calibri"/>
          <w:b/>
          <w:bCs/>
          <w:color w:val="1F3864"/>
          <w:sz w:val="28"/>
          <w:szCs w:val="28"/>
        </w:rPr>
        <w:t xml:space="preserve">7. Conclusión</w:t>
      </w:r>
    </w:p>
    <w:p>
      <w:pPr>
        <w:spacing w:after="160" w:line="276"/>
        <w:jc w:val="both"/>
      </w:pPr>
      <w:r>
        <w:rPr>
          <w:rFonts w:ascii="Calibri" w:cs="Calibri" w:eastAsia="Calibri" w:hAnsi="Calibri"/>
          <w:sz w:val="22"/>
          <w:szCs w:val="22"/>
        </w:rPr>
        <w:t xml:space="preserve">El desarrollo de Recinto Service, Precio Service y Pago Service me permitió trabajar un tramo completo del flujo de negocio del sistema, desde la base (el recinto) hasta el cierre de una reserva (el pago), pasando por la definición del precio. Los tres servicios quedaron operativos, documentados con Swagger, comunicados correctamente con el resto de la arquitectura a través de Eureka, y preparados para ejecutarse tanto en Docker local como en el despliegue remoto del proyecto. El punto pendiente más importante de cara a la defensa es reforzar las pruebas unitarias de estos tres servicios.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2026-07-13T15:46:36.631Z</dcterms:created>
  <dcterms:modified xsi:type="dcterms:W3CDTF">2026-07-13T15:46:36.652Z</dcterms:modified>
</cp:coreProperties>
</file>

<file path=docProps/custom.xml><?xml version="1.0" encoding="utf-8"?>
<Properties xmlns="http://schemas.openxmlformats.org/officeDocument/2006/custom-properties" xmlns:vt="http://schemas.openxmlformats.org/officeDocument/2006/docPropsVTypes"/>
</file>