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6838" w:hRule="exact"/>
        </w:trPr>
        <w:tc>
          <w:tcPr>
            <w:tcBorders>
              <w:top w:val="none" w:color="FFFFFF" w:sz="0"/>
              <w:left w:val="none" w:color="FFFFFF" w:sz="0"/>
              <w:bottom w:val="none" w:color="FFFFFF" w:sz="0"/>
              <w:right w:val="none" w:color="FFFFFF" w:sz="0"/>
            </w:tcBorders>
            <w:shd w:fill="FEFEFE" w:val="clear"/>
          </w:tcPr>
          <w:p>
            <w:pPr>
              <w:pBdr>
                <w:top w:val="single" w:color="FF862F" w:sz="18" w:space="20"/>
              </w:pBdr>
              <w:spacing w:after="200" w:before="1200"/>
              <w:ind w:left="1000" w:right="1000"/>
            </w:pPr>
          </w:p>
          <w:p>
            <w:pPr>
              <w:spacing w:before="1800"/>
            </w:pPr>
          </w:p>
          <w:p>
            <w:pPr>
              <w:spacing w:after="500"/>
              <w:jc w:val="center"/>
            </w:pPr>
            <w:r>
              <w:rPr>
                <w:rFonts w:ascii="Calibri"/>
                <w:color w:val="FF862F"/>
                <w:spacing w:val="40"/>
                <w:sz w:val="18"/>
                <w:szCs w:val="18"/>
              </w:rPr>
              <w:t xml:space="preserve">S A L E S   P O I N T   R A W A L P I N D I</w:t>
            </w:r>
          </w:p>
          <w:p>
            <w:pPr>
              <w:spacing w:after="300" w:line="920" w:lineRule="atLeast"/>
              <w:jc w:val="center"/>
            </w:pPr>
            <w:r>
              <w:rPr>
                <w:rFonts w:ascii="Arial" w:eastAsia="SimHei"/>
                <w:b/>
                <w:bCs/>
                <w:color w:val="1284BA"/>
                <w:sz w:val="80"/>
                <w:szCs w:val="80"/>
              </w:rPr>
              <w:t xml:space="preserve">SP RWP CRM</w:t>
            </w:r>
          </w:p>
          <w:p>
            <w:pPr>
              <w:spacing w:after="400"/>
              <w:jc w:val="center"/>
            </w:pPr>
            <w:r>
              <w:rPr>
                <w:rFonts w:ascii="Arial" w:eastAsia="Calibri"/>
                <w:color w:val="606060"/>
                <w:sz w:val="24"/>
                <w:szCs w:val="24"/>
              </w:rPr>
              <w:t xml:space="preserve">Next-Generation Sales &amp; Customer Relationship Platform</w:t>
            </w:r>
          </w:p>
          <w:p>
            <w:pPr>
              <w:spacing w:before="1200"/>
            </w:pPr>
          </w:p>
          <w:p>
            <w:pPr>
              <w:spacing w:after="100" w:line="414" w:lineRule="atLeast"/>
              <w:jc w:val="center"/>
            </w:pPr>
            <w:r>
              <w:rPr>
                <w:rFonts w:ascii="Arial" w:eastAsia="Calibri"/>
                <w:color w:val="707070"/>
                <w:sz w:val="36"/>
                <w:szCs w:val="36"/>
              </w:rPr>
              <w:t xml:space="preserve">Product Overview &amp; Capability Statement</w:t>
            </w:r>
          </w:p>
          <w:p>
            <w:pPr>
              <w:spacing w:after="100" w:line="414" w:lineRule="atLeast"/>
              <w:jc w:val="center"/>
            </w:pPr>
            <w:r>
              <w:rPr>
                <w:rFonts w:ascii="Arial" w:eastAsia="Calibri"/>
                <w:color w:val="707070"/>
                <w:sz w:val="36"/>
                <w:szCs w:val="36"/>
              </w:rPr>
              <w:t xml:space="preserve">Confidential</w:t>
            </w:r>
          </w:p>
          <w:p>
            <w:pPr>
              <w:spacing w:before="2000"/>
            </w:pPr>
          </w:p>
          <w:p>
            <w:pPr>
              <w:pBdr>
                <w:bottom w:val="single" w:color="FF862F" w:sz="18" w:space="20"/>
              </w:pBdr>
              <w:spacing w:before="200"/>
              <w:ind w:left="1000" w:right="1000"/>
              <w:jc w:val="center"/>
            </w:pPr>
            <w:r>
              <w:rPr>
                <w:rFonts w:ascii="Arial"/>
                <w:color w:val="A0A0A0"/>
                <w:sz w:val="18"/>
                <w:szCs w:val="18"/>
              </w:rPr>
              <w:t xml:space="preserve">2025</w:t>
            </w:r>
          </w:p>
        </w:tc>
      </w:tr>
    </w:tbl>
    <w:p>
      <w:pPr>
        <w:sectPr>
          <w:pgSz w:w="11906" w:h="16838" w:orient="portrait"/>
          <w:pgMar w:top="0" w:right="0" w:bottom="0" w:left="0" w:header="708" w:footer="708" w:gutter="0"/>
          <w:pgNumType/>
          <w:docGrid w:linePitch="360"/>
        </w:sectPr>
      </w:pPr>
    </w:p>
    <w:p>
      <w:pPr>
        <w:pStyle w:val="Heading1"/>
        <w:spacing w:after="160" w:before="360" w:line="312"/>
      </w:pPr>
      <w:r>
        <w:rPr>
          <w:rFonts w:ascii="Times New Roman" w:eastAsia="SimHei"/>
          <w:b/>
          <w:bCs/>
          <w:color w:val="1284BA"/>
          <w:sz w:val="32"/>
          <w:szCs w:val="32"/>
        </w:rPr>
        <w:t xml:space="preserve">Platform Overview</w:t>
      </w:r>
    </w:p>
    <w:p>
      <w:pPr>
        <w:spacing w:after="120" w:line="312"/>
        <w:jc w:val="both"/>
      </w:pPr>
      <w:r>
        <w:rPr>
          <w:rFonts w:ascii="Times New Roman" w:eastAsia="Calibri"/>
          <w:color w:val="1A1A1A"/>
          <w:sz w:val="22"/>
          <w:szCs w:val="22"/>
        </w:rPr>
        <w:t xml:space="preserve">SP RWP CRM is a purpose-built sales and customer relationship management platform designed specifically for the real estate industry. Developed for Sales Point Rawalpindi, one of the leading real estate marketing firms in Pakistan, this system addresses the unique challenges of property sales operations, lead management, and customer engagement in a fast-paced market where every minute of response time directly impacts revenue.</w:t>
      </w:r>
    </w:p>
    <w:p>
      <w:pPr>
        <w:spacing w:after="120" w:line="312"/>
        <w:jc w:val="both"/>
      </w:pPr>
      <w:r>
        <w:rPr>
          <w:rFonts w:ascii="Times New Roman" w:eastAsia="Calibri"/>
          <w:color w:val="1A1A1A"/>
          <w:sz w:val="22"/>
          <w:szCs w:val="22"/>
        </w:rPr>
        <w:t xml:space="preserve">Unlike generic CRM solutions that attempt to serve every industry, SP RWP CRM was designed from the ground up with a deep understanding of how real estate sales teams actually work. Every feature, every workflow, and every automation has been built around real-world sales processes, from the moment a potential buyer sends their first WhatsApp message to the final follow-up after a site visit. The platform eliminates the friction that sales teams typically face when forced to adapt off-the-shelf tools to industry-specific workflows.</w:t>
      </w:r>
    </w:p>
    <w:p>
      <w:pPr>
        <w:spacing w:after="120" w:line="312"/>
        <w:jc w:val="both"/>
      </w:pPr>
      <w:r>
        <w:rPr>
          <w:rFonts w:ascii="Times New Roman" w:eastAsia="Calibri"/>
          <w:color w:val="1A1A1A"/>
          <w:sz w:val="22"/>
          <w:szCs w:val="22"/>
        </w:rPr>
        <w:t xml:space="preserve">At its core, the platform serves three critical business functions: capturing and scoring incoming leads from multiple channels, automating customer responses and follow-ups through intelligent workflows, and providing management with real-time visibility into team performance and pipeline health. These three pillars work together seamlessly, creating a unified system where data flows naturally between marketing, sales, and management without manual intervention or data silos.</w:t>
      </w:r>
    </w:p>
    <w:p>
      <w:pPr>
        <w:pBdr>
          <w:bottom w:val="single" w:color="FF862F" w:sz="4" w:space="8"/>
        </w:pBdr>
        <w:spacing w:after="200" w:before="200"/>
        <w:ind w:left="0" w:right="0"/>
      </w:pPr>
    </w:p>
    <w:p>
      <w:pPr>
        <w:pStyle w:val="Heading1"/>
        <w:spacing w:after="160" w:before="360" w:line="312"/>
      </w:pPr>
      <w:r>
        <w:rPr>
          <w:rFonts w:ascii="Times New Roman" w:eastAsia="SimHei"/>
          <w:b/>
          <w:bCs/>
          <w:color w:val="1284BA"/>
          <w:sz w:val="32"/>
          <w:szCs w:val="32"/>
        </w:rPr>
        <w:t xml:space="preserve">The Problem We Solve</w:t>
      </w:r>
    </w:p>
    <w:p>
      <w:pPr>
        <w:spacing w:after="120" w:line="312"/>
        <w:jc w:val="both"/>
      </w:pPr>
      <w:r>
        <w:rPr>
          <w:rFonts w:ascii="Times New Roman" w:eastAsia="Calibri"/>
          <w:color w:val="1A1A1A"/>
          <w:sz w:val="22"/>
          <w:szCs w:val="22"/>
        </w:rPr>
        <w:t xml:space="preserve">Real estate sales teams in Pakistan operate in an environment that presents challenges fundamentally different from other industries. Buyers reach out through multiple channels simultaneously, including WhatsApp, Facebook Messenger, Instagram, phone calls, and email, often expecting an immediate response. A study by the National Association of Realtors found that 78% of home buyers expect a response within the first hour of inquiry, yet the average response time in the industry exceeds four hours. In a competitive market like Rawalpindi and Islamabad, a delayed response often means a lost deal to a competitor.</w:t>
      </w:r>
    </w:p>
    <w:p>
      <w:pPr>
        <w:spacing w:after="120" w:line="312"/>
        <w:jc w:val="both"/>
      </w:pPr>
      <w:r>
        <w:rPr>
          <w:rFonts w:ascii="Times New Roman" w:eastAsia="Calibri"/>
          <w:color w:val="1A1A1A"/>
          <w:sz w:val="22"/>
          <w:szCs w:val="22"/>
        </w:rPr>
        <w:t xml:space="preserve">Traditional CRM platforms were built for B2B sales cycles with long deliberation periods. They rely on forms, email sequences, and structured pipeline stages that do not reflect how property buyers actually behave. A potential buyer might send a WhatsApp message asking about a 5-marla plot in Bahria Town, follow up with a call, then visit the office in person, all within a single afternoon. Most CRMs struggle to maintain context across these touchpoints, forcing sales representatives to manually piece together customer histories from scattered notes and chat threads.</w:t>
      </w:r>
    </w:p>
    <w:p>
      <w:pPr>
        <w:spacing w:after="120" w:line="312"/>
        <w:jc w:val="both"/>
      </w:pPr>
      <w:r>
        <w:rPr>
          <w:rFonts w:ascii="Times New Roman" w:eastAsia="Calibri"/>
          <w:color w:val="1A1A1A"/>
          <w:sz w:val="22"/>
          <w:szCs w:val="22"/>
        </w:rPr>
        <w:t xml:space="preserve">Furthermore, team management in real estate agencies presents its own set of challenges. Sales managers need to monitor which leads are being followed up, which team members are converting, and where bottlenecks exist in the pipeline, without micromanaging every interaction. Without a centralized system, this visibility is nearly impossible, leading to lost leads, inconsistent customer experiences, and revenue that slips through the cracks unnoticed.</w:t>
      </w:r>
    </w:p>
    <w:p>
      <w:pPr>
        <w:pBdr>
          <w:bottom w:val="single" w:color="FF862F" w:sz="4" w:space="8"/>
        </w:pBdr>
        <w:spacing w:after="200" w:before="200"/>
        <w:ind w:left="0" w:right="0"/>
      </w:pPr>
    </w:p>
    <w:p>
      <w:pPr>
        <w:pStyle w:val="Heading1"/>
        <w:spacing w:after="160" w:before="360" w:line="312"/>
      </w:pPr>
      <w:r>
        <w:rPr>
          <w:rFonts w:ascii="Times New Roman" w:eastAsia="SimHei"/>
          <w:b/>
          <w:bCs/>
          <w:color w:val="1284BA"/>
          <w:sz w:val="32"/>
          <w:szCs w:val="32"/>
        </w:rPr>
        <w:t xml:space="preserve">Key Capabilities</w:t>
      </w:r>
    </w:p>
    <w:p>
      <w:pPr>
        <w:pStyle w:val="Heading2"/>
        <w:spacing w:after="120" w:before="280" w:line="312"/>
      </w:pPr>
      <w:r>
        <w:rPr>
          <w:rFonts w:ascii="Times New Roman" w:eastAsia="SimHei"/>
          <w:b/>
          <w:bCs/>
          <w:color w:val="1284BA"/>
          <w:sz w:val="26"/>
          <w:szCs w:val="26"/>
        </w:rPr>
        <w:t xml:space="preserve">Unified Communication Hub</w:t>
      </w:r>
    </w:p>
    <w:p>
      <w:pPr>
        <w:spacing w:after="120" w:line="312"/>
        <w:jc w:val="both"/>
      </w:pPr>
      <w:r>
        <w:rPr>
          <w:rFonts w:ascii="Times New Roman" w:eastAsia="Calibri"/>
          <w:color w:val="1A1A1A"/>
          <w:sz w:val="22"/>
          <w:szCs w:val="22"/>
        </w:rPr>
        <w:t xml:space="preserve">The platform aggregates all customer conversations into a single, unified inbox. Whether a lead sends a WhatsApp message, comments on a Facebook post, sends a direct message on Instagram, or writes an email, the entire conversation history is available in one place. Sales representatives no longer need to switch between multiple apps and platforms to track their conversations. Every interaction is automatically logged, timestamped, and associated with the correct customer record, creating a complete communication timeline that provides full context at a glance.</w:t>
      </w:r>
    </w:p>
    <w:p>
      <w:pPr>
        <w:pStyle w:val="Heading2"/>
        <w:spacing w:after="120" w:before="280" w:line="312"/>
      </w:pPr>
      <w:r>
        <w:rPr>
          <w:rFonts w:ascii="Times New Roman" w:eastAsia="SimHei"/>
          <w:b/>
          <w:bCs/>
          <w:color w:val="1284BA"/>
          <w:sz w:val="26"/>
          <w:szCs w:val="26"/>
        </w:rPr>
        <w:t xml:space="preserve">Intelligent Lead Management</w:t>
      </w:r>
    </w:p>
    <w:p>
      <w:pPr>
        <w:spacing w:after="120" w:line="312"/>
        <w:jc w:val="both"/>
      </w:pPr>
      <w:r>
        <w:rPr>
          <w:rFonts w:ascii="Times New Roman" w:eastAsia="Calibri"/>
          <w:color w:val="1A1A1A"/>
          <w:sz w:val="22"/>
          <w:szCs w:val="22"/>
        </w:rPr>
        <w:t xml:space="preserve">Every incoming lead is automatically captured, categorized, and scored based on multiple factors including the source of inquiry, the specific property type or project of interest, the urgency expressed in their messages, and their engagement history. This scoring system helps sales teams prioritize their efforts, ensuring that high-intent buyers receive immediate attention while nurturing leads that require longer cultivation. The lead pipeline provides a visual representation of every opportunity at each stage, from initial inquiry through qualification, site visit, negotiation, and closure.</w:t>
      </w:r>
    </w:p>
    <w:p>
      <w:pPr>
        <w:pStyle w:val="Heading2"/>
        <w:spacing w:after="120" w:before="280" w:line="312"/>
      </w:pPr>
      <w:r>
        <w:rPr>
          <w:rFonts w:ascii="Times New Roman" w:eastAsia="SimHei"/>
          <w:b/>
          <w:bCs/>
          <w:color w:val="1284BA"/>
          <w:sz w:val="26"/>
          <w:szCs w:val="26"/>
        </w:rPr>
        <w:t xml:space="preserve">Automated Workflows</w:t>
      </w:r>
    </w:p>
    <w:p>
      <w:pPr>
        <w:spacing w:after="120" w:line="312"/>
        <w:jc w:val="both"/>
      </w:pPr>
      <w:r>
        <w:rPr>
          <w:rFonts w:ascii="Times New Roman" w:eastAsia="Calibri"/>
          <w:color w:val="1A1A1A"/>
          <w:sz w:val="22"/>
          <w:szCs w:val="22"/>
        </w:rPr>
        <w:t xml:space="preserve">The platform includes a powerful workflow automation engine that eliminates repetitive tasks and ensures no lead falls through the cracks. When a new lead enters the system, automated sequences can trigger welcome messages, schedule follow-up reminders, escalate high-priority inquiries to senior team members, and send notifications when leads go cold. These workflows are fully customizable, allowing management to define rules that match their specific sales process. Status changes, task assignments, and customer interactions all serve as potential triggers for automated actions, creating a self-regulating system that maintains momentum even during busy periods.</w:t>
      </w:r>
    </w:p>
    <w:p>
      <w:pPr>
        <w:pStyle w:val="Heading2"/>
        <w:spacing w:after="120" w:before="280" w:line="312"/>
      </w:pPr>
      <w:r>
        <w:rPr>
          <w:rFonts w:ascii="Times New Roman" w:eastAsia="SimHei"/>
          <w:b/>
          <w:bCs/>
          <w:color w:val="1284BA"/>
          <w:sz w:val="26"/>
          <w:szCs w:val="26"/>
        </w:rPr>
        <w:t xml:space="preserve">Team Performance Dashboard</w:t>
      </w:r>
    </w:p>
    <w:p>
      <w:pPr>
        <w:spacing w:after="120" w:line="312"/>
        <w:jc w:val="both"/>
      </w:pPr>
      <w:r>
        <w:rPr>
          <w:rFonts w:ascii="Times New Roman" w:eastAsia="Calibri"/>
          <w:color w:val="1A1A1A"/>
          <w:sz w:val="22"/>
          <w:szCs w:val="22"/>
        </w:rPr>
        <w:t xml:space="preserve">Management has access to real-time analytics covering every aspect of sales team performance. From conversion rates and average response times to individual representative activity levels and pipeline velocity, every metric that matters is available through intuitive dashboards. These insights enable data-driven decision-making, helping managers identify top performers, coach underperformers, and allocate resources effectively. The reporting system tracks trends over time, allowing leadership to spot emerging patterns and adjust strategy proactively rather than reactively.</w:t>
      </w:r>
    </w:p>
    <w:p>
      <w:pPr>
        <w:pStyle w:val="Heading2"/>
        <w:spacing w:after="120" w:before="280" w:line="312"/>
      </w:pPr>
      <w:r>
        <w:rPr>
          <w:rFonts w:ascii="Times New Roman" w:eastAsia="SimHei"/>
          <w:b/>
          <w:bCs/>
          <w:color w:val="1284BA"/>
          <w:sz w:val="26"/>
          <w:szCs w:val="26"/>
        </w:rPr>
        <w:t xml:space="preserve">AI-Powered Customer Intelligence</w:t>
      </w:r>
    </w:p>
    <w:p>
      <w:pPr>
        <w:spacing w:after="120" w:line="312"/>
        <w:jc w:val="both"/>
      </w:pPr>
      <w:r>
        <w:rPr>
          <w:rFonts w:ascii="Times New Roman" w:eastAsia="Calibri"/>
          <w:color w:val="1A1A1A"/>
          <w:sz w:val="22"/>
          <w:szCs w:val="22"/>
        </w:rPr>
        <w:t xml:space="preserve">The platform incorporates artificial intelligence to enhance every aspect of the sales process. AI-driven analysis identifies patterns in customer behavior, predicts which leads are most likely to convert, suggests the optimal timing for follow-ups, and provides personalized response recommendations based on historical data. This intelligence layer learns continuously from actual sales interactions, becoming more accurate and valuable over time. The AI operates as a supportive assistant to the sales team, augmenting human expertise with data-driven insights rather than replacing the personal touch that is critical in real estate transactions.</w:t>
      </w:r>
    </w:p>
    <w:p>
      <w:pPr>
        <w:pBdr>
          <w:bottom w:val="single" w:color="FF862F" w:sz="4" w:space="8"/>
        </w:pBdr>
        <w:spacing w:after="200" w:before="200"/>
        <w:ind w:left="0" w:right="0"/>
      </w:pPr>
    </w:p>
    <w:p>
      <w:pPr>
        <w:pStyle w:val="Heading1"/>
        <w:spacing w:after="160" w:before="360" w:line="312"/>
      </w:pPr>
      <w:r>
        <w:rPr>
          <w:rFonts w:ascii="Times New Roman" w:eastAsia="SimHei"/>
          <w:b/>
          <w:bCs/>
          <w:color w:val="1284BA"/>
          <w:sz w:val="32"/>
          <w:szCs w:val="32"/>
        </w:rPr>
        <w:t xml:space="preserve">What Sets SP RWP Apart</w:t>
      </w:r>
    </w:p>
    <w:p>
      <w:pPr>
        <w:spacing w:after="120" w:line="312"/>
        <w:jc w:val="both"/>
      </w:pPr>
      <w:r>
        <w:rPr>
          <w:rFonts w:ascii="Times New Roman" w:eastAsia="Calibri"/>
          <w:color w:val="1A1A1A"/>
          <w:sz w:val="22"/>
          <w:szCs w:val="22"/>
        </w:rPr>
        <w:t xml:space="preserve">The CRM market is crowded with solutions ranging from enterprise platforms costing thousands of dollars per month to free tools that lack the depth needed for serious sales operations. SP RWP CRM occupies a unique position in this landscape, offering capabilities that are typically found only in expensive enterprise systems while remaining practical and affordable for growing real estate organizations.</w:t>
      </w:r>
    </w:p>
    <w:p>
      <w:pPr>
        <w:keepNext/>
        <w:spacing w:after="100" w:before="200"/>
      </w:pPr>
      <w:r>
        <w:rPr>
          <w:rFonts w:ascii="Times New Roman" w:eastAsia="Calibri"/>
          <w:b/>
          <w:bCs/>
          <w:color w:val="505050"/>
          <w:sz w:val="21"/>
          <w:szCs w:val="21"/>
        </w:rPr>
        <w:t xml:space="preserve">Table 1: Feature Comparison with Generic CRM Solutions</w:t>
      </w:r>
    </w:p>
    <w:tbl>
      <w:tblPr>
        <w:tblW w:type="pct" w:w="100%"/>
        <w:tblBorders>
          <w:top w:val="single" w:color="1284BA" w:sz="2"/>
          <w:left w:val="none"/>
          <w:bottom w:val="single" w:color="1284BA" w:sz="2"/>
          <w:right w:val="none"/>
          <w:insideH w:val="single" w:color="D8E4EC" w:sz="1"/>
          <w:insideV w:val="none"/>
        </w:tblBorders>
      </w:tblPr>
      <w:tblGrid>
        <w:gridCol w:w="100"/>
        <w:gridCol w:w="100"/>
        <w:gridCol w:w="100"/>
      </w:tblGrid>
      <w:tr>
        <w:trPr>
          <w:cantSplit/>
          <w:tblHeader/>
        </w:trPr>
        <w:tc>
          <w:tcPr>
            <w:shd w:fill="1284BA" w:val="clear"/>
            <w:tcMar>
              <w:top w:type="dxa" w:w="60"/>
              <w:left w:type="dxa" w:w="120"/>
              <w:bottom w:type="dxa" w:w="60"/>
              <w:right w:type="dxa" w:w="120"/>
            </w:tcMar>
          </w:tcPr>
          <w:p>
            <w:r>
              <w:rPr>
                <w:b/>
                <w:bCs/>
                <w:color w:val="FFFFFF"/>
                <w:sz w:val="21"/>
                <w:szCs w:val="21"/>
              </w:rPr>
              <w:t xml:space="preserve">Capability</w:t>
            </w:r>
          </w:p>
        </w:tc>
        <w:tc>
          <w:tcPr>
            <w:shd w:fill="1284BA" w:val="clear"/>
            <w:tcMar>
              <w:top w:type="dxa" w:w="60"/>
              <w:left w:type="dxa" w:w="120"/>
              <w:bottom w:type="dxa" w:w="60"/>
              <w:right w:type="dxa" w:w="120"/>
            </w:tcMar>
          </w:tcPr>
          <w:p>
            <w:r>
              <w:rPr>
                <w:b/>
                <w:bCs/>
                <w:color w:val="FFFFFF"/>
                <w:sz w:val="21"/>
                <w:szCs w:val="21"/>
              </w:rPr>
              <w:t xml:space="preserve">Generic CRM</w:t>
            </w:r>
          </w:p>
        </w:tc>
        <w:tc>
          <w:tcPr>
            <w:shd w:fill="1284BA" w:val="clear"/>
            <w:tcMar>
              <w:top w:type="dxa" w:w="60"/>
              <w:left w:type="dxa" w:w="120"/>
              <w:bottom w:type="dxa" w:w="60"/>
              <w:right w:type="dxa" w:w="120"/>
            </w:tcMar>
          </w:tcPr>
          <w:p>
            <w:r>
              <w:rPr>
                <w:b/>
                <w:bCs/>
                <w:color w:val="FFFFFF"/>
                <w:sz w:val="21"/>
                <w:szCs w:val="21"/>
              </w:rPr>
              <w:t xml:space="preserve">SP RWP CRM</w:t>
            </w:r>
          </w:p>
        </w:tc>
      </w:tr>
      <w:tr>
        <w:trPr>
          <w:cantSplit/>
        </w:trPr>
        <w:tc>
          <w:tcPr>
            <w:shd w:fill="EDF4F9" w:val="clear"/>
            <w:tcMar>
              <w:top w:type="dxa" w:w="60"/>
              <w:left w:type="dxa" w:w="120"/>
              <w:bottom w:type="dxa" w:w="60"/>
              <w:right w:type="dxa" w:w="120"/>
            </w:tcMar>
          </w:tcPr>
          <w:p>
            <w:r>
              <w:rPr>
                <w:color w:val="1A1A1A"/>
                <w:sz w:val="21"/>
                <w:szCs w:val="21"/>
              </w:rPr>
              <w:t xml:space="preserve">Industry Focus</w:t>
            </w:r>
          </w:p>
        </w:tc>
        <w:tc>
          <w:tcPr>
            <w:shd w:fill="EDF4F9" w:val="clear"/>
            <w:tcMar>
              <w:top w:type="dxa" w:w="60"/>
              <w:left w:type="dxa" w:w="120"/>
              <w:bottom w:type="dxa" w:w="60"/>
              <w:right w:type="dxa" w:w="120"/>
            </w:tcMar>
          </w:tcPr>
          <w:p>
            <w:r>
              <w:rPr>
                <w:color w:val="1A1A1A"/>
                <w:sz w:val="21"/>
                <w:szCs w:val="21"/>
              </w:rPr>
              <w:t xml:space="preserve">One-size-fits-all approach</w:t>
            </w:r>
          </w:p>
        </w:tc>
        <w:tc>
          <w:tcPr>
            <w:shd w:fill="EDF4F9" w:val="clear"/>
            <w:tcMar>
              <w:top w:type="dxa" w:w="60"/>
              <w:left w:type="dxa" w:w="120"/>
              <w:bottom w:type="dxa" w:w="60"/>
              <w:right w:type="dxa" w:w="120"/>
            </w:tcMar>
          </w:tcPr>
          <w:p>
            <w:r>
              <w:rPr>
                <w:color w:val="1A1A1A"/>
                <w:sz w:val="21"/>
                <w:szCs w:val="21"/>
              </w:rPr>
              <w:t xml:space="preserve">Purpose-built for real estate</w:t>
            </w:r>
          </w:p>
        </w:tc>
      </w:tr>
      <w:tr>
        <w:trPr>
          <w:cantSplit/>
        </w:trPr>
        <w:tc>
          <w:tcPr>
            <w:shd w:fill="FFFFFF" w:val="clear"/>
            <w:tcMar>
              <w:top w:type="dxa" w:w="60"/>
              <w:left w:type="dxa" w:w="120"/>
              <w:bottom w:type="dxa" w:w="60"/>
              <w:right w:type="dxa" w:w="120"/>
            </w:tcMar>
          </w:tcPr>
          <w:p>
            <w:r>
              <w:rPr>
                <w:color w:val="1A1A1A"/>
                <w:sz w:val="21"/>
                <w:szCs w:val="21"/>
              </w:rPr>
              <w:t xml:space="preserve">WhatsApp Integration</w:t>
            </w:r>
          </w:p>
        </w:tc>
        <w:tc>
          <w:tcPr>
            <w:shd w:fill="FFFFFF" w:val="clear"/>
            <w:tcMar>
              <w:top w:type="dxa" w:w="60"/>
              <w:left w:type="dxa" w:w="120"/>
              <w:bottom w:type="dxa" w:w="60"/>
              <w:right w:type="dxa" w:w="120"/>
            </w:tcMar>
          </w:tcPr>
          <w:p>
            <w:r>
              <w:rPr>
                <w:color w:val="1A1A1A"/>
                <w:sz w:val="21"/>
                <w:szCs w:val="21"/>
              </w:rPr>
              <w:t xml:space="preserve">Third-party add-ons, often unreliable</w:t>
            </w:r>
          </w:p>
        </w:tc>
        <w:tc>
          <w:tcPr>
            <w:shd w:fill="FFFFFF" w:val="clear"/>
            <w:tcMar>
              <w:top w:type="dxa" w:w="60"/>
              <w:left w:type="dxa" w:w="120"/>
              <w:bottom w:type="dxa" w:w="60"/>
              <w:right w:type="dxa" w:w="120"/>
            </w:tcMar>
          </w:tcPr>
          <w:p>
            <w:r>
              <w:rPr>
                <w:color w:val="1A1A1A"/>
                <w:sz w:val="21"/>
                <w:szCs w:val="21"/>
              </w:rPr>
              <w:t xml:space="preserve">Native deep integration with Meta Cloud API</w:t>
            </w:r>
          </w:p>
        </w:tc>
      </w:tr>
      <w:tr>
        <w:trPr>
          <w:cantSplit/>
        </w:trPr>
        <w:tc>
          <w:tcPr>
            <w:shd w:fill="EDF4F9" w:val="clear"/>
            <w:tcMar>
              <w:top w:type="dxa" w:w="60"/>
              <w:left w:type="dxa" w:w="120"/>
              <w:bottom w:type="dxa" w:w="60"/>
              <w:right w:type="dxa" w:w="120"/>
            </w:tcMar>
          </w:tcPr>
          <w:p>
            <w:r>
              <w:rPr>
                <w:color w:val="1A1A1A"/>
                <w:sz w:val="21"/>
                <w:szCs w:val="21"/>
              </w:rPr>
              <w:t xml:space="preserve">Multi-Channel Inbox</w:t>
            </w:r>
          </w:p>
        </w:tc>
        <w:tc>
          <w:tcPr>
            <w:shd w:fill="EDF4F9" w:val="clear"/>
            <w:tcMar>
              <w:top w:type="dxa" w:w="60"/>
              <w:left w:type="dxa" w:w="120"/>
              <w:bottom w:type="dxa" w:w="60"/>
              <w:right w:type="dxa" w:w="120"/>
            </w:tcMar>
          </w:tcPr>
          <w:p>
            <w:r>
              <w:rPr>
                <w:color w:val="1A1A1A"/>
                <w:sz w:val="21"/>
                <w:szCs w:val="21"/>
              </w:rPr>
              <w:t xml:space="preserve">Separate tools per channel</w:t>
            </w:r>
          </w:p>
        </w:tc>
        <w:tc>
          <w:tcPr>
            <w:shd w:fill="EDF4F9" w:val="clear"/>
            <w:tcMar>
              <w:top w:type="dxa" w:w="60"/>
              <w:left w:type="dxa" w:w="120"/>
              <w:bottom w:type="dxa" w:w="60"/>
              <w:right w:type="dxa" w:w="120"/>
            </w:tcMar>
          </w:tcPr>
          <w:p>
            <w:r>
              <w:rPr>
                <w:color w:val="1A1A1A"/>
                <w:sz w:val="21"/>
                <w:szCs w:val="21"/>
              </w:rPr>
              <w:t xml:space="preserve">Unified inbox across all platforms</w:t>
            </w:r>
          </w:p>
        </w:tc>
      </w:tr>
      <w:tr>
        <w:trPr>
          <w:cantSplit/>
        </w:trPr>
        <w:tc>
          <w:tcPr>
            <w:shd w:fill="FFFFFF" w:val="clear"/>
            <w:tcMar>
              <w:top w:type="dxa" w:w="60"/>
              <w:left w:type="dxa" w:w="120"/>
              <w:bottom w:type="dxa" w:w="60"/>
              <w:right w:type="dxa" w:w="120"/>
            </w:tcMar>
          </w:tcPr>
          <w:p>
            <w:r>
              <w:rPr>
                <w:color w:val="1A1A1A"/>
                <w:sz w:val="21"/>
                <w:szCs w:val="21"/>
              </w:rPr>
              <w:t xml:space="preserve">Lead Scoring</w:t>
            </w:r>
          </w:p>
        </w:tc>
        <w:tc>
          <w:tcPr>
            <w:shd w:fill="FFFFFF" w:val="clear"/>
            <w:tcMar>
              <w:top w:type="dxa" w:w="60"/>
              <w:left w:type="dxa" w:w="120"/>
              <w:bottom w:type="dxa" w:w="60"/>
              <w:right w:type="dxa" w:w="120"/>
            </w:tcMar>
          </w:tcPr>
          <w:p>
            <w:r>
              <w:rPr>
                <w:color w:val="1A1A1A"/>
                <w:sz w:val="21"/>
                <w:szCs w:val="21"/>
              </w:rPr>
              <w:t xml:space="preserve">Generic or manual scoring</w:t>
            </w:r>
          </w:p>
        </w:tc>
        <w:tc>
          <w:tcPr>
            <w:shd w:fill="FFFFFF" w:val="clear"/>
            <w:tcMar>
              <w:top w:type="dxa" w:w="60"/>
              <w:left w:type="dxa" w:w="120"/>
              <w:bottom w:type="dxa" w:w="60"/>
              <w:right w:type="dxa" w:w="120"/>
            </w:tcMar>
          </w:tcPr>
          <w:p>
            <w:r>
              <w:rPr>
                <w:color w:val="1A1A1A"/>
                <w:sz w:val="21"/>
                <w:szCs w:val="21"/>
              </w:rPr>
              <w:t xml:space="preserve">Context-aware, multi-factor scoring</w:t>
            </w:r>
          </w:p>
        </w:tc>
      </w:tr>
      <w:tr>
        <w:trPr>
          <w:cantSplit/>
        </w:trPr>
        <w:tc>
          <w:tcPr>
            <w:shd w:fill="EDF4F9" w:val="clear"/>
            <w:tcMar>
              <w:top w:type="dxa" w:w="60"/>
              <w:left w:type="dxa" w:w="120"/>
              <w:bottom w:type="dxa" w:w="60"/>
              <w:right w:type="dxa" w:w="120"/>
            </w:tcMar>
          </w:tcPr>
          <w:p>
            <w:r>
              <w:rPr>
                <w:color w:val="1A1A1A"/>
                <w:sz w:val="21"/>
                <w:szCs w:val="21"/>
              </w:rPr>
              <w:t xml:space="preserve">Workflow Automation</w:t>
            </w:r>
          </w:p>
        </w:tc>
        <w:tc>
          <w:tcPr>
            <w:shd w:fill="EDF4F9" w:val="clear"/>
            <w:tcMar>
              <w:top w:type="dxa" w:w="60"/>
              <w:left w:type="dxa" w:w="120"/>
              <w:bottom w:type="dxa" w:w="60"/>
              <w:right w:type="dxa" w:w="120"/>
            </w:tcMar>
          </w:tcPr>
          <w:p>
            <w:r>
              <w:rPr>
                <w:color w:val="1A1A1A"/>
                <w:sz w:val="21"/>
                <w:szCs w:val="21"/>
              </w:rPr>
              <w:t xml:space="preserve">Limited triggers, rigid rules</w:t>
            </w:r>
          </w:p>
        </w:tc>
        <w:tc>
          <w:tcPr>
            <w:shd w:fill="EDF4F9" w:val="clear"/>
            <w:tcMar>
              <w:top w:type="dxa" w:w="60"/>
              <w:left w:type="dxa" w:w="120"/>
              <w:bottom w:type="dxa" w:w="60"/>
              <w:right w:type="dxa" w:w="120"/>
            </w:tcMar>
          </w:tcPr>
          <w:p>
            <w:r>
              <w:rPr>
                <w:color w:val="1A1A1A"/>
                <w:sz w:val="21"/>
                <w:szCs w:val="21"/>
              </w:rPr>
              <w:t xml:space="preserve">Flexible event-driven automation engine</w:t>
            </w:r>
          </w:p>
        </w:tc>
      </w:tr>
      <w:tr>
        <w:trPr>
          <w:cantSplit/>
        </w:trPr>
        <w:tc>
          <w:tcPr>
            <w:shd w:fill="FFFFFF" w:val="clear"/>
            <w:tcMar>
              <w:top w:type="dxa" w:w="60"/>
              <w:left w:type="dxa" w:w="120"/>
              <w:bottom w:type="dxa" w:w="60"/>
              <w:right w:type="dxa" w:w="120"/>
            </w:tcMar>
          </w:tcPr>
          <w:p>
            <w:r>
              <w:rPr>
                <w:color w:val="1A1A1A"/>
                <w:sz w:val="21"/>
                <w:szCs w:val="21"/>
              </w:rPr>
              <w:t xml:space="preserve">AI Intelligence</w:t>
            </w:r>
          </w:p>
        </w:tc>
        <w:tc>
          <w:tcPr>
            <w:shd w:fill="FFFFFF" w:val="clear"/>
            <w:tcMar>
              <w:top w:type="dxa" w:w="60"/>
              <w:left w:type="dxa" w:w="120"/>
              <w:bottom w:type="dxa" w:w="60"/>
              <w:right w:type="dxa" w:w="120"/>
            </w:tcMar>
          </w:tcPr>
          <w:p>
            <w:r>
              <w:rPr>
                <w:color w:val="1A1A1A"/>
                <w:sz w:val="21"/>
                <w:szCs w:val="21"/>
              </w:rPr>
              <w:t xml:space="preserve">Basic chatbots or none</w:t>
            </w:r>
          </w:p>
        </w:tc>
        <w:tc>
          <w:tcPr>
            <w:shd w:fill="FFFFFF" w:val="clear"/>
            <w:tcMar>
              <w:top w:type="dxa" w:w="60"/>
              <w:left w:type="dxa" w:w="120"/>
              <w:bottom w:type="dxa" w:w="60"/>
              <w:right w:type="dxa" w:w="120"/>
            </w:tcMar>
          </w:tcPr>
          <w:p>
            <w:r>
              <w:rPr>
                <w:color w:val="1A1A1A"/>
                <w:sz w:val="21"/>
                <w:szCs w:val="21"/>
              </w:rPr>
              <w:t xml:space="preserve">Continuous learning from real interactions</w:t>
            </w:r>
          </w:p>
        </w:tc>
      </w:tr>
      <w:tr>
        <w:trPr>
          <w:cantSplit/>
        </w:trPr>
        <w:tc>
          <w:tcPr>
            <w:shd w:fill="EDF4F9" w:val="clear"/>
            <w:tcMar>
              <w:top w:type="dxa" w:w="60"/>
              <w:left w:type="dxa" w:w="120"/>
              <w:bottom w:type="dxa" w:w="60"/>
              <w:right w:type="dxa" w:w="120"/>
            </w:tcMar>
          </w:tcPr>
          <w:p>
            <w:r>
              <w:rPr>
                <w:color w:val="1A1A1A"/>
                <w:sz w:val="21"/>
                <w:szCs w:val="21"/>
              </w:rPr>
              <w:t xml:space="preserve">Deployment Cost</w:t>
            </w:r>
          </w:p>
        </w:tc>
        <w:tc>
          <w:tcPr>
            <w:shd w:fill="EDF4F9" w:val="clear"/>
            <w:tcMar>
              <w:top w:type="dxa" w:w="60"/>
              <w:left w:type="dxa" w:w="120"/>
              <w:bottom w:type="dxa" w:w="60"/>
              <w:right w:type="dxa" w:w="120"/>
            </w:tcMar>
          </w:tcPr>
          <w:p>
            <w:r>
              <w:rPr>
                <w:color w:val="1A1A1A"/>
                <w:sz w:val="21"/>
                <w:szCs w:val="21"/>
              </w:rPr>
              <w:t xml:space="preserve">High licensing fees per user</w:t>
            </w:r>
          </w:p>
        </w:tc>
        <w:tc>
          <w:tcPr>
            <w:shd w:fill="EDF4F9" w:val="clear"/>
            <w:tcMar>
              <w:top w:type="dxa" w:w="60"/>
              <w:left w:type="dxa" w:w="120"/>
              <w:bottom w:type="dxa" w:w="60"/>
              <w:right w:type="dxa" w:w="120"/>
            </w:tcMar>
          </w:tcPr>
          <w:p>
            <w:r>
              <w:rPr>
                <w:color w:val="1A1A1A"/>
                <w:sz w:val="21"/>
                <w:szCs w:val="21"/>
              </w:rPr>
              <w:t xml:space="preserve">Efficient, scalable architecture</w:t>
            </w:r>
          </w:p>
        </w:tc>
      </w:tr>
      <w:tr>
        <w:trPr>
          <w:cantSplit/>
        </w:trPr>
        <w:tc>
          <w:tcPr>
            <w:shd w:fill="FFFFFF" w:val="clear"/>
            <w:tcMar>
              <w:top w:type="dxa" w:w="60"/>
              <w:left w:type="dxa" w:w="120"/>
              <w:bottom w:type="dxa" w:w="60"/>
              <w:right w:type="dxa" w:w="120"/>
            </w:tcMar>
          </w:tcPr>
          <w:p>
            <w:r>
              <w:rPr>
                <w:color w:val="1A1A1A"/>
                <w:sz w:val="21"/>
                <w:szCs w:val="21"/>
              </w:rPr>
              <w:t xml:space="preserve">Response Time</w:t>
            </w:r>
          </w:p>
        </w:tc>
        <w:tc>
          <w:tcPr>
            <w:shd w:fill="FFFFFF" w:val="clear"/>
            <w:tcMar>
              <w:top w:type="dxa" w:w="60"/>
              <w:left w:type="dxa" w:w="120"/>
              <w:bottom w:type="dxa" w:w="60"/>
              <w:right w:type="dxa" w:w="120"/>
            </w:tcMar>
          </w:tcPr>
          <w:p>
            <w:r>
              <w:rPr>
                <w:color w:val="1A1A1A"/>
                <w:sz w:val="21"/>
                <w:szCs w:val="21"/>
              </w:rPr>
              <w:t xml:space="preserve">Manual monitoring</w:t>
            </w:r>
          </w:p>
        </w:tc>
        <w:tc>
          <w:tcPr>
            <w:shd w:fill="FFFFFF" w:val="clear"/>
            <w:tcMar>
              <w:top w:type="dxa" w:w="60"/>
              <w:left w:type="dxa" w:w="120"/>
              <w:bottom w:type="dxa" w:w="60"/>
              <w:right w:type="dxa" w:w="120"/>
            </w:tcMar>
          </w:tcPr>
          <w:p>
            <w:r>
              <w:rPr>
                <w:color w:val="1A1A1A"/>
                <w:sz w:val="21"/>
                <w:szCs w:val="21"/>
              </w:rPr>
              <w:t xml:space="preserve">Real-time alerts and automated first response</w:t>
            </w:r>
          </w:p>
        </w:tc>
      </w:tr>
      <w:tr>
        <w:trPr>
          <w:cantSplit/>
        </w:trPr>
        <w:tc>
          <w:tcPr>
            <w:shd w:fill="EDF4F9" w:val="clear"/>
            <w:tcMar>
              <w:top w:type="dxa" w:w="60"/>
              <w:left w:type="dxa" w:w="120"/>
              <w:bottom w:type="dxa" w:w="60"/>
              <w:right w:type="dxa" w:w="120"/>
            </w:tcMar>
          </w:tcPr>
          <w:p>
            <w:r>
              <w:rPr>
                <w:color w:val="1A1A1A"/>
                <w:sz w:val="21"/>
                <w:szCs w:val="21"/>
              </w:rPr>
              <w:t xml:space="preserve">Local Market Understanding</w:t>
            </w:r>
          </w:p>
        </w:tc>
        <w:tc>
          <w:tcPr>
            <w:shd w:fill="EDF4F9" w:val="clear"/>
            <w:tcMar>
              <w:top w:type="dxa" w:w="60"/>
              <w:left w:type="dxa" w:w="120"/>
              <w:bottom w:type="dxa" w:w="60"/>
              <w:right w:type="dxa" w:w="120"/>
            </w:tcMar>
          </w:tcPr>
          <w:p>
            <w:r>
              <w:rPr>
                <w:color w:val="1A1A1A"/>
                <w:sz w:val="21"/>
                <w:szCs w:val="21"/>
              </w:rPr>
              <w:t xml:space="preserve">None</w:t>
            </w:r>
          </w:p>
        </w:tc>
        <w:tc>
          <w:tcPr>
            <w:shd w:fill="EDF4F9" w:val="clear"/>
            <w:tcMar>
              <w:top w:type="dxa" w:w="60"/>
              <w:left w:type="dxa" w:w="120"/>
              <w:bottom w:type="dxa" w:w="60"/>
              <w:right w:type="dxa" w:w="120"/>
            </w:tcMar>
          </w:tcPr>
          <w:p>
            <w:r>
              <w:rPr>
                <w:color w:val="1A1A1A"/>
                <w:sz w:val="21"/>
                <w:szCs w:val="21"/>
              </w:rPr>
              <w:t xml:space="preserve">Designed for Pakistani real estate market</w:t>
            </w:r>
          </w:p>
        </w:tc>
      </w:tr>
    </w:tbl>
    <w:p>
      <w:pPr>
        <w:spacing w:after="60" w:before="60"/>
      </w:pPr>
    </w:p>
    <w:p>
      <w:pPr>
        <w:spacing w:after="120" w:line="312"/>
        <w:jc w:val="both"/>
      </w:pPr>
      <w:r>
        <w:rPr>
          <w:rFonts w:ascii="Times New Roman" w:eastAsia="Calibri"/>
          <w:color w:val="1A1A1A"/>
          <w:sz w:val="22"/>
          <w:szCs w:val="22"/>
        </w:rPr>
        <w:t xml:space="preserve">The fundamental difference lies not in any single feature but in the overall philosophy. Most CRMs force organizations to adapt their processes to fit the software. SP RWP CRM was designed the opposite way: the software adapts to how real estate sales teams naturally operate. This philosophy is embedded in every aspect of the platform, from the way conversations are structured to the metrics that are tracked on the dashboard.</w:t>
      </w:r>
    </w:p>
    <w:p>
      <w:pPr>
        <w:spacing w:after="120" w:line="312"/>
        <w:jc w:val="both"/>
      </w:pPr>
      <w:r>
        <w:rPr>
          <w:rFonts w:ascii="Times New Roman" w:eastAsia="Calibri"/>
          <w:color w:val="1A1A1A"/>
          <w:sz w:val="22"/>
          <w:szCs w:val="22"/>
        </w:rPr>
        <w:t xml:space="preserve">Additionally, the platform has been built with a modern, cloud-native architecture that ensures reliability, speed, and scalability. Unlike legacy CRM systems that require significant infrastructure investment and IT support, SP RWP CRM can be deployed quickly and scales effortlessly as the organization grows. The technology foundation leverages contemporary frameworks and best practices, ensuring that the platform remains fast, secure, and maintainable as requirements evolve.</w:t>
      </w:r>
    </w:p>
    <w:p>
      <w:pPr>
        <w:pBdr>
          <w:bottom w:val="single" w:color="FF862F" w:sz="4" w:space="8"/>
        </w:pBdr>
        <w:spacing w:after="200" w:before="200"/>
        <w:ind w:left="0" w:right="0"/>
      </w:pPr>
    </w:p>
    <w:p>
      <w:pPr>
        <w:pStyle w:val="Heading1"/>
        <w:spacing w:after="160" w:before="360" w:line="312"/>
      </w:pPr>
      <w:r>
        <w:rPr>
          <w:rFonts w:ascii="Times New Roman" w:eastAsia="SimHei"/>
          <w:b/>
          <w:bCs/>
          <w:color w:val="1284BA"/>
          <w:sz w:val="32"/>
          <w:szCs w:val="32"/>
        </w:rPr>
        <w:t xml:space="preserve">Technology Foundation</w:t>
      </w:r>
    </w:p>
    <w:p>
      <w:pPr>
        <w:spacing w:after="120" w:line="312"/>
        <w:jc w:val="both"/>
      </w:pPr>
      <w:r>
        <w:rPr>
          <w:rFonts w:ascii="Times New Roman" w:eastAsia="Calibri"/>
          <w:color w:val="1A1A1A"/>
          <w:sz w:val="22"/>
          <w:szCs w:val="22"/>
        </w:rPr>
        <w:t xml:space="preserve">SP RWP CRM is built on a modern technology stack that prioritizes performance, security, and developer productivity. The platform uses a server-side rendered architecture that provides fast page loads and excellent search engine visibility, while maintaining the rich interactivity of a modern web application. Data is managed through a robust ORM layer with a relational database, ensuring data integrity, ACID compliance, and the ability to generate complex analytical queries across the entire sales pipeline.</w:t>
      </w:r>
    </w:p>
    <w:p>
      <w:pPr>
        <w:spacing w:after="120" w:line="312"/>
        <w:jc w:val="both"/>
      </w:pPr>
      <w:r>
        <w:rPr>
          <w:rFonts w:ascii="Times New Roman" w:eastAsia="Calibri"/>
          <w:color w:val="1A1A1A"/>
          <w:sz w:val="22"/>
          <w:szCs w:val="22"/>
        </w:rPr>
        <w:t xml:space="preserve">Communication integrations are handled through official platform APIs, including Meta's Cloud API for WhatsApp, Facebook Messenger, and Instagram messaging. This ensures compliance with platform policies, reliable message delivery, and access to the latest features as they become available. Email automation uses a professional delivery service that handles template management, delivery tracking, and bounce processing, ensuring that important customer communications reliably reach their destination.</w:t>
      </w:r>
    </w:p>
    <w:p>
      <w:pPr>
        <w:spacing w:after="120" w:line="312"/>
        <w:jc w:val="both"/>
      </w:pPr>
      <w:r>
        <w:rPr>
          <w:rFonts w:ascii="Times New Roman" w:eastAsia="Calibri"/>
          <w:color w:val="1A1A1A"/>
          <w:sz w:val="22"/>
          <w:szCs w:val="22"/>
        </w:rPr>
        <w:t xml:space="preserve">Security is built into every layer of the platform. Authentication uses industry-standard token-based sessions with bcrypt password hashing, role-based access control ensures that team members only see the data relevant to their responsibilities, and all API communications are encrypted. The system maintains a comprehensive audit trail of all significant actions, providing full accountability and traceability for compliance and management review purposes.</w:t>
      </w:r>
    </w:p>
    <w:p>
      <w:pPr>
        <w:pBdr>
          <w:bottom w:val="single" w:color="FF862F" w:sz="4" w:space="8"/>
        </w:pBdr>
        <w:spacing w:after="200" w:before="200"/>
        <w:ind w:left="0" w:right="0"/>
      </w:pPr>
    </w:p>
    <w:p>
      <w:pPr>
        <w:pStyle w:val="Heading1"/>
        <w:spacing w:after="160" w:before="360" w:line="312"/>
      </w:pPr>
      <w:r>
        <w:rPr>
          <w:rFonts w:ascii="Times New Roman" w:eastAsia="SimHei"/>
          <w:b/>
          <w:bCs/>
          <w:color w:val="1284BA"/>
          <w:sz w:val="32"/>
          <w:szCs w:val="32"/>
        </w:rPr>
        <w:t xml:space="preserve">Built for Scale</w:t>
      </w:r>
    </w:p>
    <w:p>
      <w:pPr>
        <w:spacing w:after="120" w:line="312"/>
        <w:jc w:val="both"/>
      </w:pPr>
      <w:r>
        <w:rPr>
          <w:rFonts w:ascii="Times New Roman" w:eastAsia="Calibri"/>
          <w:color w:val="1A1A1A"/>
          <w:sz w:val="22"/>
          <w:szCs w:val="22"/>
        </w:rPr>
        <w:t xml:space="preserve">SP RWP CRM has been architected from the beginning to grow with the organization. The modular design allows new features and integrations to be added without disrupting existing functionality. Whether the team expands from five representatives to fifty, or the organization opens new offices in additional cities, the platform scales to accommodate growth without requiring a complete redesign or costly infrastructure migration.</w:t>
      </w:r>
    </w:p>
    <w:p>
      <w:pPr>
        <w:spacing w:after="120" w:line="312"/>
        <w:jc w:val="both"/>
      </w:pPr>
      <w:r>
        <w:rPr>
          <w:rFonts w:ascii="Times New Roman" w:eastAsia="Calibri"/>
          <w:color w:val="1A1A1A"/>
          <w:sz w:val="22"/>
          <w:szCs w:val="22"/>
        </w:rPr>
        <w:t xml:space="preserve">The reporting and analytics infrastructure is designed to handle increasing data volumes while maintaining fast query performance. As the积累 of historical sales data grows, the AI intelligence layer becomes increasingly sophisticated, providing ever more accurate predictions and recommendations. This means that the platform actually becomes more valuable over time, creating a compounding advantage that is difficult for competitors to replicate.</w:t>
      </w:r>
    </w:p>
    <w:p>
      <w:pPr>
        <w:spacing w:after="120" w:line="312"/>
        <w:jc w:val="both"/>
      </w:pPr>
      <w:r>
        <w:rPr>
          <w:rFonts w:ascii="Times New Roman" w:eastAsia="Calibri"/>
          <w:color w:val="1A1A1A"/>
          <w:sz w:val="22"/>
          <w:szCs w:val="22"/>
        </w:rPr>
        <w:t xml:space="preserve">Furthermore, the system's architecture is designed to be adaptable to other organizations and industries. While the initial implementation is tailored specifically for Sales Point Rawalpindi and the real estate sector, the underlying patterns and frameworks can be configured for different business contexts, market requirements, and operational workflows. This positions the platform not just as an internal tool, but as a potential product that can be deployed across multiple organizations, each with their own customized configuration while benefiting from the same robust core technology.</w:t>
      </w:r>
    </w:p>
    <w:sectPr>
      <w:headerReference w:type="default" r:id="rId7"/>
      <w:footerReference w:type="default" r:id="rId8"/>
      <w:pgSz w:w="11906" w:h="16838" w:orient="portrait"/>
      <w:pgMar w:top="1440" w:right="1417" w:bottom="1440"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olor w:val="A0A0A0"/>
        <w:sz w:val="16"/>
        <w:szCs w:val="16"/>
      </w:rPr>
      <w:t xml:space="preserve">Confidential  |  Page </w:t>
    </w:r>
    <w:r>
      <w:rPr>
        <w:rFonts w:ascii="Calibri"/>
        <w:color w:val="A0A0A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olor w:val="A0A0A0"/>
        <w:sz w:val="16"/>
        <w:szCs w:val="16"/>
      </w:rPr>
      <w:t xml:space="preserve">SP RWP CRM  |  Product Overview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Calibri"/>
        <w:color w:val="1A1A1A"/>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Times New Roman" w:eastAsia="SimHei"/>
      <w:b/>
      <w:bCs/>
      <w:color w:val="1284BA"/>
      <w:sz w:val="32"/>
      <w:szCs w:val="32"/>
    </w:rPr>
  </w:style>
  <w:style w:type="paragraph" w:styleId="Heading2">
    <w:name w:val="Heading 2"/>
    <w:basedOn w:val="Normal"/>
    <w:next w:val="Normal"/>
    <w:qFormat/>
    <w:pPr>
      <w:spacing w:after="120" w:before="280" w:line="312"/>
    </w:pPr>
    <w:rPr>
      <w:rFonts w:ascii="Times New Roman" w:eastAsia="SimHei"/>
      <w:b/>
      <w:bCs/>
      <w:color w:val="1284BA"/>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2026-04-25T18:09:26.660Z</dcterms:created>
  <dcterms:modified xsi:type="dcterms:W3CDTF">2026-04-25T18:09:26.660Z</dcterms:modified>
</cp:coreProperties>
</file>

<file path=docProps/custom.xml><?xml version="1.0" encoding="utf-8"?>
<Properties xmlns="http://schemas.openxmlformats.org/officeDocument/2006/custom-properties" xmlns:vt="http://schemas.openxmlformats.org/officeDocument/2006/docPropsVTypes"/>
</file>