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1E7C3" w14:textId="77777777" w:rsidR="00C02540" w:rsidRDefault="00000000">
      <w:pPr>
        <w:pStyle w:val="Title"/>
        <w:jc w:val="center"/>
      </w:pPr>
      <w:r>
        <w:t>Explainable Deep Learning for Financial Volatility Forecasting:</w:t>
      </w:r>
    </w:p>
    <w:p w14:paraId="38B50A91" w14:textId="77777777" w:rsidR="00C02540" w:rsidRDefault="00000000">
      <w:pPr>
        <w:pStyle w:val="Heading2"/>
        <w:jc w:val="center"/>
      </w:pPr>
      <w:r>
        <w:t>An LSTM-Attention-SHAP Framework with Comprehensive Validation</w:t>
      </w:r>
    </w:p>
    <w:p w14:paraId="146337A4" w14:textId="77777777" w:rsidR="00C02540" w:rsidRDefault="00000000">
      <w:pPr>
        <w:jc w:val="center"/>
      </w:pPr>
      <w:r>
        <w:rPr>
          <w:sz w:val="28"/>
        </w:rPr>
        <w:t>Abrar Ahmed</w:t>
      </w:r>
    </w:p>
    <w:p w14:paraId="3D5A55B0" w14:textId="77777777" w:rsidR="00C02540" w:rsidRDefault="00000000">
      <w:pPr>
        <w:jc w:val="center"/>
      </w:pPr>
      <w:r>
        <w:t>December 31, 2025</w:t>
      </w:r>
    </w:p>
    <w:p w14:paraId="4D9602E0" w14:textId="77777777" w:rsidR="00C02540" w:rsidRDefault="00000000">
      <w:r>
        <w:br w:type="page"/>
      </w:r>
    </w:p>
    <w:p w14:paraId="0EF91F39" w14:textId="77777777" w:rsidR="00C02540" w:rsidRDefault="00000000">
      <w:pPr>
        <w:pStyle w:val="Heading1"/>
      </w:pPr>
      <w:r>
        <w:lastRenderedPageBreak/>
        <w:t>Abstract</w:t>
      </w:r>
    </w:p>
    <w:p w14:paraId="062F8B01" w14:textId="77777777" w:rsidR="00C02540" w:rsidRDefault="00000000">
      <w:r>
        <w:t>Financial market volatility forecasting is critical for risk management, portfolio optimization, and regulatory compliance. Traditional econometric models such as GARCH and HAR-RV often fail to capture complex non-linear dependencies and extreme tail events in modern financial markets. While deep learning methods offer superior predictive capabilities, their "black-box" nature creates significant barriers to adoption in heavily regulated financial environments where model transparency is mandatory.</w:t>
      </w:r>
      <w:r>
        <w:br/>
      </w:r>
      <w:r>
        <w:br/>
        <w:t>This paper presents a novel hybrid framework that combines Long Short-Term Memory (LSTM) networks with an Attention mechanism and integrates SHapley Additive Explanations (SHAP) to provide comprehensive model interpretability. We address the critical challenge of balancing predictive accuracy with regulatory requirements for explainability in quantitative finance.</w:t>
      </w:r>
      <w:r>
        <w:br/>
      </w:r>
      <w:r>
        <w:br/>
        <w:t>Using a comprehensive multi-asset dataset spanning five major asset classes from January 2018 to December 2024 (1,827 trading days), we demonstrate significant improvements over traditional benchmarks. Our LSTM-Attention-SHAP model achieves a 30% reduction in Root Mean Squared Error (RMSE=0.0150 vs. 0.0210) compared to GARCH(1,1) baselines and demonstrates superior 99% Value at Risk (VaR) accuracy with only 1.05% violation rate versus the 1.00% target. The model passes both Kupiec's Proportion of Failures test and Christoffersen's Independence test, confirming excellent calibration for tail risk prediction. Statistical validation through Diebold-Mariano tests confirms these improvements are significant at the p&lt;0.001 level across all tested asset classes.</w:t>
      </w:r>
      <w:r>
        <w:br/>
      </w:r>
      <w:r>
        <w:br/>
        <w:t>The integrated SHAP analysis reveals that the Geopolitical Risk (GPR) index (mean |SHAP value|=0.45) is the dominant driver of extreme volatility events during our study period, followed by the VIX index (0.38) and realized volatility (0.32). The attention mechanism complements this by identifying which historical time periods most influence current predictions, providing dual-layer interpretability that satisfies regulatory requirements while offering actionable insights for risk managers. This framework represents a significant advance toward deploying high-performance machine learning models in regulated financial institutions, where both predictive power and transparency are essential.</w:t>
      </w:r>
      <w:r>
        <w:br/>
      </w:r>
      <w:r>
        <w:br/>
        <w:t>Keywords: Volatility Forecasting, LSTM, Attention Mechanism, SHAP, Explainable AI, Value at Risk, Geopolitical Risk, Deep Learning, Financial Time Series, Regulatory Compliance</w:t>
      </w:r>
    </w:p>
    <w:p w14:paraId="68F448CD" w14:textId="77777777" w:rsidR="00C02540" w:rsidRDefault="00000000">
      <w:r>
        <w:br w:type="page"/>
      </w:r>
    </w:p>
    <w:p w14:paraId="7E99DD73" w14:textId="77777777" w:rsidR="00C02540" w:rsidRDefault="00000000">
      <w:pPr>
        <w:pStyle w:val="Heading1"/>
      </w:pPr>
      <w:r>
        <w:lastRenderedPageBreak/>
        <w:t>1. Introduction</w:t>
      </w:r>
    </w:p>
    <w:p w14:paraId="6FD18414" w14:textId="77777777" w:rsidR="00C02540" w:rsidRDefault="00000000">
      <w:r>
        <w:t>Financial market volatility remains one of the most critical yet challenging metrics in quantitative finance and risk management. It serves as a fundamental input for portfolio optimization (Markowitz, 1952), derivative pricing (Black and Scholes, 1973), and regulatory capital calculations under Basel III/IV frameworks. Volatility, typically measured as the standard deviation of logarithmic returns, exhibits well-documented characteristics including clustering, mean reversion, and leverage effects. However, extreme market events—characterized as tail risks—pose disproportionate challenges to financial stability and continue to test the limits of traditional modeling approaches.</w:t>
      </w:r>
    </w:p>
    <w:p w14:paraId="53C4E47B" w14:textId="77777777" w:rsidR="00C02540" w:rsidRDefault="00000000">
      <w:r>
        <w:t>Recent financial crises have exposed critical weaknesses in conventional volatility models. The 2008 global financial crisis, the 2020 COVID-19 market crash (with VIX reaching historic levels above 80), and the 2022 volatility spike during Russia's invasion of Ukraine all demonstrated that traditional econometric models such as the Generalized Autoregressive Conditional Heteroskedasticity (GARCH) family systematically underestimate tail risk during extreme events. These failures have material consequences: underestimated Value at Risk (VaR) leads to insufficient capital buffers, regulatory violations, and increased systemic risk. Moreover, the interconnectedness of modern global markets amplifies shock propagation, making accurate volatility forecasting more critical—and more difficult—than ever before.</w:t>
      </w:r>
    </w:p>
    <w:p w14:paraId="437E2E35" w14:textId="77777777" w:rsidR="00C02540" w:rsidRDefault="00000000">
      <w:r>
        <w:t>Deep learning, particularly Recurrent Neural Networks (RNNs) such as Long Short-Term Memory (LSTM) models, has emerged as a powerful alternative capable of capturing complex non-linear patterns and long-term dependencies in financial time series. Empirical studies have demonstrated that LSTM-based models can significantly outperform traditional econometric approaches in volatility forecasting tasks (Fischer and Krauss, 2018). However, despite their superior predictive performance, the adoption of deep learning in the financial industry faces a critical obstacle: interpretability. In heavily regulated environments governed by frameworks such as Basel III/IV for banking supervision and the Federal Reserve's SR 11-7 guidance on Model Risk Management, "black-box" models are often inadmissible for regulatory capital calculations, stress testing, and risk reporting. Financial institutions require not only accurate predictions but also transparent, auditable explanations of how models arrive at their forecasts.</w:t>
      </w:r>
    </w:p>
    <w:p w14:paraId="5ABF73D4" w14:textId="77777777" w:rsidR="00C02540" w:rsidRDefault="00000000">
      <w:r>
        <w:t xml:space="preserve">This paper bridges the critical gap between predictive performance and regulatory compliance by proposing a comprehensive Explainable AI (XAI) framework specifically designed for financial volatility forecasting and tail risk estimation. We introduce a hybrid LSTM-Attention architecture that learns complex temporal dynamics while providing interpretability through two complementary mechanisms. First, the attention mechanism identifies when specific historical events influence current predictions, offering temporal interpretability. Second, we integrate SHAP (SHapley Additive </w:t>
      </w:r>
      <w:r>
        <w:lastRenderedPageBreak/>
        <w:t>Explanations) values to quantify which features—such as the Geopolitical Risk (GPR) index, VIX levels, or realized volatility—drive individual forecasts and contribute to overall model behavior. This dual-layer interpretability approach satisfies regulatory requirements while providing actionable insights for risk managers.</w:t>
      </w:r>
    </w:p>
    <w:p w14:paraId="7DCB7E47" w14:textId="77777777" w:rsidR="00C02540" w:rsidRDefault="00000000">
      <w:pPr>
        <w:pStyle w:val="Heading2"/>
      </w:pPr>
      <w:r>
        <w:t>1.1 Key Contributions</w:t>
      </w:r>
    </w:p>
    <w:p w14:paraId="02B86A13" w14:textId="77777777" w:rsidR="00C02540" w:rsidRDefault="00000000">
      <w:r>
        <w:t>This research makes four primary contributions to the intersection of machine learning and quantitative finance:</w:t>
      </w:r>
    </w:p>
    <w:p w14:paraId="77CA0D2D" w14:textId="77777777" w:rsidR="00C02540" w:rsidRDefault="00000000">
      <w:pPr>
        <w:pStyle w:val="ListNumber"/>
      </w:pPr>
      <w:r>
        <w:t>Novel Architecture: We develop a hybrid LSTM-Attention model that dynamically weights historical time steps, enabling the network to focus on the most relevant past events for current volatility prediction. This architecture achieves a 30% improvement in RMSE over GARCH(1,1) and 22% over the strong HAR-RV baseline, with statistical significance confirmed through Diebold-Mariano tests (p&lt;0.001).</w:t>
      </w:r>
    </w:p>
    <w:p w14:paraId="1D6872FC" w14:textId="77777777" w:rsidR="00C02540" w:rsidRDefault="00000000">
      <w:pPr>
        <w:pStyle w:val="ListNumber"/>
      </w:pPr>
      <w:r>
        <w:t>Comprehensive Validation: We conduct rigorous statistical evaluation across multiple dimensions including out-of-sample forecasting accuracy (RMSE, MAE, QLIKE, R²), tail risk calibration (VaR backtesting with Kupiec and Christoffersen tests), and model comparison frameworks (Diebold-Mariano tests, Model Confidence Sets). The validation spans seven years (2018-2024) and five diverse asset classes, ensuring robustness across different market conditions and asset types.</w:t>
      </w:r>
    </w:p>
    <w:p w14:paraId="4B0FECDC" w14:textId="77777777" w:rsidR="00C02540" w:rsidRDefault="00000000">
      <w:pPr>
        <w:pStyle w:val="ListNumber"/>
      </w:pPr>
      <w:r>
        <w:t>Dual-Layer Interpretability: We implement a comprehensive explainability framework combining attention mechanisms (temporal interpretability showing "when" historical events matter) with SHAP values (feature importance showing "what" drives predictions). This approach satisfies the "right to explanation" in automated decision-making and meets regulatory requirements for model governance under SR 11-7 and Basel frameworks.</w:t>
      </w:r>
    </w:p>
    <w:p w14:paraId="3CFEA06B" w14:textId="77777777" w:rsidR="00C02540" w:rsidRDefault="00000000">
      <w:pPr>
        <w:pStyle w:val="ListNumber"/>
      </w:pPr>
      <w:r>
        <w:t>Economic Insight: Our empirical analysis reveals that the Geopolitical Risk (GPR) index is the dominant predictor of extreme tail risk events (mean |SHAP value|=0.45), quantitatively linking external geopolitical shocks to financial market volatility. This finding, validated through both attention weights and SHAP values during major events (e.g., Ukraine conflict, Middle East tensions), provides actionable intelligence for risk management and policy analysis.</w:t>
      </w:r>
    </w:p>
    <w:p w14:paraId="0F5D0350" w14:textId="77777777" w:rsidR="00C02540" w:rsidRDefault="00000000">
      <w:r>
        <w:t>The remainder of this paper is organized as follows: Section 2 reviews relevant literature on volatility modeling, deep learning in finance, and explainable AI. Section 3 describes our methodology including data, features, and model architecture. Section 4 presents experimental results and validation. Section 5 analyzes model interpretability through SHAP and attention mechanisms. Section 6 discusses practical implications for regulatory compliance and risk management. Section 7 acknowledges limitations and outlines future research directions, and Section 8 concludes.</w:t>
      </w:r>
    </w:p>
    <w:p w14:paraId="16D95AE7" w14:textId="77777777" w:rsidR="00C02540" w:rsidRDefault="00000000">
      <w:pPr>
        <w:pStyle w:val="Heading1"/>
      </w:pPr>
      <w:r>
        <w:lastRenderedPageBreak/>
        <w:t>2. Literature Review</w:t>
      </w:r>
    </w:p>
    <w:p w14:paraId="2B80FADA" w14:textId="77777777" w:rsidR="00C02540" w:rsidRDefault="00000000">
      <w:pPr>
        <w:pStyle w:val="Heading2"/>
      </w:pPr>
      <w:r>
        <w:t>2.1 Traditional Volatility Models</w:t>
      </w:r>
    </w:p>
    <w:p w14:paraId="0E245A1C" w14:textId="77777777" w:rsidR="00C02540" w:rsidRDefault="00000000">
      <w:r>
        <w:t>The foundation of modern volatility modeling began with Engle's (1982) seminal Autoregressive Conditional Heteroskedasticity (ARCH) model, which recognized that volatility clustering—the tendency for large price changes to follow large changes and small changes to follow small ones—is a fundamental characteristic of financial returns. Bollerslev (1986) extended this framework with the Generalized ARCH (GARCH) model, which allows past variances to influence current volatility, providing a more parsimonious representation suitable for long financial time series.</w:t>
      </w:r>
    </w:p>
    <w:p w14:paraId="23A1A0A4" w14:textId="77777777" w:rsidR="00C02540" w:rsidRDefault="00000000">
      <w:r>
        <w:t>Subsequent research addressed asymmetries in volatility responses. Nelson's (1991) Exponential GARCH (EGARCH) and the GJR-GARCH model by Glosten, Jagannathan, and Runkle (1993) were specifically designed to capture the "leverage effect," wherein negative returns (bad news) induce higher subsequent volatility than positive returns (good news) of the same magnitude. This asymmetry is particularly pronounced in equity markets and has important implications for risk management and option pricing.</w:t>
      </w:r>
    </w:p>
    <w:p w14:paraId="0A9C7D76" w14:textId="77777777" w:rsidR="00C02540" w:rsidRDefault="00000000">
      <w:r>
        <w:t>The introduction of high-frequency data enabled new modeling approaches. Corsi's (2009) Heterogeneous Autoregressive model of Realized Volatility (HAR-RV) models volatility as a cascade of components operating at different time scales—daily, weekly, and monthly—reflecting the heterogeneous trading horizons of market participants. The HAR-RV has become a benchmark for realized volatility forecasting due to its strong empirical performance and intuitive interpretation. However, despite their theoretical elegance and widespread adoption, these econometric models rely on restrictive assumptions about error distributions and functional forms. They often struggle to capture the complex, non-linear dynamics that characterize modern, globally interconnected financial markets, particularly during crisis periods.</w:t>
      </w:r>
    </w:p>
    <w:p w14:paraId="3085CF17" w14:textId="77777777" w:rsidR="00C02540" w:rsidRDefault="00000000">
      <w:pPr>
        <w:pStyle w:val="Heading2"/>
      </w:pPr>
      <w:r>
        <w:t>2.2 Deep Learning for Financial Forecasting</w:t>
      </w:r>
    </w:p>
    <w:p w14:paraId="18667A2D" w14:textId="77777777" w:rsidR="00C02540" w:rsidRDefault="00000000">
      <w:r>
        <w:t>The application of deep learning to financial time series has accelerated dramatically in recent years, driven by increases in computational power, data availability, and algorithmic innovations. Long Short-Term Memory (LSTM) networks, introduced by Hochreiter and Schmidhuber (1997), solved the vanishing gradient problem that plagued traditional RNNs, making them particularly suitable for modeling long-term dependencies in sequential data such as financial time series.</w:t>
      </w:r>
    </w:p>
    <w:p w14:paraId="2E69DB81" w14:textId="77777777" w:rsidR="00C02540" w:rsidRDefault="00000000">
      <w:r>
        <w:t xml:space="preserve">Fischer and Krauss (2018) provided an early demonstration of LSTM superiority over traditional machine learning methods like Random Forests for stock return prediction. Their work showed that LSTMs could effectively learn complex patterns from high-dimensional financial data without extensive feature engineering. More recently, attention mechanisms and Transformer architectures—originally developed for natural </w:t>
      </w:r>
      <w:r>
        <w:lastRenderedPageBreak/>
        <w:t>language processing (Vaswani et al., 2017)—have been adapted for financial forecasting. These models use self-attention to capture global dependencies across entire sequences.</w:t>
      </w:r>
    </w:p>
    <w:p w14:paraId="2E169E75" w14:textId="77777777" w:rsidR="00C02540" w:rsidRDefault="00000000">
      <w:r>
        <w:t>However, pure Transformer models typically require massive datasets to train effectively, which are rarely available for daily or weekly financial data. Temporal Convolutional Networks (TCNs) have emerged as another alternative, using dilated convolutions to capture long-range dependencies (Bai et al., 2018). Recent work by Lim et al. (2021) introduced the Temporal Fusion Transformer (TFT), combining LSTM encoders with multi-head attention for interpretable multi-horizon forecasting. In the volatility forecasting domain specifically, Kim and Won (2018) applied LSTMs to realized volatility prediction, while Bucci (2020) explored LSTM-GARCH hybrids that combine neural network feature extraction with GARCH-style volatility dynamics.</w:t>
      </w:r>
    </w:p>
    <w:p w14:paraId="34C9C9FE" w14:textId="77777777" w:rsidR="00C02540" w:rsidRDefault="00000000">
      <w:r>
        <w:t>Despite these advances, most deep learning applications in finance prioritize predictive accuracy over interpretability. The literature contains relatively few studies that rigorously integrate state-of-the-art neural architectures with comprehensive explainability frameworks suitable for regulatory compliance in financial institutions.</w:t>
      </w:r>
    </w:p>
    <w:p w14:paraId="3C56E6CC" w14:textId="77777777" w:rsidR="00C02540" w:rsidRDefault="00000000">
      <w:pPr>
        <w:pStyle w:val="Heading2"/>
      </w:pPr>
      <w:r>
        <w:t>2.3 Explainable AI in Finance</w:t>
      </w:r>
    </w:p>
    <w:p w14:paraId="6CE0EB8F" w14:textId="77777777" w:rsidR="00C02540" w:rsidRDefault="00000000">
      <w:r>
        <w:t>As machine learning models have grown in complexity and influence, the need for transparency and interpretability has become increasingly critical, particularly in high-stakes domains such as healthcare, criminal justice, and finance. Explainable AI (XAI) encompasses a range of techniques designed to make model behavior understandable to human stakeholders. Lundberg and Lee (2017) introduced SHAP (SHapley Additive Explanations), which unified several interpretation methods under a rigorous theoretical framework based on cooperative game theory. SHAP values provide a principled approach to attributing a prediction to individual features while satisfying desirable properties such as local accuracy, consistency, and missingness.</w:t>
      </w:r>
    </w:p>
    <w:p w14:paraId="0BB9C9C9" w14:textId="77777777" w:rsidR="00C02540" w:rsidRDefault="00000000">
      <w:r>
        <w:t>In the financial domain, XAI has found applications across various tasks. Bracke et al. (2019) at the Bank of England applied SHAP to credit scoring models, demonstrating how interpretability can reveal potential biases and improve model governance. Bussmann et al. (2021) used SHAP to explain bankruptcy prediction models, helping stakeholders understand which financial ratios drive insolvency forecasts. Lundberg et al. (2020) developed TreeExplainer for efficient SHAP computation on tree-based models, enabling real-time explanations in production credit systems.</w:t>
      </w:r>
    </w:p>
    <w:p w14:paraId="717EC8CE" w14:textId="77777777" w:rsidR="00C02540" w:rsidRDefault="00000000">
      <w:r>
        <w:t xml:space="preserve">Attention mechanisms provide another form of interpretability by assigning explicit weights to different inputs, showing which parts of the input sequence the model focuses on when making predictions. In finance, attention-based models have been applied to stock price prediction (Chen et al., 2019) and portfolio management (Zhang et al., 2020). However, attention weights alone can be misleading—high attention does not necessarily </w:t>
      </w:r>
      <w:r>
        <w:lastRenderedPageBreak/>
        <w:t>imply high importance for the prediction—and should be complemented with other interpretability methods (Jain and Wallace, 2019).</w:t>
      </w:r>
    </w:p>
    <w:p w14:paraId="27EA8E29" w14:textId="77777777" w:rsidR="00C02540" w:rsidRDefault="00000000">
      <w:r>
        <w:t>Despite these advances, the application of SHAP to dynamic, sequential models like LSTMs for volatility forecasting and tail risk prediction remains relatively underexplored. Most existing work focuses on static prediction tasks rather than time series, and few studies rigorously validate interpretability insights against known financial phenomena or regulatory requirements.</w:t>
      </w:r>
    </w:p>
    <w:p w14:paraId="6C5C702B" w14:textId="77777777" w:rsidR="00C02540" w:rsidRDefault="00000000">
      <w:pPr>
        <w:pStyle w:val="Heading2"/>
      </w:pPr>
      <w:r>
        <w:t>2.4 Research Gap and Positioning</w:t>
      </w:r>
    </w:p>
    <w:p w14:paraId="31480115" w14:textId="77777777" w:rsidR="00C02540" w:rsidRDefault="00000000">
      <w:r>
        <w:t>The existing literature reveals a clear trade-off between predictive accuracy and interpretability in financial forecasting. Traditional econometric models like GARCH are transparent and theoretically grounded but often fail to capture complex market dynamics, particularly during crises. Deep learning models offer superior predictive performance but lack the interpretability required for regulatory approval and practical deployment in risk management systems.</w:t>
      </w:r>
      <w:r>
        <w:br/>
      </w:r>
      <w:r>
        <w:br/>
        <w:t>Few studies successfully bridge this gap by combining state-of-the-art deep learning architectures with rigorous, regulatory-grade interpretability and validation. Specifically, there is limited research that: (1) integrates LSTM-Attention architectures with game-theoretic SHAP explanations for financial time series, (2) validates both predictive accuracy and interpretability insights with comprehensive statistical tests appropriate for regulatory compliance (Diebold-Mariano, Kupiec, Christoffersen), (3) focuses specifically on tail risk (VaR) prediction rather than point forecasts alone, and (4) demonstrates practical applicability across multiple asset classes and market conditions.</w:t>
      </w:r>
      <w:r>
        <w:br/>
      </w:r>
      <w:r>
        <w:br/>
        <w:t>This paper addresses these gaps by presenting a comprehensive framework that achieves state-of-the-art predictive performance while providing dual-layer interpretability (attention + SHAP) and rigorous validation suitable for deployment in regulated financial institutions. Our work demonstrates that explainability and accuracy are not mutually exclusive but can be achieved simultaneously through careful model design and validation.</w:t>
      </w:r>
    </w:p>
    <w:p w14:paraId="325E45FE" w14:textId="77777777" w:rsidR="00C02540" w:rsidRDefault="00000000">
      <w:r>
        <w:br w:type="page"/>
      </w:r>
    </w:p>
    <w:p w14:paraId="65AFE010" w14:textId="77777777" w:rsidR="00C02540" w:rsidRDefault="00000000">
      <w:pPr>
        <w:pStyle w:val="Heading1"/>
      </w:pPr>
      <w:r>
        <w:lastRenderedPageBreak/>
        <w:t>3. Methodology</w:t>
      </w:r>
    </w:p>
    <w:p w14:paraId="2733A7E5" w14:textId="77777777" w:rsidR="00C02540" w:rsidRDefault="00000000">
      <w:pPr>
        <w:pStyle w:val="Heading2"/>
      </w:pPr>
      <w:r>
        <w:t>3.1 Data Sources and Description</w:t>
      </w:r>
    </w:p>
    <w:p w14:paraId="03BCCD1E" w14:textId="77777777" w:rsidR="00C02540" w:rsidRDefault="00000000">
      <w:r>
        <w:t>Our dataset spans seven years from January 1, 2018, to December 31, 2024, comprising 1,827 trading days. This period is particularly relevant as it includes multiple volatility regimes and significant market events: the late-2018 equity market correction, the unprecedented COVID-19 volatility spike in March 2020 (when VIX reached 82.69, the highest level since the 2008 crisis), the 2021-2022 inflation surge and Federal Reserve tightening cycle, the 2022 Russia-Ukraine conflict, and the 2023-2024 Middle East tensions. This diversity of market conditions provides a robust testing ground for model generalization.</w:t>
      </w:r>
    </w:p>
    <w:p w14:paraId="7D15B1F7" w14:textId="77777777" w:rsidR="00C02540" w:rsidRDefault="00000000">
      <w:r>
        <w:t>To ensure comprehensive coverage and robustness across asset classes, we include five diverse markets representing different risk factors and dynamics:</w:t>
      </w:r>
    </w:p>
    <w:p w14:paraId="4459482B" w14:textId="77777777" w:rsidR="00C02540" w:rsidRDefault="00000000">
      <w:pPr>
        <w:pStyle w:val="ListBullet"/>
      </w:pPr>
      <w:r>
        <w:t>S&amp;P 500 Index (SPX): The primary benchmark for U.S. equity market volatility, representing large-cap domestic equities.</w:t>
      </w:r>
    </w:p>
    <w:p w14:paraId="303261C7" w14:textId="77777777" w:rsidR="00C02540" w:rsidRDefault="00000000">
      <w:pPr>
        <w:pStyle w:val="ListBullet"/>
      </w:pPr>
      <w:r>
        <w:t>NASDAQ Composite (IXIC): Technology-heavy index with typically higher volatility and different sector composition.</w:t>
      </w:r>
    </w:p>
    <w:p w14:paraId="17DDE610" w14:textId="77777777" w:rsidR="00C02540" w:rsidRDefault="00000000">
      <w:pPr>
        <w:pStyle w:val="ListBullet"/>
      </w:pPr>
      <w:r>
        <w:t>WTI Crude Oil Futures: Commodity market proxy sensitive to geopolitical events, supply disruptions, and global economic activity.</w:t>
      </w:r>
    </w:p>
    <w:p w14:paraId="36CFB454" w14:textId="77777777" w:rsidR="00C02540" w:rsidRDefault="00000000">
      <w:pPr>
        <w:pStyle w:val="ListBullet"/>
      </w:pPr>
      <w:r>
        <w:t>Gold Futures (GC): Traditional safe-haven asset with inverse correlation to equity volatility during stress periods.</w:t>
      </w:r>
    </w:p>
    <w:p w14:paraId="5945BD0D" w14:textId="77777777" w:rsidR="00C02540" w:rsidRDefault="00000000">
      <w:pPr>
        <w:pStyle w:val="ListBullet"/>
      </w:pPr>
      <w:r>
        <w:t>EUR/USD Exchange Rate: Major currency pair reflecting macroeconomic divergences between the Eurozone and United States.</w:t>
      </w:r>
    </w:p>
    <w:p w14:paraId="637280F3" w14:textId="77777777" w:rsidR="00C02540" w:rsidRDefault="00000000">
      <w:r>
        <w:t>Price data (open, high, low, close, volume) are sourced from Yahoo Finance via the yfinance API. Macroeconomic indicators including the Federal Funds Rate, 10-Year Treasury Yield, and VIX (CBOE Volatility Index) are obtained from the Federal Reserve Economic Data (FRED) database maintained by the Federal Reserve Bank of St. Louis. The Geopolitical Risk (GPR) index, constructed by Caldara and Iacoviello (2022) based on automated text analysis of news articles, is sourced from the Federal Reserve Board's website. Intraday data for realized volatility calculation are obtained from Bloomberg Terminal at 5-minute frequency.</w:t>
      </w:r>
    </w:p>
    <w:p w14:paraId="3AC9D354" w14:textId="77777777" w:rsidR="00C02540" w:rsidRDefault="00000000">
      <w:pPr>
        <w:pStyle w:val="Heading2"/>
      </w:pPr>
      <w:r>
        <w:t>3.2 Feature Engineering</w:t>
      </w:r>
    </w:p>
    <w:p w14:paraId="6BBD0A51" w14:textId="77777777" w:rsidR="00C02540" w:rsidRDefault="00000000">
      <w:r>
        <w:t>We construct a comprehensive feature vector with 15 dimensions for each trading day, designed to capture multiple aspects of market dynamics relevant to volatility forecasting. These features are organized into five conceptual groups:</w:t>
      </w:r>
    </w:p>
    <w:p w14:paraId="3219BC9D" w14:textId="77777777" w:rsidR="00A74F66" w:rsidRDefault="00A74F66">
      <w:pPr>
        <w:rPr>
          <w:b/>
        </w:rPr>
      </w:pPr>
    </w:p>
    <w:p w14:paraId="4E41A63C" w14:textId="40665D65" w:rsidR="00C02540" w:rsidRDefault="00000000">
      <w:r>
        <w:rPr>
          <w:b/>
        </w:rPr>
        <w:lastRenderedPageBreak/>
        <w:t>Price-Based Features</w:t>
      </w:r>
    </w:p>
    <w:p w14:paraId="47931959" w14:textId="77777777" w:rsidR="00C02540" w:rsidRDefault="00000000" w:rsidP="00A74F66">
      <w:pPr>
        <w:pStyle w:val="ListBullet"/>
        <w:numPr>
          <w:ilvl w:val="0"/>
          <w:numId w:val="0"/>
        </w:numPr>
      </w:pPr>
      <w:r>
        <w:t>Log Returns: Computed as r_t = ln(P_t) - ln(</w:t>
      </w:r>
      <w:proofErr w:type="gramStart"/>
      <w:r>
        <w:t>P_{</w:t>
      </w:r>
      <w:proofErr w:type="gramEnd"/>
      <w:r>
        <w:t>t-</w:t>
      </w:r>
      <w:proofErr w:type="gramStart"/>
      <w:r>
        <w:t>1})</w:t>
      </w:r>
      <w:proofErr w:type="gramEnd"/>
      <w:r>
        <w:t>, where P_t is the closing price. Log returns are preferred over simple returns for their time-additivity and approximate normality properties.</w:t>
      </w:r>
    </w:p>
    <w:p w14:paraId="71404518" w14:textId="77777777" w:rsidR="00C02540" w:rsidRDefault="00000000" w:rsidP="00A74F66">
      <w:pPr>
        <w:pStyle w:val="ListBullet"/>
        <w:numPr>
          <w:ilvl w:val="0"/>
          <w:numId w:val="0"/>
        </w:numPr>
      </w:pPr>
      <w:r>
        <w:t>High-Low Spread: Defined as HL_t = ln(H_t) - ln(L_t), where H_t and L_t are the daily high and low prices. This proxy for intraday volatility has been shown by Parkinson (1980) to be an efficient volatility estimator.</w:t>
      </w:r>
    </w:p>
    <w:p w14:paraId="49A79AC9" w14:textId="77777777" w:rsidR="00C02540" w:rsidRDefault="00000000">
      <w:r>
        <w:rPr>
          <w:b/>
        </w:rPr>
        <w:t>Volume and Liquidity Indicators</w:t>
      </w:r>
    </w:p>
    <w:p w14:paraId="3DE9EE9B" w14:textId="77777777" w:rsidR="00C02540" w:rsidRDefault="00000000" w:rsidP="00A74F66">
      <w:pPr>
        <w:pStyle w:val="ListBullet"/>
        <w:numPr>
          <w:ilvl w:val="0"/>
          <w:numId w:val="0"/>
        </w:numPr>
      </w:pPr>
      <w:r>
        <w:t xml:space="preserve">Normalized Volume: 30-day rolling z-score of trading volume, capturing abnormal trading activity that often precedes volatility spikes. Defined as V_t^{norm} = (V_t - </w:t>
      </w:r>
      <w:proofErr w:type="gramStart"/>
      <w:r>
        <w:t>μ_{30})</w:t>
      </w:r>
      <w:proofErr w:type="gramEnd"/>
      <w:r>
        <w:t xml:space="preserve"> / </w:t>
      </w:r>
      <w:proofErr w:type="gramStart"/>
      <w:r>
        <w:t>σ_{30},</w:t>
      </w:r>
      <w:proofErr w:type="gramEnd"/>
      <w:r>
        <w:t xml:space="preserve"> where </w:t>
      </w:r>
      <w:proofErr w:type="gramStart"/>
      <w:r>
        <w:t>μ_{</w:t>
      </w:r>
      <w:proofErr w:type="gramEnd"/>
      <w:r>
        <w:t xml:space="preserve">30} and </w:t>
      </w:r>
      <w:proofErr w:type="gramStart"/>
      <w:r>
        <w:t>σ_{</w:t>
      </w:r>
      <w:proofErr w:type="gramEnd"/>
      <w:r>
        <w:t>30} are the 30-day rolling mean and standard deviation.</w:t>
      </w:r>
    </w:p>
    <w:p w14:paraId="52738520" w14:textId="77777777" w:rsidR="00C02540" w:rsidRDefault="00000000">
      <w:r>
        <w:rPr>
          <w:b/>
        </w:rPr>
        <w:t>Volatility Proxies</w:t>
      </w:r>
    </w:p>
    <w:p w14:paraId="34C70E24" w14:textId="77777777" w:rsidR="00C02540" w:rsidRDefault="00000000" w:rsidP="00A74F66">
      <w:pPr>
        <w:pStyle w:val="ListBullet"/>
        <w:numPr>
          <w:ilvl w:val="0"/>
          <w:numId w:val="0"/>
        </w:numPr>
      </w:pPr>
      <w:r>
        <w:t>Realized Volatility: Computed from 5-minute intraday returns as RV_t = sqrt(Σ r_{t,i}²), providing a model-free volatility estimate. Realized volatility has been shown by Andersen and Bollerslev (1998) to be highly informative for forecasting future volatility.</w:t>
      </w:r>
    </w:p>
    <w:p w14:paraId="53765C09" w14:textId="77777777" w:rsidR="00C02540" w:rsidRDefault="00000000" w:rsidP="00A74F66">
      <w:pPr>
        <w:pStyle w:val="ListBullet"/>
        <w:numPr>
          <w:ilvl w:val="0"/>
          <w:numId w:val="0"/>
        </w:numPr>
      </w:pPr>
      <w:r>
        <w:t xml:space="preserve">Implied Volatility (VIX): The CBOE Volatility Index represents market participants' expectations of 30-day S&amp;P 500 volatility, serving as the market's forward-looking "fear gauge." VIX incorporates information from option prices and has strong predictive power for </w:t>
      </w:r>
      <w:proofErr w:type="gramStart"/>
      <w:r>
        <w:t>realized</w:t>
      </w:r>
      <w:proofErr w:type="gramEnd"/>
      <w:r>
        <w:t xml:space="preserve"> volatility.</w:t>
      </w:r>
    </w:p>
    <w:p w14:paraId="7EB5A0C1" w14:textId="77777777" w:rsidR="00C02540" w:rsidRDefault="00000000">
      <w:r>
        <w:rPr>
          <w:b/>
        </w:rPr>
        <w:t>External Risk Factors</w:t>
      </w:r>
    </w:p>
    <w:p w14:paraId="18E50400" w14:textId="77777777" w:rsidR="00C02540" w:rsidRDefault="00000000" w:rsidP="00A74F66">
      <w:pPr>
        <w:pStyle w:val="ListBullet"/>
        <w:numPr>
          <w:ilvl w:val="0"/>
          <w:numId w:val="0"/>
        </w:numPr>
      </w:pPr>
      <w:r>
        <w:t>Geopolitical Risk (GPR) Index: Daily measure of geopolitical tensions based on automated text analysis of international news coverage. The GPR index, developed by Caldara and Iacoviello (2022), has been shown to have significant explanatory power for financial market volatility, particularly during crisis periods.</w:t>
      </w:r>
    </w:p>
    <w:p w14:paraId="24D73F74" w14:textId="77777777" w:rsidR="00C02540" w:rsidRDefault="00000000">
      <w:r>
        <w:rPr>
          <w:b/>
        </w:rPr>
        <w:t>Temporal Features</w:t>
      </w:r>
    </w:p>
    <w:p w14:paraId="70AA1B9B" w14:textId="77777777" w:rsidR="00C02540" w:rsidRDefault="00000000" w:rsidP="00A74F66">
      <w:pPr>
        <w:pStyle w:val="ListBullet"/>
        <w:numPr>
          <w:ilvl w:val="0"/>
          <w:numId w:val="0"/>
        </w:numPr>
      </w:pPr>
      <w:r>
        <w:t>Lagged Features: We include 1-day (t-1), weekly (t-5), and monthly (t-22) lags of returns and realized volatility. These capture the persistence in volatility at different time horizons, analogous to the HAR-RV model's heterogeneous components but learned endogenously by the LSTM rather than imposed structurally.</w:t>
      </w:r>
    </w:p>
    <w:p w14:paraId="48F1FAAD" w14:textId="77777777" w:rsidR="00C02540" w:rsidRDefault="00000000">
      <w:r>
        <w:t>All features are standardized using rolling z-scores with a 252-day (one trading year) window to ensure stationarity and prevent look-ahead bias. Missing values are handled through forward-filling, which is appropriate for financial data where the last known value is typically the best available estimate.</w:t>
      </w:r>
    </w:p>
    <w:p w14:paraId="062A91F2" w14:textId="77777777" w:rsidR="00C02540" w:rsidRDefault="00000000">
      <w:pPr>
        <w:pStyle w:val="Heading2"/>
      </w:pPr>
      <w:r>
        <w:lastRenderedPageBreak/>
        <w:t>3.3 LSTM-Attention Model Architecture</w:t>
      </w:r>
    </w:p>
    <w:p w14:paraId="2A2DB540" w14:textId="77777777" w:rsidR="00C02540" w:rsidRDefault="00000000">
      <w:r>
        <w:t>Our proposed model processes input sequences of 30 consecutive trading days, each with 15 features, to forecast next-day volatility and Value at Risk. The architecture comprises five main components, as illustrated in Figure 1:</w:t>
      </w:r>
    </w:p>
    <w:p w14:paraId="368F24E7" w14:textId="77777777" w:rsidR="00C02540" w:rsidRDefault="00000000">
      <w:pPr>
        <w:jc w:val="center"/>
      </w:pPr>
      <w:r>
        <w:rPr>
          <w:noProof/>
        </w:rPr>
        <w:drawing>
          <wp:inline distT="0" distB="0" distL="0" distR="0" wp14:anchorId="0E306311" wp14:editId="715538AC">
            <wp:extent cx="5943600" cy="4233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rchitecture.png"/>
                    <pic:cNvPicPr/>
                  </pic:nvPicPr>
                  <pic:blipFill>
                    <a:blip r:embed="rId6"/>
                    <a:stretch>
                      <a:fillRect/>
                    </a:stretch>
                  </pic:blipFill>
                  <pic:spPr>
                    <a:xfrm>
                      <a:off x="0" y="0"/>
                      <a:ext cx="5943600" cy="4233212"/>
                    </a:xfrm>
                    <a:prstGeom prst="rect">
                      <a:avLst/>
                    </a:prstGeom>
                  </pic:spPr>
                </pic:pic>
              </a:graphicData>
            </a:graphic>
          </wp:inline>
        </w:drawing>
      </w:r>
    </w:p>
    <w:p w14:paraId="2C8784CA" w14:textId="77777777" w:rsidR="00C02540" w:rsidRDefault="00000000">
      <w:pPr>
        <w:jc w:val="center"/>
      </w:pPr>
      <w:r>
        <w:rPr>
          <w:i/>
          <w:sz w:val="20"/>
        </w:rPr>
        <w:t>Figure 1: LSTM-Attention-SHAP Model Architecture. The model processes 30-day sequences with 15 features through two LSTM layers, applies Bahdanau attention to identify relevant historical periods, and outputs both volatility forecasts and 99% VaR predictions. SHAP analysis provides post-hoc feature importance.</w:t>
      </w:r>
    </w:p>
    <w:p w14:paraId="65FE0F2C" w14:textId="77777777" w:rsidR="00C02540" w:rsidRDefault="00C02540"/>
    <w:p w14:paraId="5E990A5C" w14:textId="77777777" w:rsidR="00C02540" w:rsidRDefault="00000000">
      <w:r>
        <w:t>Input Layer: Accepts sequences of shape (batch_size, 30, 15) where 30 represents the lookback window and 15 is the feature dimension. The 30-day window balances sufficient historical context (approximately one trading month) with computational efficiency and data availability for training.</w:t>
      </w:r>
    </w:p>
    <w:p w14:paraId="302F6389" w14:textId="77777777" w:rsidR="00C02540" w:rsidRDefault="00000000">
      <w:r>
        <w:t xml:space="preserve">LSTM Layers: We employ a two-layer stacked LSTM architecture. The first layer contains 128 hidden units with return_sequences=True to provide input to the second layer, while the second layer uses 64 units and returns only the final hidden state. Both layers use tanh activation functions for the cell state and sigmoid activations for gates. </w:t>
      </w:r>
      <w:r>
        <w:lastRenderedPageBreak/>
        <w:t>Dropout (0.2) and recurrent dropout (0.1) are applied to prevent overfitting. The LSTM formulation follows the standard equations:</w:t>
      </w:r>
    </w:p>
    <w:p w14:paraId="250A38C4" w14:textId="77777777" w:rsidR="00C02540" w:rsidRDefault="00000000">
      <w:r>
        <w:rPr>
          <w:rFonts w:ascii="Courier New" w:hAnsi="Courier New"/>
          <w:sz w:val="20"/>
        </w:rPr>
        <w:br/>
        <w:t xml:space="preserve">    f_t = σ(W_f · [h_{t-1}, x_t] + b_f)      [Forget gate]</w:t>
      </w:r>
      <w:r>
        <w:rPr>
          <w:rFonts w:ascii="Courier New" w:hAnsi="Courier New"/>
          <w:sz w:val="20"/>
        </w:rPr>
        <w:br/>
        <w:t xml:space="preserve">    i_t = σ(W_i · [h_{t-1}, x_t] + b_i)      [Input gate]</w:t>
      </w:r>
      <w:r>
        <w:rPr>
          <w:rFonts w:ascii="Courier New" w:hAnsi="Courier New"/>
          <w:sz w:val="20"/>
        </w:rPr>
        <w:br/>
        <w:t xml:space="preserve">    C̃_t = tanh(W_C · [h_{t-1}, x_t] + b_C)   [Candidate cell]</w:t>
      </w:r>
      <w:r>
        <w:rPr>
          <w:rFonts w:ascii="Courier New" w:hAnsi="Courier New"/>
          <w:sz w:val="20"/>
        </w:rPr>
        <w:br/>
        <w:t xml:space="preserve">    C_t = f_t ⊙ C_{t-1} + i_t ⊙ C̃_t          [Cell state update]</w:t>
      </w:r>
      <w:r>
        <w:rPr>
          <w:rFonts w:ascii="Courier New" w:hAnsi="Courier New"/>
          <w:sz w:val="20"/>
        </w:rPr>
        <w:br/>
        <w:t xml:space="preserve">    o_t = σ(W_o · [h_{t-1}, x_t] + b_o)      [Output gate]</w:t>
      </w:r>
      <w:r>
        <w:rPr>
          <w:rFonts w:ascii="Courier New" w:hAnsi="Courier New"/>
          <w:sz w:val="20"/>
        </w:rPr>
        <w:br/>
        <w:t xml:space="preserve">    h_t = o_t ⊙ tanh(C_t)                     [Hidden state]</w:t>
      </w:r>
      <w:r>
        <w:rPr>
          <w:rFonts w:ascii="Courier New" w:hAnsi="Courier New"/>
          <w:sz w:val="20"/>
        </w:rPr>
        <w:br/>
        <w:t xml:space="preserve">    </w:t>
      </w:r>
    </w:p>
    <w:p w14:paraId="1430814F" w14:textId="77777777" w:rsidR="00C02540" w:rsidRDefault="00000000">
      <w:r>
        <w:t>Attention Mechanism: We implement Bahdanau-style additive attention (Bahdanau et al., 2014) to allow the model to focus on relevant historical time steps. Given the LSTM hidden states H = [h_1, h_2, ..., h_30] from the first layer, the attention mechanism computes:</w:t>
      </w:r>
    </w:p>
    <w:p w14:paraId="23DD7FD4" w14:textId="77777777" w:rsidR="00C02540" w:rsidRDefault="00000000">
      <w:r>
        <w:rPr>
          <w:rFonts w:ascii="Courier New" w:hAnsi="Courier New"/>
          <w:sz w:val="20"/>
        </w:rPr>
        <w:br/>
        <w:t xml:space="preserve">    e_i = v^T · tanh(W_a · h_i + b_a)                    [Attention scores]</w:t>
      </w:r>
      <w:r>
        <w:rPr>
          <w:rFonts w:ascii="Courier New" w:hAnsi="Courier New"/>
          <w:sz w:val="20"/>
        </w:rPr>
        <w:br/>
        <w:t xml:space="preserve">    α_i = exp(e_i) / Σ_j exp(e_j)                       [Attention weights via softmax]</w:t>
      </w:r>
      <w:r>
        <w:rPr>
          <w:rFonts w:ascii="Courier New" w:hAnsi="Courier New"/>
          <w:sz w:val="20"/>
        </w:rPr>
        <w:br/>
        <w:t xml:space="preserve">    context = Σ_i α_i · h_i                              [Weighted context vector]</w:t>
      </w:r>
      <w:r>
        <w:rPr>
          <w:rFonts w:ascii="Courier New" w:hAnsi="Courier New"/>
          <w:sz w:val="20"/>
        </w:rPr>
        <w:br/>
        <w:t xml:space="preserve">    </w:t>
      </w:r>
    </w:p>
    <w:p w14:paraId="037DB07A" w14:textId="77777777" w:rsidR="00C02540" w:rsidRDefault="00000000">
      <w:r>
        <w:t>The attention weights α_i indicate the relative importance of each historical day, providing intrinsic temporal interpretability. Days with higher weights contribute more to the context vector and thus have greater influence on the final prediction.</w:t>
      </w:r>
    </w:p>
    <w:p w14:paraId="07E7DE3D" w14:textId="77777777" w:rsidR="00C02540" w:rsidRDefault="00000000">
      <w:r>
        <w:t>Dense Layers: The attention-weighted context vector is concatenated with the final LSTM hidden state and passed through a fully connected layer with 32 neurons and ReLU activation, with dropout (0.3) for regularization. This layer integrates the attention-focused historical information with the final LSTM state.</w:t>
      </w:r>
    </w:p>
    <w:p w14:paraId="65457A30" w14:textId="77777777" w:rsidR="00C02540" w:rsidRDefault="00000000">
      <w:r>
        <w:t>Dual Output Heads: The model produces two simultaneous predictions through separate output layers:</w:t>
      </w:r>
    </w:p>
    <w:p w14:paraId="356D6DD6" w14:textId="77777777" w:rsidR="00C02540" w:rsidRDefault="00000000">
      <w:pPr>
        <w:pStyle w:val="ListNumber"/>
      </w:pPr>
      <w:r>
        <w:t>Volatility Head: Linear activation producing the point forecast σ̂_{t+1}, optimized using Mean Squared Error (MSE) loss: L_vol = (σ_{t+1} - σ̂_{t+1})²</w:t>
      </w:r>
    </w:p>
    <w:p w14:paraId="421B81E2" w14:textId="77777777" w:rsidR="00C02540" w:rsidRDefault="00000000">
      <w:pPr>
        <w:pStyle w:val="ListNumber"/>
      </w:pPr>
      <w:r>
        <w:t>VaR Head: Linear activation producing the 99% Value at Risk VaR̂_{t+1}^{0.01}, optimized using Pinball (quantile) loss with τ=0.01: L_VaR = max[τ(r_{t+1} - VaR̂), (τ-1)(r_{t+1} - VaR̂)]</w:t>
      </w:r>
    </w:p>
    <w:p w14:paraId="34529E75" w14:textId="77777777" w:rsidR="00C02540" w:rsidRDefault="00000000">
      <w:r>
        <w:t xml:space="preserve">The total loss is a weighted combination: L_total = λ_vol · L_vol + λ_VaR · L_VaR, where λ_vol = 0.7 and λ_VaR = 0.3 based on validation set tuning. This multi-task </w:t>
      </w:r>
      <w:r>
        <w:lastRenderedPageBreak/>
        <w:t>learning approach enables the model to simultaneously optimize for central tendency (volatility) and tail risk (VaR), with shared lower layers learning representations beneficial for both tasks.</w:t>
      </w:r>
    </w:p>
    <w:p w14:paraId="6095C2CC" w14:textId="77777777" w:rsidR="00C02540" w:rsidRDefault="00000000">
      <w:r>
        <w:t>The complete architecture contains approximately 147,000 trainable parameters. This relatively modest size compared to state-of-the-art NLP models reflects the lower-dimensional nature of financial time series and helps prevent overfitting on limited financial data.</w:t>
      </w:r>
    </w:p>
    <w:p w14:paraId="6C5EF335" w14:textId="77777777" w:rsidR="00C02540" w:rsidRDefault="00000000">
      <w:pPr>
        <w:pStyle w:val="Heading2"/>
      </w:pPr>
      <w:r>
        <w:t>3.4 Training Configuration and Implementation</w:t>
      </w:r>
    </w:p>
    <w:p w14:paraId="11A53610" w14:textId="77777777" w:rsidR="00C02540" w:rsidRDefault="00000000">
      <w:r>
        <w:t>To ensure reproducibility and robust model training, we employ the following configuration:</w:t>
      </w:r>
    </w:p>
    <w:p w14:paraId="0A17B665" w14:textId="77777777" w:rsidR="00C02540" w:rsidRDefault="00000000">
      <w:r>
        <w:rPr>
          <w:b/>
        </w:rPr>
        <w:t>Optimization and Hyperparameters</w:t>
      </w:r>
    </w:p>
    <w:p w14:paraId="4ABCE51B" w14:textId="77777777" w:rsidR="00C02540" w:rsidRDefault="00000000">
      <w:r>
        <w:t>We use the Adam optimizer (Kingma and Ba, 2015) with initial learning rate 1×10⁻³, β₁=0.9, and β₂=0.999. The learning rate is dynamically adjusted using ReduceLROnPlateau scheduler (reduction factor 0.5, patience 5 epochs) to enable fine-grained convergence. Batch size is set to 64, balancing gradient estimate quality with memory constraints. Training proceeds for a maximum of 100 epochs with early stopping (patience=15 epochs, min_delta=0.0001) monitoring validation loss to prevent overfitting.</w:t>
      </w:r>
    </w:p>
    <w:p w14:paraId="4BAE2149" w14:textId="77777777" w:rsidR="00C02540" w:rsidRDefault="00000000">
      <w:r>
        <w:rPr>
          <w:b/>
        </w:rPr>
        <w:t>Data Splitting and Validation</w:t>
      </w:r>
    </w:p>
    <w:p w14:paraId="723FDD9C" w14:textId="77777777" w:rsidR="00C02540" w:rsidRDefault="00000000">
      <w:r>
        <w:t>We employ walk-forward validation appropriate for time series: 70% training (2018-2022, ~1,280 days), 15% validation (2022-2023, ~274 days), and 15% held-out test set (2023-2024, ~273 days). This temporal split prevents look-ahead bias and simulates realistic deployment where models are trained on historical data and evaluated on genuinely unseen future data. We do not use random shuffling, as this would violate temporal ordering and create data leakage.</w:t>
      </w:r>
    </w:p>
    <w:p w14:paraId="17259FB0" w14:textId="77777777" w:rsidR="00C02540" w:rsidRDefault="00000000">
      <w:r>
        <w:rPr>
          <w:b/>
        </w:rPr>
        <w:t>Reproducibility</w:t>
      </w:r>
    </w:p>
    <w:p w14:paraId="196BD9B6" w14:textId="77777777" w:rsidR="00C02540" w:rsidRDefault="00000000">
      <w:r>
        <w:t>To ensure exact reproducibility of results, we fix random seeds: Python random (42), NumPy (123), and TensorFlow (456). All experiments are conducted on identical hardware and software configurations.</w:t>
      </w:r>
    </w:p>
    <w:p w14:paraId="598BEC7D" w14:textId="77777777" w:rsidR="00C02540" w:rsidRDefault="00000000">
      <w:r>
        <w:rPr>
          <w:b/>
        </w:rPr>
        <w:t>Computational Environment</w:t>
      </w:r>
    </w:p>
    <w:p w14:paraId="57470497" w14:textId="136881F6" w:rsidR="00C02540" w:rsidRDefault="00000000">
      <w:r>
        <w:t xml:space="preserve">Training is performed on a workstation equipped with NVIDIA RTX 4090 GPU (24GB VRAM), AMD Ryzen 9 5950X CPU (16 cores), and 64GB DDR4 RAM. Software environment: TensorFlow 2.14.0, Python 3.10.12, SHAP 0.43.0, NumPy 1.24.3, Pandas </w:t>
      </w:r>
      <w:r>
        <w:lastRenderedPageBreak/>
        <w:t>2.0.2. Complete training (including hyperparameter validation) requires approximately 2.5 hours per asset class.</w:t>
      </w:r>
    </w:p>
    <w:p w14:paraId="5A880579" w14:textId="77777777" w:rsidR="00C02540" w:rsidRDefault="00000000">
      <w:pPr>
        <w:pStyle w:val="Heading1"/>
      </w:pPr>
      <w:r>
        <w:t>4. Experimental Results</w:t>
      </w:r>
    </w:p>
    <w:p w14:paraId="2F46CD06" w14:textId="77777777" w:rsidR="00C02540" w:rsidRDefault="00000000">
      <w:r>
        <w:t>This section presents comprehensive experimental validation of our LSTM-Attention-SHAP framework. We evaluate predictive performance across multiple dimensions: point forecast accuracy for volatility, tail risk calibration through Value at Risk backtesting, and statistical significance testing. All results are reported on the held-out test set (2023-2024) to provide genuine out-of-sample evaluation.</w:t>
      </w:r>
    </w:p>
    <w:p w14:paraId="4A341F65" w14:textId="77777777" w:rsidR="00C02540" w:rsidRDefault="00000000">
      <w:pPr>
        <w:pStyle w:val="Heading2"/>
      </w:pPr>
      <w:r>
        <w:t>4.1 Volatility Forecasting Performance</w:t>
      </w:r>
    </w:p>
    <w:p w14:paraId="4CA532B8" w14:textId="77777777" w:rsidR="00C02540" w:rsidRDefault="00000000">
      <w:r>
        <w:t>Table 1 presents comprehensive out-of-sample forecasting performance on the S&amp;P 500 test set, comparing our proposed LSTM-Attention-SHAP model against multiple benchmark approaches spanning traditional econometric models, machine learning ensembles, and deep learning architectures.</w:t>
      </w:r>
    </w:p>
    <w:tbl>
      <w:tblPr>
        <w:tblStyle w:val="LightGrid-Accent1"/>
        <w:tblW w:w="0" w:type="auto"/>
        <w:tblLook w:val="04A0" w:firstRow="1" w:lastRow="0" w:firstColumn="1" w:lastColumn="0" w:noHBand="0" w:noVBand="1"/>
      </w:tblPr>
      <w:tblGrid>
        <w:gridCol w:w="1730"/>
        <w:gridCol w:w="1728"/>
        <w:gridCol w:w="1728"/>
        <w:gridCol w:w="1728"/>
        <w:gridCol w:w="1728"/>
      </w:tblGrid>
      <w:tr w:rsidR="00C02540" w14:paraId="1CFEC244" w14:textId="77777777" w:rsidTr="00C02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978C31" w14:textId="77777777" w:rsidR="00C02540" w:rsidRDefault="00000000">
            <w:r>
              <w:t>Model</w:t>
            </w:r>
          </w:p>
        </w:tc>
        <w:tc>
          <w:tcPr>
            <w:tcW w:w="1728" w:type="dxa"/>
          </w:tcPr>
          <w:p w14:paraId="68EA1B59" w14:textId="77777777" w:rsidR="00C02540" w:rsidRDefault="00000000">
            <w:pPr>
              <w:cnfStyle w:val="100000000000" w:firstRow="1" w:lastRow="0" w:firstColumn="0" w:lastColumn="0" w:oddVBand="0" w:evenVBand="0" w:oddHBand="0" w:evenHBand="0" w:firstRowFirstColumn="0" w:firstRowLastColumn="0" w:lastRowFirstColumn="0" w:lastRowLastColumn="0"/>
            </w:pPr>
            <w:r>
              <w:t>RMSE (×10⁻²)</w:t>
            </w:r>
          </w:p>
        </w:tc>
        <w:tc>
          <w:tcPr>
            <w:tcW w:w="1728" w:type="dxa"/>
          </w:tcPr>
          <w:p w14:paraId="782826BB" w14:textId="77777777" w:rsidR="00C02540" w:rsidRDefault="00000000">
            <w:pPr>
              <w:cnfStyle w:val="100000000000" w:firstRow="1" w:lastRow="0" w:firstColumn="0" w:lastColumn="0" w:oddVBand="0" w:evenVBand="0" w:oddHBand="0" w:evenHBand="0" w:firstRowFirstColumn="0" w:firstRowLastColumn="0" w:lastRowFirstColumn="0" w:lastRowLastColumn="0"/>
            </w:pPr>
            <w:r>
              <w:t>MAE (×10⁻²)</w:t>
            </w:r>
          </w:p>
        </w:tc>
        <w:tc>
          <w:tcPr>
            <w:tcW w:w="1728" w:type="dxa"/>
          </w:tcPr>
          <w:p w14:paraId="3762C85F" w14:textId="77777777" w:rsidR="00C02540" w:rsidRDefault="00000000">
            <w:pPr>
              <w:cnfStyle w:val="100000000000" w:firstRow="1" w:lastRow="0" w:firstColumn="0" w:lastColumn="0" w:oddVBand="0" w:evenVBand="0" w:oddHBand="0" w:evenHBand="0" w:firstRowFirstColumn="0" w:firstRowLastColumn="0" w:lastRowFirstColumn="0" w:lastRowLastColumn="0"/>
            </w:pPr>
            <w:r>
              <w:t>QLIKE</w:t>
            </w:r>
          </w:p>
        </w:tc>
        <w:tc>
          <w:tcPr>
            <w:tcW w:w="1728" w:type="dxa"/>
          </w:tcPr>
          <w:p w14:paraId="63ADC8D7" w14:textId="77777777" w:rsidR="00C02540" w:rsidRDefault="00000000">
            <w:pPr>
              <w:cnfStyle w:val="100000000000" w:firstRow="1" w:lastRow="0" w:firstColumn="0" w:lastColumn="0" w:oddVBand="0" w:evenVBand="0" w:oddHBand="0" w:evenHBand="0" w:firstRowFirstColumn="0" w:firstRowLastColumn="0" w:lastRowFirstColumn="0" w:lastRowLastColumn="0"/>
            </w:pPr>
            <w:r>
              <w:t>R²</w:t>
            </w:r>
          </w:p>
        </w:tc>
      </w:tr>
      <w:tr w:rsidR="00C02540" w14:paraId="36CA6BC9" w14:textId="77777777" w:rsidTr="00C02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6F5C3A" w14:textId="77777777" w:rsidR="00C02540" w:rsidRDefault="00000000">
            <w:r>
              <w:t>GARCH(1,1)</w:t>
            </w:r>
          </w:p>
        </w:tc>
        <w:tc>
          <w:tcPr>
            <w:tcW w:w="1728" w:type="dxa"/>
          </w:tcPr>
          <w:p w14:paraId="6F321FBE" w14:textId="77777777" w:rsidR="00C02540" w:rsidRDefault="00000000">
            <w:pPr>
              <w:cnfStyle w:val="000000100000" w:firstRow="0" w:lastRow="0" w:firstColumn="0" w:lastColumn="0" w:oddVBand="0" w:evenVBand="0" w:oddHBand="1" w:evenHBand="0" w:firstRowFirstColumn="0" w:firstRowLastColumn="0" w:lastRowFirstColumn="0" w:lastRowLastColumn="0"/>
            </w:pPr>
            <w:r>
              <w:t>2.10 ± 0.12</w:t>
            </w:r>
          </w:p>
        </w:tc>
        <w:tc>
          <w:tcPr>
            <w:tcW w:w="1728" w:type="dxa"/>
          </w:tcPr>
          <w:p w14:paraId="70F8B3D5" w14:textId="77777777" w:rsidR="00C02540" w:rsidRDefault="00000000">
            <w:pPr>
              <w:cnfStyle w:val="000000100000" w:firstRow="0" w:lastRow="0" w:firstColumn="0" w:lastColumn="0" w:oddVBand="0" w:evenVBand="0" w:oddHBand="1" w:evenHBand="0" w:firstRowFirstColumn="0" w:firstRowLastColumn="0" w:lastRowFirstColumn="0" w:lastRowLastColumn="0"/>
            </w:pPr>
            <w:r>
              <w:t>1.6</w:t>
            </w:r>
          </w:p>
        </w:tc>
        <w:tc>
          <w:tcPr>
            <w:tcW w:w="1728" w:type="dxa"/>
          </w:tcPr>
          <w:p w14:paraId="1017DD4E" w14:textId="77777777" w:rsidR="00C02540" w:rsidRDefault="00000000">
            <w:pPr>
              <w:cnfStyle w:val="000000100000" w:firstRow="0" w:lastRow="0" w:firstColumn="0" w:lastColumn="0" w:oddVBand="0" w:evenVBand="0" w:oddHBand="1" w:evenHBand="0" w:firstRowFirstColumn="0" w:firstRowLastColumn="0" w:lastRowFirstColumn="0" w:lastRowLastColumn="0"/>
            </w:pPr>
            <w:r>
              <w:t>0.342</w:t>
            </w:r>
          </w:p>
        </w:tc>
        <w:tc>
          <w:tcPr>
            <w:tcW w:w="1728" w:type="dxa"/>
          </w:tcPr>
          <w:p w14:paraId="7E91B49A" w14:textId="77777777" w:rsidR="00C02540" w:rsidRDefault="00000000">
            <w:pPr>
              <w:cnfStyle w:val="000000100000" w:firstRow="0" w:lastRow="0" w:firstColumn="0" w:lastColumn="0" w:oddVBand="0" w:evenVBand="0" w:oddHBand="1" w:evenHBand="0" w:firstRowFirstColumn="0" w:firstRowLastColumn="0" w:lastRowFirstColumn="0" w:lastRowLastColumn="0"/>
            </w:pPr>
            <w:r>
              <w:t>0.45</w:t>
            </w:r>
          </w:p>
        </w:tc>
      </w:tr>
      <w:tr w:rsidR="00C02540" w14:paraId="77625048" w14:textId="77777777" w:rsidTr="00C025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95D0F8" w14:textId="77777777" w:rsidR="00C02540" w:rsidRDefault="00000000">
            <w:r>
              <w:t>EGARCH(1,1)</w:t>
            </w:r>
          </w:p>
        </w:tc>
        <w:tc>
          <w:tcPr>
            <w:tcW w:w="1728" w:type="dxa"/>
          </w:tcPr>
          <w:p w14:paraId="247E707E" w14:textId="77777777" w:rsidR="00C02540" w:rsidRDefault="00000000">
            <w:pPr>
              <w:cnfStyle w:val="000000010000" w:firstRow="0" w:lastRow="0" w:firstColumn="0" w:lastColumn="0" w:oddVBand="0" w:evenVBand="0" w:oddHBand="0" w:evenHBand="1" w:firstRowFirstColumn="0" w:firstRowLastColumn="0" w:lastRowFirstColumn="0" w:lastRowLastColumn="0"/>
            </w:pPr>
            <w:r>
              <w:t>2.05 ± 0.11</w:t>
            </w:r>
          </w:p>
        </w:tc>
        <w:tc>
          <w:tcPr>
            <w:tcW w:w="1728" w:type="dxa"/>
          </w:tcPr>
          <w:p w14:paraId="21AE66AB" w14:textId="77777777" w:rsidR="00C02540" w:rsidRDefault="00000000">
            <w:pPr>
              <w:cnfStyle w:val="000000010000" w:firstRow="0" w:lastRow="0" w:firstColumn="0" w:lastColumn="0" w:oddVBand="0" w:evenVBand="0" w:oddHBand="0" w:evenHBand="1" w:firstRowFirstColumn="0" w:firstRowLastColumn="0" w:lastRowFirstColumn="0" w:lastRowLastColumn="0"/>
            </w:pPr>
            <w:r>
              <w:t>1.55</w:t>
            </w:r>
          </w:p>
        </w:tc>
        <w:tc>
          <w:tcPr>
            <w:tcW w:w="1728" w:type="dxa"/>
          </w:tcPr>
          <w:p w14:paraId="3AA5803E" w14:textId="77777777" w:rsidR="00C02540" w:rsidRDefault="00000000">
            <w:pPr>
              <w:cnfStyle w:val="000000010000" w:firstRow="0" w:lastRow="0" w:firstColumn="0" w:lastColumn="0" w:oddVBand="0" w:evenVBand="0" w:oddHBand="0" w:evenHBand="1" w:firstRowFirstColumn="0" w:firstRowLastColumn="0" w:lastRowFirstColumn="0" w:lastRowLastColumn="0"/>
            </w:pPr>
            <w:r>
              <w:t>0.338</w:t>
            </w:r>
          </w:p>
        </w:tc>
        <w:tc>
          <w:tcPr>
            <w:tcW w:w="1728" w:type="dxa"/>
          </w:tcPr>
          <w:p w14:paraId="7A35A75B" w14:textId="77777777" w:rsidR="00C02540" w:rsidRDefault="00000000">
            <w:pPr>
              <w:cnfStyle w:val="000000010000" w:firstRow="0" w:lastRow="0" w:firstColumn="0" w:lastColumn="0" w:oddVBand="0" w:evenVBand="0" w:oddHBand="0" w:evenHBand="1" w:firstRowFirstColumn="0" w:firstRowLastColumn="0" w:lastRowFirstColumn="0" w:lastRowLastColumn="0"/>
            </w:pPr>
            <w:r>
              <w:t>0.48</w:t>
            </w:r>
          </w:p>
        </w:tc>
      </w:tr>
      <w:tr w:rsidR="00C02540" w14:paraId="2FFC9213" w14:textId="77777777" w:rsidTr="00C02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AECEAC" w14:textId="77777777" w:rsidR="00C02540" w:rsidRDefault="00000000">
            <w:r>
              <w:t>HAR-RV</w:t>
            </w:r>
          </w:p>
        </w:tc>
        <w:tc>
          <w:tcPr>
            <w:tcW w:w="1728" w:type="dxa"/>
          </w:tcPr>
          <w:p w14:paraId="7A3B6157" w14:textId="77777777" w:rsidR="00C02540" w:rsidRDefault="00000000">
            <w:pPr>
              <w:cnfStyle w:val="000000100000" w:firstRow="0" w:lastRow="0" w:firstColumn="0" w:lastColumn="0" w:oddVBand="0" w:evenVBand="0" w:oddHBand="1" w:evenHBand="0" w:firstRowFirstColumn="0" w:firstRowLastColumn="0" w:lastRowFirstColumn="0" w:lastRowLastColumn="0"/>
            </w:pPr>
            <w:r>
              <w:t>1.92 ± 0.09</w:t>
            </w:r>
          </w:p>
        </w:tc>
        <w:tc>
          <w:tcPr>
            <w:tcW w:w="1728" w:type="dxa"/>
          </w:tcPr>
          <w:p w14:paraId="53124409" w14:textId="77777777" w:rsidR="00C02540" w:rsidRDefault="00000000">
            <w:pPr>
              <w:cnfStyle w:val="000000100000" w:firstRow="0" w:lastRow="0" w:firstColumn="0" w:lastColumn="0" w:oddVBand="0" w:evenVBand="0" w:oddHBand="1" w:evenHBand="0" w:firstRowFirstColumn="0" w:firstRowLastColumn="0" w:lastRowFirstColumn="0" w:lastRowLastColumn="0"/>
            </w:pPr>
            <w:r>
              <w:t>1.45</w:t>
            </w:r>
          </w:p>
        </w:tc>
        <w:tc>
          <w:tcPr>
            <w:tcW w:w="1728" w:type="dxa"/>
          </w:tcPr>
          <w:p w14:paraId="7EC8E9CD" w14:textId="77777777" w:rsidR="00C02540" w:rsidRDefault="00000000">
            <w:pPr>
              <w:cnfStyle w:val="000000100000" w:firstRow="0" w:lastRow="0" w:firstColumn="0" w:lastColumn="0" w:oddVBand="0" w:evenVBand="0" w:oddHBand="1" w:evenHBand="0" w:firstRowFirstColumn="0" w:firstRowLastColumn="0" w:lastRowFirstColumn="0" w:lastRowLastColumn="0"/>
            </w:pPr>
            <w:r>
              <w:t>0.32</w:t>
            </w:r>
          </w:p>
        </w:tc>
        <w:tc>
          <w:tcPr>
            <w:tcW w:w="1728" w:type="dxa"/>
          </w:tcPr>
          <w:p w14:paraId="7CBE6A2F" w14:textId="77777777" w:rsidR="00C02540" w:rsidRDefault="00000000">
            <w:pPr>
              <w:cnfStyle w:val="000000100000" w:firstRow="0" w:lastRow="0" w:firstColumn="0" w:lastColumn="0" w:oddVBand="0" w:evenVBand="0" w:oddHBand="1" w:evenHBand="0" w:firstRowFirstColumn="0" w:firstRowLastColumn="0" w:lastRowFirstColumn="0" w:lastRowLastColumn="0"/>
            </w:pPr>
            <w:r>
              <w:t>0.54</w:t>
            </w:r>
          </w:p>
        </w:tc>
      </w:tr>
      <w:tr w:rsidR="00C02540" w14:paraId="15BFD0F9" w14:textId="77777777" w:rsidTr="00C025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7CA644" w14:textId="77777777" w:rsidR="00C02540" w:rsidRDefault="00000000">
            <w:r>
              <w:t>XGBoost</w:t>
            </w:r>
          </w:p>
        </w:tc>
        <w:tc>
          <w:tcPr>
            <w:tcW w:w="1728" w:type="dxa"/>
          </w:tcPr>
          <w:p w14:paraId="54033D7E" w14:textId="77777777" w:rsidR="00C02540" w:rsidRDefault="00000000">
            <w:pPr>
              <w:cnfStyle w:val="000000010000" w:firstRow="0" w:lastRow="0" w:firstColumn="0" w:lastColumn="0" w:oddVBand="0" w:evenVBand="0" w:oddHBand="0" w:evenHBand="1" w:firstRowFirstColumn="0" w:firstRowLastColumn="0" w:lastRowFirstColumn="0" w:lastRowLastColumn="0"/>
            </w:pPr>
            <w:r>
              <w:t>1.85 ± 0.15</w:t>
            </w:r>
          </w:p>
        </w:tc>
        <w:tc>
          <w:tcPr>
            <w:tcW w:w="1728" w:type="dxa"/>
          </w:tcPr>
          <w:p w14:paraId="1B5AECDB" w14:textId="77777777" w:rsidR="00C02540" w:rsidRDefault="00000000">
            <w:pPr>
              <w:cnfStyle w:val="000000010000" w:firstRow="0" w:lastRow="0" w:firstColumn="0" w:lastColumn="0" w:oddVBand="0" w:evenVBand="0" w:oddHBand="0" w:evenHBand="1" w:firstRowFirstColumn="0" w:firstRowLastColumn="0" w:lastRowFirstColumn="0" w:lastRowLastColumn="0"/>
            </w:pPr>
            <w:r>
              <w:t>1.38</w:t>
            </w:r>
          </w:p>
        </w:tc>
        <w:tc>
          <w:tcPr>
            <w:tcW w:w="1728" w:type="dxa"/>
          </w:tcPr>
          <w:p w14:paraId="0A3D5E7C" w14:textId="77777777" w:rsidR="00C02540" w:rsidRDefault="00000000">
            <w:pPr>
              <w:cnfStyle w:val="000000010000" w:firstRow="0" w:lastRow="0" w:firstColumn="0" w:lastColumn="0" w:oddVBand="0" w:evenVBand="0" w:oddHBand="0" w:evenHBand="1" w:firstRowFirstColumn="0" w:firstRowLastColumn="0" w:lastRowFirstColumn="0" w:lastRowLastColumn="0"/>
            </w:pPr>
            <w:r>
              <w:t>0.315</w:t>
            </w:r>
          </w:p>
        </w:tc>
        <w:tc>
          <w:tcPr>
            <w:tcW w:w="1728" w:type="dxa"/>
          </w:tcPr>
          <w:p w14:paraId="6F5E751D" w14:textId="77777777" w:rsidR="00C02540" w:rsidRDefault="00000000">
            <w:pPr>
              <w:cnfStyle w:val="000000010000" w:firstRow="0" w:lastRow="0" w:firstColumn="0" w:lastColumn="0" w:oddVBand="0" w:evenVBand="0" w:oddHBand="0" w:evenHBand="1" w:firstRowFirstColumn="0" w:firstRowLastColumn="0" w:lastRowFirstColumn="0" w:lastRowLastColumn="0"/>
            </w:pPr>
            <w:r>
              <w:t>0.58</w:t>
            </w:r>
          </w:p>
        </w:tc>
      </w:tr>
      <w:tr w:rsidR="00C02540" w14:paraId="3E932FDA" w14:textId="77777777" w:rsidTr="00C02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C0A89C" w14:textId="77777777" w:rsidR="00C02540" w:rsidRDefault="00000000">
            <w:r>
              <w:t>LSTM (Vanilla)</w:t>
            </w:r>
          </w:p>
        </w:tc>
        <w:tc>
          <w:tcPr>
            <w:tcW w:w="1728" w:type="dxa"/>
          </w:tcPr>
          <w:p w14:paraId="4C1165CD" w14:textId="77777777" w:rsidR="00C02540" w:rsidRDefault="00000000">
            <w:pPr>
              <w:cnfStyle w:val="000000100000" w:firstRow="0" w:lastRow="0" w:firstColumn="0" w:lastColumn="0" w:oddVBand="0" w:evenVBand="0" w:oddHBand="1" w:evenHBand="0" w:firstRowFirstColumn="0" w:firstRowLastColumn="0" w:lastRowFirstColumn="0" w:lastRowLastColumn="0"/>
            </w:pPr>
            <w:r>
              <w:t>1.89 ± 0.13</w:t>
            </w:r>
          </w:p>
        </w:tc>
        <w:tc>
          <w:tcPr>
            <w:tcW w:w="1728" w:type="dxa"/>
          </w:tcPr>
          <w:p w14:paraId="527B5080" w14:textId="77777777" w:rsidR="00C02540" w:rsidRDefault="00000000">
            <w:pPr>
              <w:cnfStyle w:val="000000100000" w:firstRow="0" w:lastRow="0" w:firstColumn="0" w:lastColumn="0" w:oddVBand="0" w:evenVBand="0" w:oddHBand="1" w:evenHBand="0" w:firstRowFirstColumn="0" w:firstRowLastColumn="0" w:lastRowFirstColumn="0" w:lastRowLastColumn="0"/>
            </w:pPr>
            <w:r>
              <w:t>1.41</w:t>
            </w:r>
          </w:p>
        </w:tc>
        <w:tc>
          <w:tcPr>
            <w:tcW w:w="1728" w:type="dxa"/>
          </w:tcPr>
          <w:p w14:paraId="5FCC0EF9" w14:textId="77777777" w:rsidR="00C02540" w:rsidRDefault="00000000">
            <w:pPr>
              <w:cnfStyle w:val="000000100000" w:firstRow="0" w:lastRow="0" w:firstColumn="0" w:lastColumn="0" w:oddVBand="0" w:evenVBand="0" w:oddHBand="1" w:evenHBand="0" w:firstRowFirstColumn="0" w:firstRowLastColumn="0" w:lastRowFirstColumn="0" w:lastRowLastColumn="0"/>
            </w:pPr>
            <w:r>
              <w:t>0.31</w:t>
            </w:r>
          </w:p>
        </w:tc>
        <w:tc>
          <w:tcPr>
            <w:tcW w:w="1728" w:type="dxa"/>
          </w:tcPr>
          <w:p w14:paraId="32674372" w14:textId="77777777" w:rsidR="00C02540" w:rsidRDefault="00000000">
            <w:pPr>
              <w:cnfStyle w:val="000000100000" w:firstRow="0" w:lastRow="0" w:firstColumn="0" w:lastColumn="0" w:oddVBand="0" w:evenVBand="0" w:oddHBand="1" w:evenHBand="0" w:firstRowFirstColumn="0" w:firstRowLastColumn="0" w:lastRowFirstColumn="0" w:lastRowLastColumn="0"/>
            </w:pPr>
            <w:r>
              <w:t>0.56</w:t>
            </w:r>
          </w:p>
        </w:tc>
      </w:tr>
      <w:tr w:rsidR="00C02540" w14:paraId="7BD24668" w14:textId="77777777" w:rsidTr="00C025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9F83F4" w14:textId="77777777" w:rsidR="00C02540" w:rsidRDefault="00000000">
            <w:r>
              <w:t>LSTM-Attention-SHAP</w:t>
            </w:r>
          </w:p>
        </w:tc>
        <w:tc>
          <w:tcPr>
            <w:tcW w:w="1728" w:type="dxa"/>
          </w:tcPr>
          <w:p w14:paraId="1596059B" w14:textId="77777777" w:rsidR="00C02540" w:rsidRDefault="00000000">
            <w:pPr>
              <w:cnfStyle w:val="000000010000" w:firstRow="0" w:lastRow="0" w:firstColumn="0" w:lastColumn="0" w:oddVBand="0" w:evenVBand="0" w:oddHBand="0" w:evenHBand="1" w:firstRowFirstColumn="0" w:firstRowLastColumn="0" w:lastRowFirstColumn="0" w:lastRowLastColumn="0"/>
            </w:pPr>
            <w:r>
              <w:t>1.50 ± 0.08</w:t>
            </w:r>
          </w:p>
        </w:tc>
        <w:tc>
          <w:tcPr>
            <w:tcW w:w="1728" w:type="dxa"/>
          </w:tcPr>
          <w:p w14:paraId="3761B63E" w14:textId="77777777" w:rsidR="00C02540" w:rsidRDefault="00000000">
            <w:pPr>
              <w:cnfStyle w:val="000000010000" w:firstRow="0" w:lastRow="0" w:firstColumn="0" w:lastColumn="0" w:oddVBand="0" w:evenVBand="0" w:oddHBand="0" w:evenHBand="1" w:firstRowFirstColumn="0" w:firstRowLastColumn="0" w:lastRowFirstColumn="0" w:lastRowLastColumn="0"/>
            </w:pPr>
            <w:r>
              <w:t>1.1</w:t>
            </w:r>
          </w:p>
        </w:tc>
        <w:tc>
          <w:tcPr>
            <w:tcW w:w="1728" w:type="dxa"/>
          </w:tcPr>
          <w:p w14:paraId="3A99456F" w14:textId="77777777" w:rsidR="00C02540" w:rsidRDefault="00000000">
            <w:pPr>
              <w:cnfStyle w:val="000000010000" w:firstRow="0" w:lastRow="0" w:firstColumn="0" w:lastColumn="0" w:oddVBand="0" w:evenVBand="0" w:oddHBand="0" w:evenHBand="1" w:firstRowFirstColumn="0" w:firstRowLastColumn="0" w:lastRowFirstColumn="0" w:lastRowLastColumn="0"/>
            </w:pPr>
            <w:r>
              <w:t>0.285</w:t>
            </w:r>
          </w:p>
        </w:tc>
        <w:tc>
          <w:tcPr>
            <w:tcW w:w="1728" w:type="dxa"/>
          </w:tcPr>
          <w:p w14:paraId="25099628" w14:textId="77777777" w:rsidR="00C02540" w:rsidRDefault="00000000">
            <w:pPr>
              <w:cnfStyle w:val="000000010000" w:firstRow="0" w:lastRow="0" w:firstColumn="0" w:lastColumn="0" w:oddVBand="0" w:evenVBand="0" w:oddHBand="0" w:evenHBand="1" w:firstRowFirstColumn="0" w:firstRowLastColumn="0" w:lastRowFirstColumn="0" w:lastRowLastColumn="0"/>
            </w:pPr>
            <w:r>
              <w:t>0.72</w:t>
            </w:r>
          </w:p>
        </w:tc>
      </w:tr>
    </w:tbl>
    <w:p w14:paraId="630965D3" w14:textId="2B4E83B9" w:rsidR="00C02540" w:rsidRDefault="00000000" w:rsidP="005561EC">
      <w:pPr>
        <w:jc w:val="center"/>
      </w:pPr>
      <w:r>
        <w:rPr>
          <w:i/>
          <w:sz w:val="20"/>
        </w:rPr>
        <w:t>Table 1: Volatility Forecasting Performance Comparison (S&amp;P 500 Test Set, 2023-2024). Values show mean ± standard deviation across 5 random initializations. Lower RMSE/MAE/QLIKE and higher R² indicate better performance. **p&lt;0.01, ***p&lt;0.001 via Diebold-Mariano test versus LSTM-Attention-SHAP.</w:t>
      </w:r>
    </w:p>
    <w:p w14:paraId="7A944822" w14:textId="77777777" w:rsidR="00C02540" w:rsidRDefault="00000000">
      <w:r>
        <w:t>Our LSTM-Attention-SHAP model achieves the lowest Root Mean Squared Error (RMSE=</w:t>
      </w:r>
      <w:proofErr w:type="gramStart"/>
      <w:r>
        <w:t>0.0150×10⁻²</w:t>
      </w:r>
      <w:proofErr w:type="gramEnd"/>
      <w:r>
        <w:t>) across all benchmarks, representing a 28.6% reduction compared to the GARCH(1,1) baseline (</w:t>
      </w:r>
      <w:proofErr w:type="gramStart"/>
      <w:r>
        <w:t>0.0210×10⁻²</w:t>
      </w:r>
      <w:proofErr w:type="gramEnd"/>
      <w:r>
        <w:t>) and a 21.9% improvement over the strong HAR-RV model (</w:t>
      </w:r>
      <w:proofErr w:type="gramStart"/>
      <w:r>
        <w:t>0.0192×10⁻²</w:t>
      </w:r>
      <w:proofErr w:type="gramEnd"/>
      <w:r>
        <w:t>). The model also demonstrates superior performance on Mean Absolute Error (MAE=1.10×10⁻²), QLIKE loss (0.285), and R² coefficient (0.72), the latter indicating that the model explains 72% of volatility variance compared to 45% for GARCH(1,1).</w:t>
      </w:r>
      <w:r>
        <w:br/>
      </w:r>
      <w:r>
        <w:br/>
        <w:t xml:space="preserve">Notably, our model substantially outperforms the vanilla LSTM (RMSE=0.0189×10⁻²), demonstrating that the attention mechanism provides meaningful improvement beyond standard recurrent architectures. The model also surpasses XGBoost </w:t>
      </w:r>
      <w:r>
        <w:lastRenderedPageBreak/>
        <w:t>(RMSE=0.0185×10⁻²), a strong machine learning baseline commonly used in finance, confirming that sequential modeling is essential for capturing temporal dependencies in volatility dynamics.</w:t>
      </w:r>
      <w:r>
        <w:br/>
      </w:r>
      <w:r>
        <w:br/>
        <w:t>Statistical significance is confirmed through Diebold-Mariano (DM) tests (Diebold and Mariano, 1995), which compare forecast accuracy between pairs of models. The DM test statistic for LSTM-Attention-SHAP versus GARCH(1,1) yields a p-value &lt; 0.001, indicating that the improvement is highly statistically significant and not due to random variation. Similar significance levels are observed across all pairwise comparisons, confirming robust superiority.</w:t>
      </w:r>
    </w:p>
    <w:p w14:paraId="25A0438E" w14:textId="77777777" w:rsidR="00C02540" w:rsidRDefault="00000000">
      <w:pPr>
        <w:jc w:val="center"/>
      </w:pPr>
      <w:r>
        <w:rPr>
          <w:noProof/>
        </w:rPr>
        <w:drawing>
          <wp:inline distT="0" distB="0" distL="0" distR="0" wp14:anchorId="6D6C12D8" wp14:editId="661BEC1E">
            <wp:extent cx="5486400" cy="19289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validation_loss.png"/>
                    <pic:cNvPicPr/>
                  </pic:nvPicPr>
                  <pic:blipFill>
                    <a:blip r:embed="rId7"/>
                    <a:stretch>
                      <a:fillRect/>
                    </a:stretch>
                  </pic:blipFill>
                  <pic:spPr>
                    <a:xfrm>
                      <a:off x="0" y="0"/>
                      <a:ext cx="5486400" cy="1928936"/>
                    </a:xfrm>
                    <a:prstGeom prst="rect">
                      <a:avLst/>
                    </a:prstGeom>
                  </pic:spPr>
                </pic:pic>
              </a:graphicData>
            </a:graphic>
          </wp:inline>
        </w:drawing>
      </w:r>
    </w:p>
    <w:p w14:paraId="104C542A" w14:textId="77777777" w:rsidR="00C02540" w:rsidRDefault="00000000">
      <w:pPr>
        <w:jc w:val="center"/>
      </w:pPr>
      <w:r>
        <w:rPr>
          <w:i/>
          <w:sz w:val="20"/>
        </w:rPr>
        <w:t>Figure 2: Training and Validation Loss Curves. The model converges smoothly without overfitting, with validation loss stabilizing around epoch 45. Early stopping at epoch 60 prevents unnecessary computation while maintaining optimal generalization.</w:t>
      </w:r>
    </w:p>
    <w:p w14:paraId="5B457DDD" w14:textId="77777777" w:rsidR="00C02540" w:rsidRDefault="00C02540"/>
    <w:p w14:paraId="13FA6061" w14:textId="77777777" w:rsidR="00C02540" w:rsidRDefault="00000000">
      <w:r>
        <w:t>Figure 2 displays the training and validation loss curves across epochs. The smooth convergence without divergence between training and validation losses indicates that the model generalizes well without overfitting, despite the relatively small dataset. The learning rate schedule and regularization techniques (dropout, early stopping) effectively prevent overfitting while enabling the model to learn complex patterns.</w:t>
      </w:r>
    </w:p>
    <w:p w14:paraId="07501B98" w14:textId="77777777" w:rsidR="00C02540" w:rsidRDefault="00000000">
      <w:pPr>
        <w:pStyle w:val="Heading2"/>
      </w:pPr>
      <w:r>
        <w:t>4.2 Tail Risk (Value at Risk) Performance</w:t>
      </w:r>
    </w:p>
    <w:p w14:paraId="273F4C18" w14:textId="77777777" w:rsidR="00C02540" w:rsidRDefault="00000000">
      <w:r>
        <w:t xml:space="preserve">Accurate tail risk forecasting is critical for regulatory capital calculations under Basel III/IV frameworks and for internal risk management. We evaluate 99% Value at Risk (VaR) predictions—representing the maximum expected loss with 1% probability—using industry-standard </w:t>
      </w:r>
      <w:proofErr w:type="spellStart"/>
      <w:r>
        <w:t>backtesting</w:t>
      </w:r>
      <w:proofErr w:type="spellEnd"/>
      <w:r>
        <w:t xml:space="preserve"> procedures.</w:t>
      </w:r>
    </w:p>
    <w:p w14:paraId="31FA0B8B" w14:textId="77777777" w:rsidR="005561EC" w:rsidRDefault="005561EC"/>
    <w:p w14:paraId="00066BAA" w14:textId="77777777" w:rsidR="005561EC" w:rsidRDefault="005561EC"/>
    <w:tbl>
      <w:tblPr>
        <w:tblStyle w:val="LightGrid-Accent1"/>
        <w:tblW w:w="0" w:type="auto"/>
        <w:tblLook w:val="04A0" w:firstRow="1" w:lastRow="0" w:firstColumn="1" w:lastColumn="0" w:noHBand="0" w:noVBand="1"/>
      </w:tblPr>
      <w:tblGrid>
        <w:gridCol w:w="1728"/>
        <w:gridCol w:w="1728"/>
        <w:gridCol w:w="1728"/>
        <w:gridCol w:w="1728"/>
        <w:gridCol w:w="1728"/>
      </w:tblGrid>
      <w:tr w:rsidR="00C02540" w14:paraId="70F3DF91" w14:textId="77777777" w:rsidTr="00C02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56FF33" w14:textId="77777777" w:rsidR="00C02540" w:rsidRDefault="00000000">
            <w:r>
              <w:lastRenderedPageBreak/>
              <w:t>Model</w:t>
            </w:r>
          </w:p>
        </w:tc>
        <w:tc>
          <w:tcPr>
            <w:tcW w:w="1728" w:type="dxa"/>
          </w:tcPr>
          <w:p w14:paraId="1E891023" w14:textId="77777777" w:rsidR="00C02540" w:rsidRDefault="00000000">
            <w:pPr>
              <w:cnfStyle w:val="100000000000" w:firstRow="1" w:lastRow="0" w:firstColumn="0" w:lastColumn="0" w:oddVBand="0" w:evenVBand="0" w:oddHBand="0" w:evenHBand="0" w:firstRowFirstColumn="0" w:firstRowLastColumn="0" w:lastRowFirstColumn="0" w:lastRowLastColumn="0"/>
            </w:pPr>
            <w:r>
              <w:t>Violation Rate (%)</w:t>
            </w:r>
          </w:p>
        </w:tc>
        <w:tc>
          <w:tcPr>
            <w:tcW w:w="1728" w:type="dxa"/>
          </w:tcPr>
          <w:p w14:paraId="0B3CC292" w14:textId="77777777" w:rsidR="00C02540" w:rsidRDefault="00000000">
            <w:pPr>
              <w:cnfStyle w:val="100000000000" w:firstRow="1" w:lastRow="0" w:firstColumn="0" w:lastColumn="0" w:oddVBand="0" w:evenVBand="0" w:oddHBand="0" w:evenHBand="0" w:firstRowFirstColumn="0" w:firstRowLastColumn="0" w:lastRowFirstColumn="0" w:lastRowLastColumn="0"/>
            </w:pPr>
            <w:r>
              <w:t>Kupiec LR</w:t>
            </w:r>
          </w:p>
        </w:tc>
        <w:tc>
          <w:tcPr>
            <w:tcW w:w="1728" w:type="dxa"/>
          </w:tcPr>
          <w:p w14:paraId="350102D4" w14:textId="77777777" w:rsidR="00C02540" w:rsidRDefault="00000000">
            <w:pPr>
              <w:cnfStyle w:val="100000000000" w:firstRow="1" w:lastRow="0" w:firstColumn="0" w:lastColumn="0" w:oddVBand="0" w:evenVBand="0" w:oddHBand="0" w:evenHBand="0" w:firstRowFirstColumn="0" w:firstRowLastColumn="0" w:lastRowFirstColumn="0" w:lastRowLastColumn="0"/>
            </w:pPr>
            <w:r>
              <w:t>Christoffersen LR</w:t>
            </w:r>
          </w:p>
        </w:tc>
        <w:tc>
          <w:tcPr>
            <w:tcW w:w="1728" w:type="dxa"/>
          </w:tcPr>
          <w:p w14:paraId="02D643CE" w14:textId="77777777" w:rsidR="00C02540" w:rsidRDefault="00000000">
            <w:pPr>
              <w:cnfStyle w:val="100000000000" w:firstRow="1" w:lastRow="0" w:firstColumn="0" w:lastColumn="0" w:oddVBand="0" w:evenVBand="0" w:oddHBand="0" w:evenHBand="0" w:firstRowFirstColumn="0" w:firstRowLastColumn="0" w:lastRowFirstColumn="0" w:lastRowLastColumn="0"/>
            </w:pPr>
            <w:r>
              <w:t>Result</w:t>
            </w:r>
          </w:p>
        </w:tc>
      </w:tr>
      <w:tr w:rsidR="00C02540" w14:paraId="50C23A80" w14:textId="77777777" w:rsidTr="00C02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D4C48C" w14:textId="77777777" w:rsidR="00C02540" w:rsidRDefault="00000000">
            <w:r>
              <w:t>Target</w:t>
            </w:r>
          </w:p>
        </w:tc>
        <w:tc>
          <w:tcPr>
            <w:tcW w:w="1728" w:type="dxa"/>
          </w:tcPr>
          <w:p w14:paraId="3B851DFB" w14:textId="77777777" w:rsidR="00C02540" w:rsidRDefault="00000000">
            <w:pPr>
              <w:cnfStyle w:val="000000100000" w:firstRow="0" w:lastRow="0" w:firstColumn="0" w:lastColumn="0" w:oddVBand="0" w:evenVBand="0" w:oddHBand="1" w:evenHBand="0" w:firstRowFirstColumn="0" w:firstRowLastColumn="0" w:lastRowFirstColumn="0" w:lastRowLastColumn="0"/>
            </w:pPr>
            <w:r>
              <w:t>1.0</w:t>
            </w:r>
          </w:p>
        </w:tc>
        <w:tc>
          <w:tcPr>
            <w:tcW w:w="1728" w:type="dxa"/>
          </w:tcPr>
          <w:p w14:paraId="7CDBE7F8" w14:textId="77777777" w:rsidR="00C02540" w:rsidRDefault="00000000">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1B5F015E" w14:textId="77777777" w:rsidR="00C02540" w:rsidRDefault="00000000">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26C438C2" w14:textId="77777777" w:rsidR="00C02540" w:rsidRDefault="00000000">
            <w:pPr>
              <w:cnfStyle w:val="000000100000" w:firstRow="0" w:lastRow="0" w:firstColumn="0" w:lastColumn="0" w:oddVBand="0" w:evenVBand="0" w:oddHBand="1" w:evenHBand="0" w:firstRowFirstColumn="0" w:firstRowLastColumn="0" w:lastRowFirstColumn="0" w:lastRowLastColumn="0"/>
            </w:pPr>
            <w:r>
              <w:t>-</w:t>
            </w:r>
          </w:p>
        </w:tc>
      </w:tr>
      <w:tr w:rsidR="00C02540" w14:paraId="74C42FEB" w14:textId="77777777" w:rsidTr="00C025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4B1A0A" w14:textId="77777777" w:rsidR="00C02540" w:rsidRDefault="00000000">
            <w:r>
              <w:t>GARCH(1,1)</w:t>
            </w:r>
          </w:p>
        </w:tc>
        <w:tc>
          <w:tcPr>
            <w:tcW w:w="1728" w:type="dxa"/>
          </w:tcPr>
          <w:p w14:paraId="4A32CDCB" w14:textId="77777777" w:rsidR="00C02540" w:rsidRDefault="00000000">
            <w:pPr>
              <w:cnfStyle w:val="000000010000" w:firstRow="0" w:lastRow="0" w:firstColumn="0" w:lastColumn="0" w:oddVBand="0" w:evenVBand="0" w:oddHBand="0" w:evenHBand="1" w:firstRowFirstColumn="0" w:firstRowLastColumn="0" w:lastRowFirstColumn="0" w:lastRowLastColumn="0"/>
            </w:pPr>
            <w:r>
              <w:t>1.8</w:t>
            </w:r>
          </w:p>
        </w:tc>
        <w:tc>
          <w:tcPr>
            <w:tcW w:w="1728" w:type="dxa"/>
          </w:tcPr>
          <w:p w14:paraId="1A0DCE9F" w14:textId="77777777" w:rsidR="00C02540" w:rsidRDefault="00000000">
            <w:pPr>
              <w:cnfStyle w:val="000000010000" w:firstRow="0" w:lastRow="0" w:firstColumn="0" w:lastColumn="0" w:oddVBand="0" w:evenVBand="0" w:oddHBand="0" w:evenHBand="1" w:firstRowFirstColumn="0" w:firstRowLastColumn="0" w:lastRowFirstColumn="0" w:lastRowLastColumn="0"/>
            </w:pPr>
            <w:r>
              <w:t>6.45**</w:t>
            </w:r>
          </w:p>
        </w:tc>
        <w:tc>
          <w:tcPr>
            <w:tcW w:w="1728" w:type="dxa"/>
          </w:tcPr>
          <w:p w14:paraId="1EBC767E" w14:textId="77777777" w:rsidR="00C02540" w:rsidRDefault="00000000">
            <w:pPr>
              <w:cnfStyle w:val="000000010000" w:firstRow="0" w:lastRow="0" w:firstColumn="0" w:lastColumn="0" w:oddVBand="0" w:evenVBand="0" w:oddHBand="0" w:evenHBand="1" w:firstRowFirstColumn="0" w:firstRowLastColumn="0" w:lastRowFirstColumn="0" w:lastRowLastColumn="0"/>
            </w:pPr>
            <w:r>
              <w:t>7.12**</w:t>
            </w:r>
          </w:p>
        </w:tc>
        <w:tc>
          <w:tcPr>
            <w:tcW w:w="1728" w:type="dxa"/>
          </w:tcPr>
          <w:p w14:paraId="3F1A7340" w14:textId="77777777" w:rsidR="00C02540" w:rsidRDefault="00000000">
            <w:pPr>
              <w:cnfStyle w:val="000000010000" w:firstRow="0" w:lastRow="0" w:firstColumn="0" w:lastColumn="0" w:oddVBand="0" w:evenVBand="0" w:oddHBand="0" w:evenHBand="1" w:firstRowFirstColumn="0" w:firstRowLastColumn="0" w:lastRowFirstColumn="0" w:lastRowLastColumn="0"/>
            </w:pPr>
            <w:r>
              <w:t>Reject</w:t>
            </w:r>
          </w:p>
        </w:tc>
      </w:tr>
      <w:tr w:rsidR="00C02540" w14:paraId="174D3907" w14:textId="77777777" w:rsidTr="00C02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6F4A20" w14:textId="77777777" w:rsidR="00C02540" w:rsidRDefault="00000000">
            <w:r>
              <w:t>XGBoost</w:t>
            </w:r>
          </w:p>
        </w:tc>
        <w:tc>
          <w:tcPr>
            <w:tcW w:w="1728" w:type="dxa"/>
          </w:tcPr>
          <w:p w14:paraId="397B7BED" w14:textId="77777777" w:rsidR="00C02540" w:rsidRDefault="00000000">
            <w:pPr>
              <w:cnfStyle w:val="000000100000" w:firstRow="0" w:lastRow="0" w:firstColumn="0" w:lastColumn="0" w:oddVBand="0" w:evenVBand="0" w:oddHBand="1" w:evenHBand="0" w:firstRowFirstColumn="0" w:firstRowLastColumn="0" w:lastRowFirstColumn="0" w:lastRowLastColumn="0"/>
            </w:pPr>
            <w:r>
              <w:t>1.35</w:t>
            </w:r>
          </w:p>
        </w:tc>
        <w:tc>
          <w:tcPr>
            <w:tcW w:w="1728" w:type="dxa"/>
          </w:tcPr>
          <w:p w14:paraId="514E05D1" w14:textId="77777777" w:rsidR="00C02540" w:rsidRDefault="00000000">
            <w:pPr>
              <w:cnfStyle w:val="000000100000" w:firstRow="0" w:lastRow="0" w:firstColumn="0" w:lastColumn="0" w:oddVBand="0" w:evenVBand="0" w:oddHBand="1" w:evenHBand="0" w:firstRowFirstColumn="0" w:firstRowLastColumn="0" w:lastRowFirstColumn="0" w:lastRowLastColumn="0"/>
            </w:pPr>
            <w:r>
              <w:t>2.10</w:t>
            </w:r>
          </w:p>
        </w:tc>
        <w:tc>
          <w:tcPr>
            <w:tcW w:w="1728" w:type="dxa"/>
          </w:tcPr>
          <w:p w14:paraId="39421125" w14:textId="77777777" w:rsidR="00C02540" w:rsidRDefault="00000000">
            <w:pPr>
              <w:cnfStyle w:val="000000100000" w:firstRow="0" w:lastRow="0" w:firstColumn="0" w:lastColumn="0" w:oddVBand="0" w:evenVBand="0" w:oddHBand="1" w:evenHBand="0" w:firstRowFirstColumn="0" w:firstRowLastColumn="0" w:lastRowFirstColumn="0" w:lastRowLastColumn="0"/>
            </w:pPr>
            <w:r>
              <w:t>2.85</w:t>
            </w:r>
          </w:p>
        </w:tc>
        <w:tc>
          <w:tcPr>
            <w:tcW w:w="1728" w:type="dxa"/>
          </w:tcPr>
          <w:p w14:paraId="369899B3" w14:textId="77777777" w:rsidR="00C02540" w:rsidRDefault="00000000">
            <w:pPr>
              <w:cnfStyle w:val="000000100000" w:firstRow="0" w:lastRow="0" w:firstColumn="0" w:lastColumn="0" w:oddVBand="0" w:evenVBand="0" w:oddHBand="1" w:evenHBand="0" w:firstRowFirstColumn="0" w:firstRowLastColumn="0" w:lastRowFirstColumn="0" w:lastRowLastColumn="0"/>
            </w:pPr>
            <w:r>
              <w:t>Accept</w:t>
            </w:r>
          </w:p>
        </w:tc>
      </w:tr>
      <w:tr w:rsidR="00C02540" w14:paraId="1CA844B4" w14:textId="77777777" w:rsidTr="00C025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918296" w14:textId="77777777" w:rsidR="00C02540" w:rsidRDefault="00000000">
            <w:r>
              <w:t>LSTM-Attention</w:t>
            </w:r>
          </w:p>
        </w:tc>
        <w:tc>
          <w:tcPr>
            <w:tcW w:w="1728" w:type="dxa"/>
          </w:tcPr>
          <w:p w14:paraId="514B5B14" w14:textId="77777777" w:rsidR="00C02540" w:rsidRDefault="00000000">
            <w:pPr>
              <w:cnfStyle w:val="000000010000" w:firstRow="0" w:lastRow="0" w:firstColumn="0" w:lastColumn="0" w:oddVBand="0" w:evenVBand="0" w:oddHBand="0" w:evenHBand="1" w:firstRowFirstColumn="0" w:firstRowLastColumn="0" w:lastRowFirstColumn="0" w:lastRowLastColumn="0"/>
            </w:pPr>
            <w:r>
              <w:t>1.05</w:t>
            </w:r>
          </w:p>
        </w:tc>
        <w:tc>
          <w:tcPr>
            <w:tcW w:w="1728" w:type="dxa"/>
          </w:tcPr>
          <w:p w14:paraId="52F1FD02" w14:textId="77777777" w:rsidR="00C02540" w:rsidRDefault="00000000">
            <w:pPr>
              <w:cnfStyle w:val="000000010000" w:firstRow="0" w:lastRow="0" w:firstColumn="0" w:lastColumn="0" w:oddVBand="0" w:evenVBand="0" w:oddHBand="0" w:evenHBand="1" w:firstRowFirstColumn="0" w:firstRowLastColumn="0" w:lastRowFirstColumn="0" w:lastRowLastColumn="0"/>
            </w:pPr>
            <w:r>
              <w:t>0.08</w:t>
            </w:r>
          </w:p>
        </w:tc>
        <w:tc>
          <w:tcPr>
            <w:tcW w:w="1728" w:type="dxa"/>
          </w:tcPr>
          <w:p w14:paraId="28842166" w14:textId="77777777" w:rsidR="00C02540" w:rsidRDefault="00000000">
            <w:pPr>
              <w:cnfStyle w:val="000000010000" w:firstRow="0" w:lastRow="0" w:firstColumn="0" w:lastColumn="0" w:oddVBand="0" w:evenVBand="0" w:oddHBand="0" w:evenHBand="1" w:firstRowFirstColumn="0" w:firstRowLastColumn="0" w:lastRowFirstColumn="0" w:lastRowLastColumn="0"/>
            </w:pPr>
            <w:r>
              <w:t>0.15</w:t>
            </w:r>
          </w:p>
        </w:tc>
        <w:tc>
          <w:tcPr>
            <w:tcW w:w="1728" w:type="dxa"/>
          </w:tcPr>
          <w:p w14:paraId="70022091" w14:textId="77777777" w:rsidR="00C02540" w:rsidRDefault="00000000">
            <w:pPr>
              <w:cnfStyle w:val="000000010000" w:firstRow="0" w:lastRow="0" w:firstColumn="0" w:lastColumn="0" w:oddVBand="0" w:evenVBand="0" w:oddHBand="0" w:evenHBand="1" w:firstRowFirstColumn="0" w:firstRowLastColumn="0" w:lastRowFirstColumn="0" w:lastRowLastColumn="0"/>
            </w:pPr>
            <w:r>
              <w:t>Accept</w:t>
            </w:r>
          </w:p>
        </w:tc>
      </w:tr>
    </w:tbl>
    <w:p w14:paraId="7E6061C3" w14:textId="77777777" w:rsidR="00C02540" w:rsidRDefault="00000000">
      <w:pPr>
        <w:jc w:val="center"/>
      </w:pPr>
      <w:r>
        <w:rPr>
          <w:i/>
          <w:sz w:val="20"/>
        </w:rPr>
        <w:t>Table 2: 99% Value at Risk Backtesting Results. The target violation rate is 1%. Kupiec LR tests unconditional coverage, Christoffersen LR tests independence of violations. **p&lt;0.05 indicates rejection. Lower violation rates near target and acceptance of tests indicate superior calibration.</w:t>
      </w:r>
    </w:p>
    <w:p w14:paraId="529374C4" w14:textId="77777777" w:rsidR="00C02540" w:rsidRDefault="00C02540"/>
    <w:p w14:paraId="7DF37803" w14:textId="77777777" w:rsidR="00C02540" w:rsidRDefault="00000000">
      <w:r>
        <w:t>Table 2 presents rigorous VaR backtesting results. The GARCH(1,1) model significantly underestimates tail risk with a violation rate of 1.80%—nearly double the 1% target—resulting in rejection of both Kupiec's Proportion of Failures (POF) test (LR=6.45, p&lt;0.05) and Christoffersen's conditional coverage test (LR=7.12, p&lt;0.05). This systematic underestimation of tail risk during extreme events was a key contributor to insufficient capital buffers during the 2008 financial crisis.</w:t>
      </w:r>
      <w:r>
        <w:br/>
      </w:r>
      <w:r>
        <w:br/>
        <w:t>In contrast, our LSTM-Attention model achieves an exceptional violation rate of 1.05%, which is statistically indistinguishable from the theoretical 1% target. Both Kupiec's test (LR=0.08, p=0.78) and Christoffersen's test (LR=0.15, p=0.93) fail to reject the null hypothesis of correct calibration, indicating that the model provides accurate tail risk forecasts without clustering violations (which would suggest model misspecification). XGBoost shows intermediate performance (1.35% violations) with acceptable test statistics, but still underperforms our sequential model.</w:t>
      </w:r>
      <w:r>
        <w:br/>
      </w:r>
      <w:r>
        <w:br/>
        <w:t>The superior VaR performance has direct practical implications: accurate tail risk forecasts enable financial institutions to hold appropriate capital buffers—neither excessive (costly for shareholders) nor insufficient (risky for regulators and financial stability). The 0.75 percentage point improvement over GARCH translates to millions of dollars in optimal capital allocation for large portfolios.</w:t>
      </w:r>
    </w:p>
    <w:p w14:paraId="0050121D" w14:textId="77777777" w:rsidR="00C02540" w:rsidRDefault="00000000">
      <w:pPr>
        <w:jc w:val="center"/>
      </w:pPr>
      <w:r>
        <w:rPr>
          <w:noProof/>
        </w:rPr>
        <w:lastRenderedPageBreak/>
        <w:drawing>
          <wp:inline distT="0" distB="0" distL="0" distR="0" wp14:anchorId="583E1A48" wp14:editId="61831EC3">
            <wp:extent cx="5943600" cy="25178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_backtesting_plot.png"/>
                    <pic:cNvPicPr/>
                  </pic:nvPicPr>
                  <pic:blipFill>
                    <a:blip r:embed="rId8"/>
                    <a:stretch>
                      <a:fillRect/>
                    </a:stretch>
                  </pic:blipFill>
                  <pic:spPr>
                    <a:xfrm>
                      <a:off x="0" y="0"/>
                      <a:ext cx="5943600" cy="2517894"/>
                    </a:xfrm>
                    <a:prstGeom prst="rect">
                      <a:avLst/>
                    </a:prstGeom>
                  </pic:spPr>
                </pic:pic>
              </a:graphicData>
            </a:graphic>
          </wp:inline>
        </w:drawing>
      </w:r>
    </w:p>
    <w:p w14:paraId="44062D8E" w14:textId="115D008C" w:rsidR="00C02540" w:rsidRDefault="00000000" w:rsidP="005561EC">
      <w:pPr>
        <w:jc w:val="center"/>
      </w:pPr>
      <w:r>
        <w:rPr>
          <w:i/>
          <w:sz w:val="20"/>
        </w:rPr>
        <w:t>Figure 3: 99% Value at Risk Backtesting with Exception Indicators. Red markers indicate days when actual losses exceeded VaR predictions (violations). The LSTM-Attention model shows well-calibrated, non-clustered violations matching the theoretical 1% rate, while GARCH systematically underestimates risk during volatile periods.</w:t>
      </w:r>
    </w:p>
    <w:p w14:paraId="3C0E70AF" w14:textId="77777777" w:rsidR="00C02540" w:rsidRDefault="00000000">
      <w:r>
        <w:t>Figure 3 visualizes the VaR forecasts over the test period with violation markers. Notably, GARCH violations cluster during the volatile periods of Q2-Q3 2023, indicating that the model fails to adapt quickly to changing market conditions. Our LSTM-Attention model's violations are more evenly distributed and closely match the expected frequency, demonstrating superior dynamic adjustment to evolving volatility regimes.</w:t>
      </w:r>
    </w:p>
    <w:p w14:paraId="1105CA16" w14:textId="77777777" w:rsidR="00C02540" w:rsidRDefault="00000000">
      <w:pPr>
        <w:pStyle w:val="Heading2"/>
      </w:pPr>
      <w:r>
        <w:t>4.3 Cross-Asset Robustness</w:t>
      </w:r>
    </w:p>
    <w:p w14:paraId="26265FAC" w14:textId="77777777" w:rsidR="00C02540" w:rsidRDefault="00000000">
      <w:r>
        <w:t>To verify that our results generalize beyond the S&amp;P 500, we evaluate the LSTM-Attention-SHAP model across all five asset classes. The model achieves consistent improvements across diverse markets: 26% RMSE reduction for NASDAQ (tech-heavy equities), 31% for WTI Crude Oil (commodity), 24% for Gold (safe haven), and 19% for EUR/USD (currency). This cross-asset consistency confirms that the model captures fundamental volatility dynamics rather than overfitting to equity-specific patterns. The slightly smaller improvement for EUR/USD reflects the lower overall volatility and fewer extreme events in currency markets compared to equities and commodities, leaving less room for improvement over well-calibrated GARCH models.</w:t>
      </w:r>
    </w:p>
    <w:p w14:paraId="29310D5F" w14:textId="77777777" w:rsidR="00C02540" w:rsidRDefault="00000000">
      <w:r>
        <w:br w:type="page"/>
      </w:r>
    </w:p>
    <w:p w14:paraId="59DABEB7" w14:textId="77777777" w:rsidR="00C02540" w:rsidRDefault="00000000">
      <w:pPr>
        <w:pStyle w:val="Heading1"/>
      </w:pPr>
      <w:r>
        <w:lastRenderedPageBreak/>
        <w:t>5. Interpretability Analysis</w:t>
      </w:r>
    </w:p>
    <w:p w14:paraId="37D35E14" w14:textId="77777777" w:rsidR="00C02540" w:rsidRDefault="00000000">
      <w:r>
        <w:t>This section validates the explainability component of our framework through comprehensive SHAP analysis and attention mechanism visualization. Interpretability is not merely a regulatory requirement but provides actionable insights into volatility drivers and model behavior, enabling risk managers to understand, trust, and effectively utilize the model's predictions.</w:t>
      </w:r>
    </w:p>
    <w:p w14:paraId="42CCF8D0" w14:textId="77777777" w:rsidR="00C02540" w:rsidRDefault="00000000">
      <w:pPr>
        <w:pStyle w:val="Heading2"/>
      </w:pPr>
      <w:r>
        <w:t>5.1 Global Feature Importance via SHAP</w:t>
      </w:r>
    </w:p>
    <w:p w14:paraId="4C720B58" w14:textId="77777777" w:rsidR="00C02540" w:rsidRDefault="00000000">
      <w:r>
        <w:t>We apply SHAP (SHapley Additive Explanations) using the DeepExplainer algorithm specifically designed for neural networks. SHAP values decompose each prediction into additive contributions from individual features, satisfying desirable theoretical properties including local accuracy, consistency, and the dummy feature property. For each prediction ŷ, the SHAP decomposition is:</w:t>
      </w:r>
    </w:p>
    <w:p w14:paraId="0ED4FB4A" w14:textId="77777777" w:rsidR="00A460CD" w:rsidRDefault="00000000">
      <w:pPr>
        <w:rPr>
          <w:rFonts w:ascii="Courier New" w:hAnsi="Courier New"/>
          <w:sz w:val="20"/>
        </w:rPr>
      </w:pPr>
      <w:r>
        <w:rPr>
          <w:rFonts w:ascii="Courier New" w:hAnsi="Courier New"/>
          <w:sz w:val="20"/>
        </w:rPr>
        <w:br/>
        <w:t xml:space="preserve">    ŷ = φ₀ + Σᵢ φᵢ(xᵢ)</w:t>
      </w:r>
      <w:r>
        <w:rPr>
          <w:rFonts w:ascii="Courier New" w:hAnsi="Courier New"/>
          <w:sz w:val="20"/>
        </w:rPr>
        <w:br/>
        <w:t xml:space="preserve">    </w:t>
      </w:r>
      <w:r>
        <w:rPr>
          <w:rFonts w:ascii="Courier New" w:hAnsi="Courier New"/>
          <w:sz w:val="20"/>
        </w:rPr>
        <w:br/>
        <w:t xml:space="preserve">    where φ₀ is the base value (average model output), and φᵢ(xᵢ) is the SHAP value quantifying feature i's contribution.</w:t>
      </w:r>
    </w:p>
    <w:p w14:paraId="24C9D2FF" w14:textId="77777777" w:rsidR="00A460CD" w:rsidRDefault="00A460CD">
      <w:pPr>
        <w:rPr>
          <w:rFonts w:ascii="Courier New" w:hAnsi="Courier New"/>
          <w:sz w:val="20"/>
        </w:rPr>
      </w:pPr>
    </w:p>
    <w:p w14:paraId="20807806" w14:textId="77777777" w:rsidR="00A460CD" w:rsidRDefault="00A460CD">
      <w:pPr>
        <w:rPr>
          <w:rFonts w:ascii="Courier New" w:hAnsi="Courier New"/>
          <w:sz w:val="20"/>
        </w:rPr>
      </w:pPr>
    </w:p>
    <w:p w14:paraId="59260CFF" w14:textId="77777777" w:rsidR="00A460CD" w:rsidRDefault="00A460CD">
      <w:pPr>
        <w:rPr>
          <w:rFonts w:ascii="Courier New" w:hAnsi="Courier New"/>
          <w:sz w:val="20"/>
        </w:rPr>
      </w:pPr>
    </w:p>
    <w:p w14:paraId="1B2351DB" w14:textId="77777777" w:rsidR="00A460CD" w:rsidRDefault="00A460CD">
      <w:pPr>
        <w:rPr>
          <w:rFonts w:ascii="Courier New" w:hAnsi="Courier New"/>
          <w:sz w:val="20"/>
        </w:rPr>
      </w:pPr>
    </w:p>
    <w:p w14:paraId="1007B07A" w14:textId="77777777" w:rsidR="00A460CD" w:rsidRDefault="00A460CD">
      <w:pPr>
        <w:rPr>
          <w:rFonts w:ascii="Courier New" w:hAnsi="Courier New"/>
          <w:sz w:val="20"/>
        </w:rPr>
      </w:pPr>
    </w:p>
    <w:p w14:paraId="1FE756F5" w14:textId="77777777" w:rsidR="00A460CD" w:rsidRDefault="00A460CD">
      <w:pPr>
        <w:rPr>
          <w:rFonts w:ascii="Courier New" w:hAnsi="Courier New"/>
          <w:sz w:val="20"/>
        </w:rPr>
      </w:pPr>
    </w:p>
    <w:p w14:paraId="573956F4" w14:textId="77777777" w:rsidR="00A460CD" w:rsidRDefault="00A460CD">
      <w:pPr>
        <w:rPr>
          <w:rFonts w:ascii="Courier New" w:hAnsi="Courier New"/>
          <w:sz w:val="20"/>
        </w:rPr>
      </w:pPr>
    </w:p>
    <w:p w14:paraId="4C0C4B75" w14:textId="77777777" w:rsidR="00A460CD" w:rsidRDefault="00A460CD">
      <w:pPr>
        <w:rPr>
          <w:rFonts w:ascii="Courier New" w:hAnsi="Courier New"/>
          <w:sz w:val="20"/>
        </w:rPr>
      </w:pPr>
    </w:p>
    <w:p w14:paraId="38F71923" w14:textId="77777777" w:rsidR="00A460CD" w:rsidRDefault="00A460CD">
      <w:pPr>
        <w:rPr>
          <w:rFonts w:ascii="Courier New" w:hAnsi="Courier New"/>
          <w:sz w:val="20"/>
        </w:rPr>
      </w:pPr>
    </w:p>
    <w:p w14:paraId="6DCAFD1E" w14:textId="77777777" w:rsidR="00A460CD" w:rsidRDefault="00A460CD">
      <w:pPr>
        <w:rPr>
          <w:rFonts w:ascii="Courier New" w:hAnsi="Courier New"/>
          <w:sz w:val="20"/>
        </w:rPr>
      </w:pPr>
    </w:p>
    <w:p w14:paraId="5D867E28" w14:textId="77777777" w:rsidR="00A460CD" w:rsidRDefault="00A460CD">
      <w:pPr>
        <w:rPr>
          <w:rFonts w:ascii="Courier New" w:hAnsi="Courier New"/>
          <w:sz w:val="20"/>
        </w:rPr>
      </w:pPr>
    </w:p>
    <w:p w14:paraId="7A6B7F9E" w14:textId="77777777" w:rsidR="00A460CD" w:rsidRDefault="00A460CD">
      <w:pPr>
        <w:rPr>
          <w:rFonts w:ascii="Courier New" w:hAnsi="Courier New"/>
          <w:sz w:val="20"/>
        </w:rPr>
      </w:pPr>
    </w:p>
    <w:p w14:paraId="24C75BB3" w14:textId="77777777" w:rsidR="00A460CD" w:rsidRDefault="00A460CD">
      <w:pPr>
        <w:rPr>
          <w:rFonts w:ascii="Courier New" w:hAnsi="Courier New"/>
          <w:sz w:val="20"/>
        </w:rPr>
      </w:pPr>
    </w:p>
    <w:p w14:paraId="4E2A0942" w14:textId="090BCD15" w:rsidR="00C02540" w:rsidRDefault="00000000">
      <w:r>
        <w:rPr>
          <w:rFonts w:ascii="Courier New" w:hAnsi="Courier New"/>
          <w:sz w:val="20"/>
        </w:rPr>
        <w:br/>
        <w:t xml:space="preserve">    </w:t>
      </w:r>
    </w:p>
    <w:tbl>
      <w:tblPr>
        <w:tblStyle w:val="LightGrid-Accent1"/>
        <w:tblW w:w="0" w:type="auto"/>
        <w:tblLook w:val="04A0" w:firstRow="1" w:lastRow="0" w:firstColumn="1" w:lastColumn="0" w:noHBand="0" w:noVBand="1"/>
      </w:tblPr>
      <w:tblGrid>
        <w:gridCol w:w="2160"/>
        <w:gridCol w:w="2160"/>
        <w:gridCol w:w="2160"/>
        <w:gridCol w:w="2160"/>
      </w:tblGrid>
      <w:tr w:rsidR="00C02540" w14:paraId="56DB71D2" w14:textId="77777777" w:rsidTr="00C02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B1FE18" w14:textId="77777777" w:rsidR="00C02540" w:rsidRDefault="00000000">
            <w:r>
              <w:lastRenderedPageBreak/>
              <w:t>Rank</w:t>
            </w:r>
          </w:p>
        </w:tc>
        <w:tc>
          <w:tcPr>
            <w:tcW w:w="2160" w:type="dxa"/>
          </w:tcPr>
          <w:p w14:paraId="706DC5BE" w14:textId="77777777" w:rsidR="00C02540" w:rsidRDefault="00000000">
            <w:pPr>
              <w:cnfStyle w:val="100000000000" w:firstRow="1" w:lastRow="0" w:firstColumn="0" w:lastColumn="0" w:oddVBand="0" w:evenVBand="0" w:oddHBand="0" w:evenHBand="0" w:firstRowFirstColumn="0" w:firstRowLastColumn="0" w:lastRowFirstColumn="0" w:lastRowLastColumn="0"/>
            </w:pPr>
            <w:r>
              <w:t>Feature</w:t>
            </w:r>
          </w:p>
        </w:tc>
        <w:tc>
          <w:tcPr>
            <w:tcW w:w="2160" w:type="dxa"/>
          </w:tcPr>
          <w:p w14:paraId="3E4800DC" w14:textId="2D1604F0" w:rsidR="00C02540" w:rsidRPr="00DF1684" w:rsidRDefault="00000000">
            <w:pPr>
              <w:cnfStyle w:val="100000000000" w:firstRow="1" w:lastRow="0" w:firstColumn="0" w:lastColumn="0" w:oddVBand="0" w:evenVBand="0" w:oddHBand="0" w:evenHBand="0" w:firstRowFirstColumn="0" w:firstRowLastColumn="0" w:lastRowFirstColumn="0" w:lastRowLastColumn="0"/>
              <w:rPr>
                <w:b w:val="0"/>
                <w:bCs w:val="0"/>
              </w:rPr>
            </w:pPr>
            <w:r>
              <w:t xml:space="preserve">Mean </w:t>
            </w:r>
            <w:r w:rsidR="00DF1684">
              <w:t>Value|SHAP</w:t>
            </w:r>
          </w:p>
        </w:tc>
        <w:tc>
          <w:tcPr>
            <w:tcW w:w="2160" w:type="dxa"/>
          </w:tcPr>
          <w:p w14:paraId="6B55D50E" w14:textId="77777777" w:rsidR="00C02540"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C02540" w14:paraId="74C4A9D2" w14:textId="77777777" w:rsidTr="00C02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AA6952" w14:textId="77777777" w:rsidR="00C02540" w:rsidRDefault="00000000">
            <w:r>
              <w:t>1</w:t>
            </w:r>
          </w:p>
        </w:tc>
        <w:tc>
          <w:tcPr>
            <w:tcW w:w="2160" w:type="dxa"/>
          </w:tcPr>
          <w:p w14:paraId="13973513" w14:textId="77777777" w:rsidR="00C02540" w:rsidRDefault="00000000">
            <w:pPr>
              <w:cnfStyle w:val="000000100000" w:firstRow="0" w:lastRow="0" w:firstColumn="0" w:lastColumn="0" w:oddVBand="0" w:evenVBand="0" w:oddHBand="1" w:evenHBand="0" w:firstRowFirstColumn="0" w:firstRowLastColumn="0" w:lastRowFirstColumn="0" w:lastRowLastColumn="0"/>
            </w:pPr>
            <w:r>
              <w:t>gpr_index</w:t>
            </w:r>
          </w:p>
        </w:tc>
        <w:tc>
          <w:tcPr>
            <w:tcW w:w="2160" w:type="dxa"/>
          </w:tcPr>
          <w:p w14:paraId="2ADBDBEA" w14:textId="77777777" w:rsidR="00C02540" w:rsidRDefault="00000000">
            <w:pPr>
              <w:cnfStyle w:val="000000100000" w:firstRow="0" w:lastRow="0" w:firstColumn="0" w:lastColumn="0" w:oddVBand="0" w:evenVBand="0" w:oddHBand="1" w:evenHBand="0" w:firstRowFirstColumn="0" w:firstRowLastColumn="0" w:lastRowFirstColumn="0" w:lastRowLastColumn="0"/>
            </w:pPr>
            <w:r>
              <w:t>0.45</w:t>
            </w:r>
          </w:p>
        </w:tc>
        <w:tc>
          <w:tcPr>
            <w:tcW w:w="2160" w:type="dxa"/>
          </w:tcPr>
          <w:p w14:paraId="4F907AD2" w14:textId="77777777" w:rsidR="00C02540" w:rsidRDefault="00000000">
            <w:pPr>
              <w:cnfStyle w:val="000000100000" w:firstRow="0" w:lastRow="0" w:firstColumn="0" w:lastColumn="0" w:oddVBand="0" w:evenVBand="0" w:oddHBand="1" w:evenHBand="0" w:firstRowFirstColumn="0" w:firstRowLastColumn="0" w:lastRowFirstColumn="0" w:lastRowLastColumn="0"/>
            </w:pPr>
            <w:r>
              <w:t>Geopolitical shocks drive tail risk</w:t>
            </w:r>
          </w:p>
        </w:tc>
      </w:tr>
      <w:tr w:rsidR="00C02540" w14:paraId="5452A0D9" w14:textId="77777777" w:rsidTr="00C025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B3CDD5" w14:textId="77777777" w:rsidR="00C02540" w:rsidRDefault="00000000">
            <w:r>
              <w:t>2</w:t>
            </w:r>
          </w:p>
        </w:tc>
        <w:tc>
          <w:tcPr>
            <w:tcW w:w="2160" w:type="dxa"/>
          </w:tcPr>
          <w:p w14:paraId="07EC37A1" w14:textId="77777777" w:rsidR="00C02540" w:rsidRDefault="00000000">
            <w:pPr>
              <w:cnfStyle w:val="000000010000" w:firstRow="0" w:lastRow="0" w:firstColumn="0" w:lastColumn="0" w:oddVBand="0" w:evenVBand="0" w:oddHBand="0" w:evenHBand="1" w:firstRowFirstColumn="0" w:firstRowLastColumn="0" w:lastRowFirstColumn="0" w:lastRowLastColumn="0"/>
            </w:pPr>
            <w:r>
              <w:t>vix</w:t>
            </w:r>
          </w:p>
        </w:tc>
        <w:tc>
          <w:tcPr>
            <w:tcW w:w="2160" w:type="dxa"/>
          </w:tcPr>
          <w:p w14:paraId="0C1EC766" w14:textId="77777777" w:rsidR="00C02540" w:rsidRDefault="00000000">
            <w:pPr>
              <w:cnfStyle w:val="000000010000" w:firstRow="0" w:lastRow="0" w:firstColumn="0" w:lastColumn="0" w:oddVBand="0" w:evenVBand="0" w:oddHBand="0" w:evenHBand="1" w:firstRowFirstColumn="0" w:firstRowLastColumn="0" w:lastRowFirstColumn="0" w:lastRowLastColumn="0"/>
            </w:pPr>
            <w:r>
              <w:t>0.38</w:t>
            </w:r>
          </w:p>
        </w:tc>
        <w:tc>
          <w:tcPr>
            <w:tcW w:w="2160" w:type="dxa"/>
          </w:tcPr>
          <w:p w14:paraId="13D45878" w14:textId="77777777" w:rsidR="00C02540" w:rsidRDefault="00000000">
            <w:pPr>
              <w:cnfStyle w:val="000000010000" w:firstRow="0" w:lastRow="0" w:firstColumn="0" w:lastColumn="0" w:oddVBand="0" w:evenVBand="0" w:oddHBand="0" w:evenHBand="1" w:firstRowFirstColumn="0" w:firstRowLastColumn="0" w:lastRowFirstColumn="0" w:lastRowLastColumn="0"/>
            </w:pPr>
            <w:r>
              <w:t>Market fear gauge - strong predictor</w:t>
            </w:r>
          </w:p>
        </w:tc>
      </w:tr>
      <w:tr w:rsidR="00C02540" w14:paraId="495DF3A6" w14:textId="77777777" w:rsidTr="00C02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F199F3" w14:textId="77777777" w:rsidR="00C02540" w:rsidRDefault="00000000">
            <w:r>
              <w:t>3</w:t>
            </w:r>
          </w:p>
        </w:tc>
        <w:tc>
          <w:tcPr>
            <w:tcW w:w="2160" w:type="dxa"/>
          </w:tcPr>
          <w:p w14:paraId="4FABAF15" w14:textId="77777777" w:rsidR="00C02540" w:rsidRDefault="00000000">
            <w:pPr>
              <w:cnfStyle w:val="000000100000" w:firstRow="0" w:lastRow="0" w:firstColumn="0" w:lastColumn="0" w:oddVBand="0" w:evenVBand="0" w:oddHBand="1" w:evenHBand="0" w:firstRowFirstColumn="0" w:firstRowLastColumn="0" w:lastRowFirstColumn="0" w:lastRowLastColumn="0"/>
            </w:pPr>
            <w:r>
              <w:t>realized_volatility</w:t>
            </w:r>
          </w:p>
        </w:tc>
        <w:tc>
          <w:tcPr>
            <w:tcW w:w="2160" w:type="dxa"/>
          </w:tcPr>
          <w:p w14:paraId="08688E21" w14:textId="77777777" w:rsidR="00C02540" w:rsidRDefault="00000000">
            <w:pPr>
              <w:cnfStyle w:val="000000100000" w:firstRow="0" w:lastRow="0" w:firstColumn="0" w:lastColumn="0" w:oddVBand="0" w:evenVBand="0" w:oddHBand="1" w:evenHBand="0" w:firstRowFirstColumn="0" w:firstRowLastColumn="0" w:lastRowFirstColumn="0" w:lastRowLastColumn="0"/>
            </w:pPr>
            <w:r>
              <w:t>0.32</w:t>
            </w:r>
          </w:p>
        </w:tc>
        <w:tc>
          <w:tcPr>
            <w:tcW w:w="2160" w:type="dxa"/>
          </w:tcPr>
          <w:p w14:paraId="2E212A3B" w14:textId="77777777" w:rsidR="00C02540" w:rsidRDefault="00000000">
            <w:pPr>
              <w:cnfStyle w:val="000000100000" w:firstRow="0" w:lastRow="0" w:firstColumn="0" w:lastColumn="0" w:oddVBand="0" w:evenVBand="0" w:oddHBand="1" w:evenHBand="0" w:firstRowFirstColumn="0" w:firstRowLastColumn="0" w:lastRowFirstColumn="0" w:lastRowLastColumn="0"/>
            </w:pPr>
            <w:r>
              <w:t>Historical volatility persistence</w:t>
            </w:r>
          </w:p>
        </w:tc>
      </w:tr>
      <w:tr w:rsidR="00C02540" w14:paraId="5190E357" w14:textId="77777777" w:rsidTr="00C025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58F575" w14:textId="77777777" w:rsidR="00C02540" w:rsidRDefault="00000000">
            <w:r>
              <w:t>4</w:t>
            </w:r>
          </w:p>
        </w:tc>
        <w:tc>
          <w:tcPr>
            <w:tcW w:w="2160" w:type="dxa"/>
          </w:tcPr>
          <w:p w14:paraId="53CD4E4A" w14:textId="77777777" w:rsidR="00C02540" w:rsidRDefault="00000000">
            <w:pPr>
              <w:cnfStyle w:val="000000010000" w:firstRow="0" w:lastRow="0" w:firstColumn="0" w:lastColumn="0" w:oddVBand="0" w:evenVBand="0" w:oddHBand="0" w:evenHBand="1" w:firstRowFirstColumn="0" w:firstRowLastColumn="0" w:lastRowFirstColumn="0" w:lastRowLastColumn="0"/>
            </w:pPr>
            <w:r>
              <w:t>rv_lag1</w:t>
            </w:r>
          </w:p>
        </w:tc>
        <w:tc>
          <w:tcPr>
            <w:tcW w:w="2160" w:type="dxa"/>
          </w:tcPr>
          <w:p w14:paraId="06413CFC" w14:textId="77777777" w:rsidR="00C02540" w:rsidRDefault="00000000">
            <w:pPr>
              <w:cnfStyle w:val="000000010000" w:firstRow="0" w:lastRow="0" w:firstColumn="0" w:lastColumn="0" w:oddVBand="0" w:evenVBand="0" w:oddHBand="0" w:evenHBand="1" w:firstRowFirstColumn="0" w:firstRowLastColumn="0" w:lastRowFirstColumn="0" w:lastRowLastColumn="0"/>
            </w:pPr>
            <w:r>
              <w:t>0.28</w:t>
            </w:r>
          </w:p>
        </w:tc>
        <w:tc>
          <w:tcPr>
            <w:tcW w:w="2160" w:type="dxa"/>
          </w:tcPr>
          <w:p w14:paraId="0FCD49B2" w14:textId="77777777" w:rsidR="00C02540" w:rsidRDefault="00000000">
            <w:pPr>
              <w:cnfStyle w:val="000000010000" w:firstRow="0" w:lastRow="0" w:firstColumn="0" w:lastColumn="0" w:oddVBand="0" w:evenVBand="0" w:oddHBand="0" w:evenHBand="1" w:firstRowFirstColumn="0" w:firstRowLastColumn="0" w:lastRowFirstColumn="0" w:lastRowLastColumn="0"/>
            </w:pPr>
            <w:r>
              <w:t>Recent volatility (1-day lag)</w:t>
            </w:r>
          </w:p>
        </w:tc>
      </w:tr>
      <w:tr w:rsidR="00C02540" w14:paraId="61A84194" w14:textId="77777777" w:rsidTr="00C02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6E6ADB" w14:textId="77777777" w:rsidR="00C02540" w:rsidRDefault="00000000">
            <w:r>
              <w:t>5</w:t>
            </w:r>
          </w:p>
        </w:tc>
        <w:tc>
          <w:tcPr>
            <w:tcW w:w="2160" w:type="dxa"/>
          </w:tcPr>
          <w:p w14:paraId="2D061CC4" w14:textId="77777777" w:rsidR="00C02540" w:rsidRDefault="00000000">
            <w:pPr>
              <w:cnfStyle w:val="000000100000" w:firstRow="0" w:lastRow="0" w:firstColumn="0" w:lastColumn="0" w:oddVBand="0" w:evenVBand="0" w:oddHBand="1" w:evenHBand="0" w:firstRowFirstColumn="0" w:firstRowLastColumn="0" w:lastRowFirstColumn="0" w:lastRowLastColumn="0"/>
            </w:pPr>
            <w:r>
              <w:t>high_low_spread</w:t>
            </w:r>
          </w:p>
        </w:tc>
        <w:tc>
          <w:tcPr>
            <w:tcW w:w="2160" w:type="dxa"/>
          </w:tcPr>
          <w:p w14:paraId="5E8A506F" w14:textId="77777777" w:rsidR="00C02540" w:rsidRDefault="00000000">
            <w:pPr>
              <w:cnfStyle w:val="000000100000" w:firstRow="0" w:lastRow="0" w:firstColumn="0" w:lastColumn="0" w:oddVBand="0" w:evenVBand="0" w:oddHBand="1" w:evenHBand="0" w:firstRowFirstColumn="0" w:firstRowLastColumn="0" w:lastRowFirstColumn="0" w:lastRowLastColumn="0"/>
            </w:pPr>
            <w:r>
              <w:t>0.24</w:t>
            </w:r>
          </w:p>
        </w:tc>
        <w:tc>
          <w:tcPr>
            <w:tcW w:w="2160" w:type="dxa"/>
          </w:tcPr>
          <w:p w14:paraId="7B3CAC3B" w14:textId="77777777" w:rsidR="00C02540" w:rsidRDefault="00000000">
            <w:pPr>
              <w:cnfStyle w:val="000000100000" w:firstRow="0" w:lastRow="0" w:firstColumn="0" w:lastColumn="0" w:oddVBand="0" w:evenVBand="0" w:oddHBand="1" w:evenHBand="0" w:firstRowFirstColumn="0" w:firstRowLastColumn="0" w:lastRowFirstColumn="0" w:lastRowLastColumn="0"/>
            </w:pPr>
            <w:r>
              <w:t>Intraday range indicator</w:t>
            </w:r>
          </w:p>
        </w:tc>
      </w:tr>
      <w:tr w:rsidR="00C02540" w14:paraId="0463C932" w14:textId="77777777" w:rsidTr="00C025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E8A535" w14:textId="77777777" w:rsidR="00C02540" w:rsidRDefault="00000000">
            <w:r>
              <w:t>6</w:t>
            </w:r>
          </w:p>
        </w:tc>
        <w:tc>
          <w:tcPr>
            <w:tcW w:w="2160" w:type="dxa"/>
          </w:tcPr>
          <w:p w14:paraId="0E169EF3" w14:textId="77777777" w:rsidR="00C02540" w:rsidRDefault="00000000">
            <w:pPr>
              <w:cnfStyle w:val="000000010000" w:firstRow="0" w:lastRow="0" w:firstColumn="0" w:lastColumn="0" w:oddVBand="0" w:evenVBand="0" w:oddHBand="0" w:evenHBand="1" w:firstRowFirstColumn="0" w:firstRowLastColumn="0" w:lastRowFirstColumn="0" w:lastRowLastColumn="0"/>
            </w:pPr>
            <w:r>
              <w:t>returns_lag1</w:t>
            </w:r>
          </w:p>
        </w:tc>
        <w:tc>
          <w:tcPr>
            <w:tcW w:w="2160" w:type="dxa"/>
          </w:tcPr>
          <w:p w14:paraId="14DC88B4" w14:textId="77777777" w:rsidR="00C02540" w:rsidRDefault="00000000">
            <w:pPr>
              <w:cnfStyle w:val="000000010000" w:firstRow="0" w:lastRow="0" w:firstColumn="0" w:lastColumn="0" w:oddVBand="0" w:evenVBand="0" w:oddHBand="0" w:evenHBand="1" w:firstRowFirstColumn="0" w:firstRowLastColumn="0" w:lastRowFirstColumn="0" w:lastRowLastColumn="0"/>
            </w:pPr>
            <w:r>
              <w:t>0.2</w:t>
            </w:r>
          </w:p>
        </w:tc>
        <w:tc>
          <w:tcPr>
            <w:tcW w:w="2160" w:type="dxa"/>
          </w:tcPr>
          <w:p w14:paraId="6B750C3F" w14:textId="77777777" w:rsidR="00C02540" w:rsidRDefault="00000000">
            <w:pPr>
              <w:cnfStyle w:val="000000010000" w:firstRow="0" w:lastRow="0" w:firstColumn="0" w:lastColumn="0" w:oddVBand="0" w:evenVBand="0" w:oddHBand="0" w:evenHBand="1" w:firstRowFirstColumn="0" w:firstRowLastColumn="0" w:lastRowFirstColumn="0" w:lastRowLastColumn="0"/>
            </w:pPr>
            <w:r>
              <w:t>Momentum effect from returns</w:t>
            </w:r>
          </w:p>
        </w:tc>
      </w:tr>
      <w:tr w:rsidR="00C02540" w14:paraId="4A4D13D1" w14:textId="77777777" w:rsidTr="00C02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2A43D5" w14:textId="77777777" w:rsidR="00C02540" w:rsidRDefault="00000000">
            <w:r>
              <w:t>7</w:t>
            </w:r>
          </w:p>
        </w:tc>
        <w:tc>
          <w:tcPr>
            <w:tcW w:w="2160" w:type="dxa"/>
          </w:tcPr>
          <w:p w14:paraId="0778EC7E" w14:textId="77777777" w:rsidR="00C02540" w:rsidRDefault="00000000">
            <w:pPr>
              <w:cnfStyle w:val="000000100000" w:firstRow="0" w:lastRow="0" w:firstColumn="0" w:lastColumn="0" w:oddVBand="0" w:evenVBand="0" w:oddHBand="1" w:evenHBand="0" w:firstRowFirstColumn="0" w:firstRowLastColumn="0" w:lastRowFirstColumn="0" w:lastRowLastColumn="0"/>
            </w:pPr>
            <w:r>
              <w:t>rv_lag5</w:t>
            </w:r>
          </w:p>
        </w:tc>
        <w:tc>
          <w:tcPr>
            <w:tcW w:w="2160" w:type="dxa"/>
          </w:tcPr>
          <w:p w14:paraId="45155466" w14:textId="77777777" w:rsidR="00C02540" w:rsidRDefault="00000000">
            <w:pPr>
              <w:cnfStyle w:val="000000100000" w:firstRow="0" w:lastRow="0" w:firstColumn="0" w:lastColumn="0" w:oddVBand="0" w:evenVBand="0" w:oddHBand="1" w:evenHBand="0" w:firstRowFirstColumn="0" w:firstRowLastColumn="0" w:lastRowFirstColumn="0" w:lastRowLastColumn="0"/>
            </w:pPr>
            <w:r>
              <w:t>0.18</w:t>
            </w:r>
          </w:p>
        </w:tc>
        <w:tc>
          <w:tcPr>
            <w:tcW w:w="2160" w:type="dxa"/>
          </w:tcPr>
          <w:p w14:paraId="5E53A77B" w14:textId="77777777" w:rsidR="00C02540" w:rsidRDefault="00000000">
            <w:pPr>
              <w:cnfStyle w:val="000000100000" w:firstRow="0" w:lastRow="0" w:firstColumn="0" w:lastColumn="0" w:oddVBand="0" w:evenVBand="0" w:oddHBand="1" w:evenHBand="0" w:firstRowFirstColumn="0" w:firstRowLastColumn="0" w:lastRowFirstColumn="0" w:lastRowLastColumn="0"/>
            </w:pPr>
            <w:r>
              <w:t>Weekly volatility pattern</w:t>
            </w:r>
          </w:p>
        </w:tc>
      </w:tr>
      <w:tr w:rsidR="00C02540" w14:paraId="18B154AF" w14:textId="77777777" w:rsidTr="00C025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FE159E" w14:textId="77777777" w:rsidR="00C02540" w:rsidRDefault="00000000">
            <w:r>
              <w:t>8</w:t>
            </w:r>
          </w:p>
        </w:tc>
        <w:tc>
          <w:tcPr>
            <w:tcW w:w="2160" w:type="dxa"/>
          </w:tcPr>
          <w:p w14:paraId="738FF5F5" w14:textId="77777777" w:rsidR="00C02540" w:rsidRDefault="00000000">
            <w:pPr>
              <w:cnfStyle w:val="000000010000" w:firstRow="0" w:lastRow="0" w:firstColumn="0" w:lastColumn="0" w:oddVBand="0" w:evenVBand="0" w:oddHBand="0" w:evenHBand="1" w:firstRowFirstColumn="0" w:firstRowLastColumn="0" w:lastRowFirstColumn="0" w:lastRowLastColumn="0"/>
            </w:pPr>
            <w:r>
              <w:t>volume_normalized</w:t>
            </w:r>
          </w:p>
        </w:tc>
        <w:tc>
          <w:tcPr>
            <w:tcW w:w="2160" w:type="dxa"/>
          </w:tcPr>
          <w:p w14:paraId="74DBB49B" w14:textId="77777777" w:rsidR="00C02540" w:rsidRDefault="00000000">
            <w:pPr>
              <w:cnfStyle w:val="000000010000" w:firstRow="0" w:lastRow="0" w:firstColumn="0" w:lastColumn="0" w:oddVBand="0" w:evenVBand="0" w:oddHBand="0" w:evenHBand="1" w:firstRowFirstColumn="0" w:firstRowLastColumn="0" w:lastRowFirstColumn="0" w:lastRowLastColumn="0"/>
            </w:pPr>
            <w:r>
              <w:t>0.15</w:t>
            </w:r>
          </w:p>
        </w:tc>
        <w:tc>
          <w:tcPr>
            <w:tcW w:w="2160" w:type="dxa"/>
          </w:tcPr>
          <w:p w14:paraId="2BACA136" w14:textId="77777777" w:rsidR="00C02540" w:rsidRDefault="00000000">
            <w:pPr>
              <w:cnfStyle w:val="000000010000" w:firstRow="0" w:lastRow="0" w:firstColumn="0" w:lastColumn="0" w:oddVBand="0" w:evenVBand="0" w:oddHBand="0" w:evenHBand="1" w:firstRowFirstColumn="0" w:firstRowLastColumn="0" w:lastRowFirstColumn="0" w:lastRowLastColumn="0"/>
            </w:pPr>
            <w:r>
              <w:t>Liquidity indicator</w:t>
            </w:r>
          </w:p>
        </w:tc>
      </w:tr>
      <w:tr w:rsidR="00C02540" w14:paraId="05D93B82" w14:textId="77777777" w:rsidTr="00C02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0A7CA9" w14:textId="77777777" w:rsidR="00C02540" w:rsidRDefault="00000000">
            <w:r>
              <w:t>9</w:t>
            </w:r>
          </w:p>
        </w:tc>
        <w:tc>
          <w:tcPr>
            <w:tcW w:w="2160" w:type="dxa"/>
          </w:tcPr>
          <w:p w14:paraId="3B5D5D59" w14:textId="77777777" w:rsidR="00C02540" w:rsidRDefault="00000000">
            <w:pPr>
              <w:cnfStyle w:val="000000100000" w:firstRow="0" w:lastRow="0" w:firstColumn="0" w:lastColumn="0" w:oddVBand="0" w:evenVBand="0" w:oddHBand="1" w:evenHBand="0" w:firstRowFirstColumn="0" w:firstRowLastColumn="0" w:lastRowFirstColumn="0" w:lastRowLastColumn="0"/>
            </w:pPr>
            <w:r>
              <w:t>returns</w:t>
            </w:r>
          </w:p>
        </w:tc>
        <w:tc>
          <w:tcPr>
            <w:tcW w:w="2160" w:type="dxa"/>
          </w:tcPr>
          <w:p w14:paraId="07D30623" w14:textId="77777777" w:rsidR="00C02540" w:rsidRDefault="00000000">
            <w:pPr>
              <w:cnfStyle w:val="000000100000" w:firstRow="0" w:lastRow="0" w:firstColumn="0" w:lastColumn="0" w:oddVBand="0" w:evenVBand="0" w:oddHBand="1" w:evenHBand="0" w:firstRowFirstColumn="0" w:firstRowLastColumn="0" w:lastRowFirstColumn="0" w:lastRowLastColumn="0"/>
            </w:pPr>
            <w:r>
              <w:t>0.12</w:t>
            </w:r>
          </w:p>
        </w:tc>
        <w:tc>
          <w:tcPr>
            <w:tcW w:w="2160" w:type="dxa"/>
          </w:tcPr>
          <w:p w14:paraId="459F2848" w14:textId="77777777" w:rsidR="00C02540" w:rsidRDefault="00000000">
            <w:pPr>
              <w:cnfStyle w:val="000000100000" w:firstRow="0" w:lastRow="0" w:firstColumn="0" w:lastColumn="0" w:oddVBand="0" w:evenVBand="0" w:oddHBand="1" w:evenHBand="0" w:firstRowFirstColumn="0" w:firstRowLastColumn="0" w:lastRowFirstColumn="0" w:lastRowLastColumn="0"/>
            </w:pPr>
            <w:r>
              <w:t>Current return impact</w:t>
            </w:r>
          </w:p>
        </w:tc>
      </w:tr>
      <w:tr w:rsidR="00C02540" w14:paraId="74BB0DDC" w14:textId="77777777" w:rsidTr="00C025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CCAC89" w14:textId="77777777" w:rsidR="00C02540" w:rsidRDefault="00000000">
            <w:r>
              <w:t>10</w:t>
            </w:r>
          </w:p>
        </w:tc>
        <w:tc>
          <w:tcPr>
            <w:tcW w:w="2160" w:type="dxa"/>
          </w:tcPr>
          <w:p w14:paraId="3C03FA75" w14:textId="77777777" w:rsidR="00C02540" w:rsidRDefault="00000000">
            <w:pPr>
              <w:cnfStyle w:val="000000010000" w:firstRow="0" w:lastRow="0" w:firstColumn="0" w:lastColumn="0" w:oddVBand="0" w:evenVBand="0" w:oddHBand="0" w:evenHBand="1" w:firstRowFirstColumn="0" w:firstRowLastColumn="0" w:lastRowFirstColumn="0" w:lastRowLastColumn="0"/>
            </w:pPr>
            <w:r>
              <w:t>rv_lag22</w:t>
            </w:r>
          </w:p>
        </w:tc>
        <w:tc>
          <w:tcPr>
            <w:tcW w:w="2160" w:type="dxa"/>
          </w:tcPr>
          <w:p w14:paraId="7FAC298D" w14:textId="77777777" w:rsidR="00C02540" w:rsidRDefault="00000000">
            <w:pPr>
              <w:cnfStyle w:val="000000010000" w:firstRow="0" w:lastRow="0" w:firstColumn="0" w:lastColumn="0" w:oddVBand="0" w:evenVBand="0" w:oddHBand="0" w:evenHBand="1" w:firstRowFirstColumn="0" w:firstRowLastColumn="0" w:lastRowFirstColumn="0" w:lastRowLastColumn="0"/>
            </w:pPr>
            <w:r>
              <w:t>0.1</w:t>
            </w:r>
          </w:p>
        </w:tc>
        <w:tc>
          <w:tcPr>
            <w:tcW w:w="2160" w:type="dxa"/>
          </w:tcPr>
          <w:p w14:paraId="0AC2F844" w14:textId="77777777" w:rsidR="00C02540" w:rsidRDefault="00000000">
            <w:pPr>
              <w:cnfStyle w:val="000000010000" w:firstRow="0" w:lastRow="0" w:firstColumn="0" w:lastColumn="0" w:oddVBand="0" w:evenVBand="0" w:oddHBand="0" w:evenHBand="1" w:firstRowFirstColumn="0" w:firstRowLastColumn="0" w:lastRowFirstColumn="0" w:lastRowLastColumn="0"/>
            </w:pPr>
            <w:r>
              <w:t>Monthly volatility cycle</w:t>
            </w:r>
          </w:p>
        </w:tc>
      </w:tr>
      <w:tr w:rsidR="00C02540" w14:paraId="19CB81EB" w14:textId="77777777" w:rsidTr="00C02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0FA3DD" w14:textId="77777777" w:rsidR="00C02540" w:rsidRDefault="00000000">
            <w:r>
              <w:t>11</w:t>
            </w:r>
          </w:p>
        </w:tc>
        <w:tc>
          <w:tcPr>
            <w:tcW w:w="2160" w:type="dxa"/>
          </w:tcPr>
          <w:p w14:paraId="3E0E2156" w14:textId="77777777" w:rsidR="00C02540" w:rsidRDefault="00000000">
            <w:pPr>
              <w:cnfStyle w:val="000000100000" w:firstRow="0" w:lastRow="0" w:firstColumn="0" w:lastColumn="0" w:oddVBand="0" w:evenVBand="0" w:oddHBand="1" w:evenHBand="0" w:firstRowFirstColumn="0" w:firstRowLastColumn="0" w:lastRowFirstColumn="0" w:lastRowLastColumn="0"/>
            </w:pPr>
            <w:r>
              <w:t>returns_lag5</w:t>
            </w:r>
          </w:p>
        </w:tc>
        <w:tc>
          <w:tcPr>
            <w:tcW w:w="2160" w:type="dxa"/>
          </w:tcPr>
          <w:p w14:paraId="3F21C818" w14:textId="77777777" w:rsidR="00C02540" w:rsidRDefault="00000000">
            <w:pPr>
              <w:cnfStyle w:val="000000100000" w:firstRow="0" w:lastRow="0" w:firstColumn="0" w:lastColumn="0" w:oddVBand="0" w:evenVBand="0" w:oddHBand="1" w:evenHBand="0" w:firstRowFirstColumn="0" w:firstRowLastColumn="0" w:lastRowFirstColumn="0" w:lastRowLastColumn="0"/>
            </w:pPr>
            <w:r>
              <w:t>0.08</w:t>
            </w:r>
          </w:p>
        </w:tc>
        <w:tc>
          <w:tcPr>
            <w:tcW w:w="2160" w:type="dxa"/>
          </w:tcPr>
          <w:p w14:paraId="0E06111F" w14:textId="77777777" w:rsidR="00C02540" w:rsidRDefault="00000000">
            <w:pPr>
              <w:cnfStyle w:val="000000100000" w:firstRow="0" w:lastRow="0" w:firstColumn="0" w:lastColumn="0" w:oddVBand="0" w:evenVBand="0" w:oddHBand="1" w:evenHBand="0" w:firstRowFirstColumn="0" w:firstRowLastColumn="0" w:lastRowFirstColumn="0" w:lastRowLastColumn="0"/>
            </w:pPr>
            <w:r>
              <w:t>Weekly return pattern</w:t>
            </w:r>
          </w:p>
        </w:tc>
      </w:tr>
      <w:tr w:rsidR="00C02540" w14:paraId="2C143CC0" w14:textId="77777777" w:rsidTr="00C025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43DBEE" w14:textId="77777777" w:rsidR="00C02540" w:rsidRDefault="00000000">
            <w:r>
              <w:t>12</w:t>
            </w:r>
          </w:p>
        </w:tc>
        <w:tc>
          <w:tcPr>
            <w:tcW w:w="2160" w:type="dxa"/>
          </w:tcPr>
          <w:p w14:paraId="5958FED8" w14:textId="77777777" w:rsidR="00C02540" w:rsidRDefault="00000000">
            <w:pPr>
              <w:cnfStyle w:val="000000010000" w:firstRow="0" w:lastRow="0" w:firstColumn="0" w:lastColumn="0" w:oddVBand="0" w:evenVBand="0" w:oddHBand="0" w:evenHBand="1" w:firstRowFirstColumn="0" w:firstRowLastColumn="0" w:lastRowFirstColumn="0" w:lastRowLastColumn="0"/>
            </w:pPr>
            <w:r>
              <w:t>returns_lag22</w:t>
            </w:r>
          </w:p>
        </w:tc>
        <w:tc>
          <w:tcPr>
            <w:tcW w:w="2160" w:type="dxa"/>
          </w:tcPr>
          <w:p w14:paraId="463585F3" w14:textId="77777777" w:rsidR="00C02540" w:rsidRDefault="00000000">
            <w:pPr>
              <w:cnfStyle w:val="000000010000" w:firstRow="0" w:lastRow="0" w:firstColumn="0" w:lastColumn="0" w:oddVBand="0" w:evenVBand="0" w:oddHBand="0" w:evenHBand="1" w:firstRowFirstColumn="0" w:firstRowLastColumn="0" w:lastRowFirstColumn="0" w:lastRowLastColumn="0"/>
            </w:pPr>
            <w:r>
              <w:t>0.06</w:t>
            </w:r>
          </w:p>
        </w:tc>
        <w:tc>
          <w:tcPr>
            <w:tcW w:w="2160" w:type="dxa"/>
          </w:tcPr>
          <w:p w14:paraId="0E60A12F" w14:textId="77777777" w:rsidR="00C02540" w:rsidRDefault="00000000">
            <w:pPr>
              <w:cnfStyle w:val="000000010000" w:firstRow="0" w:lastRow="0" w:firstColumn="0" w:lastColumn="0" w:oddVBand="0" w:evenVBand="0" w:oddHBand="0" w:evenHBand="1" w:firstRowFirstColumn="0" w:firstRowLastColumn="0" w:lastRowFirstColumn="0" w:lastRowLastColumn="0"/>
            </w:pPr>
            <w:r>
              <w:t>Monthly return effect</w:t>
            </w:r>
          </w:p>
        </w:tc>
      </w:tr>
    </w:tbl>
    <w:p w14:paraId="754805D4" w14:textId="37EABFA5" w:rsidR="00C02540" w:rsidRDefault="00000000" w:rsidP="005561EC">
      <w:pPr>
        <w:jc w:val="center"/>
      </w:pPr>
      <w:r>
        <w:rPr>
          <w:i/>
          <w:sz w:val="20"/>
        </w:rPr>
        <w:t>Table 3: Global Feature Importance Rankings via Mean Absolute SHAP Values. Higher values indicate greater average impact on volatility predictions across the entire test set.</w:t>
      </w:r>
    </w:p>
    <w:p w14:paraId="67149099" w14:textId="77777777" w:rsidR="00C02540" w:rsidRDefault="00000000">
      <w:r>
        <w:t xml:space="preserve">Table 3 presents global feature importance rankings computed as the mean absolute SHAP value for each feature across all </w:t>
      </w:r>
      <w:proofErr w:type="gramStart"/>
      <w:r>
        <w:t>test</w:t>
      </w:r>
      <w:proofErr w:type="gramEnd"/>
      <w:r>
        <w:t xml:space="preserve"> set predictions. The results reveal clear hierarchical importance:</w:t>
      </w:r>
      <w:r>
        <w:br/>
      </w:r>
      <w:r>
        <w:br/>
        <w:t>Geopolitical Risk (GPR) Index emerges as the dominant feature (mean |SHAP|=0.45), confirming that external geopolitical shocks are the primary driver of extreme volatility during our study period (2023-2024). This period encompasses the ongoing Russia-Ukraine conflict, Middle East tensions including the Israel-Hamas war, and heightened U.S.-China geopolitical competition. The quantitative dominance of GPR validates the model's ability to capture exogenous shock propagation—a capability that traditional GARCH models, which rely primarily on endogenous dynamics, typically lack.</w:t>
      </w:r>
      <w:r>
        <w:br/>
      </w:r>
      <w:r>
        <w:br/>
        <w:t>VIX (Implied Volatility) ranks second (0.38), reflecting the well-known predictive power of options-implied volatility for realized volatility. The VIX incorporates forward-looking information from option prices and represents market participants' collective expectations, making it a natural strong predictor.</w:t>
      </w:r>
      <w:r>
        <w:br/>
      </w:r>
      <w:r>
        <w:lastRenderedPageBreak/>
        <w:br/>
        <w:t>Realized Volatility and its lags (0.32, 0.28, 0.18, 0.10) confirm volatility persistence—a fundamental characteristic captured by ARCH/GARCH models—but the model learns this endogenously rather than imposing it structurally.</w:t>
      </w:r>
      <w:r>
        <w:br/>
      </w:r>
      <w:r>
        <w:br/>
        <w:t>High-Low Spread (0.24) demonstrates the value of range-based volatility estimators, which Parkinson (1980) showed are more efficient than close-to-close volatility for capturing intraday dynamics.</w:t>
      </w:r>
      <w:r>
        <w:br/>
      </w:r>
      <w:r>
        <w:br/>
        <w:t>Returns and Volume features show moderate importance, consistent with their role as supporting indicators rather than primary drivers.</w:t>
      </w:r>
    </w:p>
    <w:p w14:paraId="1AFC1DB8" w14:textId="77777777" w:rsidR="00C02540" w:rsidRDefault="00000000">
      <w:pPr>
        <w:jc w:val="center"/>
      </w:pPr>
      <w:r>
        <w:rPr>
          <w:noProof/>
        </w:rPr>
        <w:drawing>
          <wp:inline distT="0" distB="0" distL="0" distR="0" wp14:anchorId="7E3FFA2D" wp14:editId="776D7A4B">
            <wp:extent cx="5943600" cy="48118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_plot.png"/>
                    <pic:cNvPicPr/>
                  </pic:nvPicPr>
                  <pic:blipFill>
                    <a:blip r:embed="rId9"/>
                    <a:stretch>
                      <a:fillRect/>
                    </a:stretch>
                  </pic:blipFill>
                  <pic:spPr>
                    <a:xfrm>
                      <a:off x="0" y="0"/>
                      <a:ext cx="5943600" cy="4811873"/>
                    </a:xfrm>
                    <a:prstGeom prst="rect">
                      <a:avLst/>
                    </a:prstGeom>
                  </pic:spPr>
                </pic:pic>
              </a:graphicData>
            </a:graphic>
          </wp:inline>
        </w:drawing>
      </w:r>
    </w:p>
    <w:p w14:paraId="550CD10B" w14:textId="77777777" w:rsidR="00C02540" w:rsidRDefault="00000000">
      <w:pPr>
        <w:jc w:val="center"/>
      </w:pPr>
      <w:r>
        <w:rPr>
          <w:i/>
          <w:sz w:val="20"/>
        </w:rPr>
        <w:t>Figure 4: SHAP Beeswarm Plot Showing Feature Impact Distribution. Each point represents a single prediction, with color indicating feature value (red=high, blue=low) and x-position showing SHAP value (impact on model output). The GPR index shows wide distribution of high-magnitude impacts, particularly when values are elevated (red points far right), confirming its role in driving extreme volatility predictions.</w:t>
      </w:r>
    </w:p>
    <w:p w14:paraId="67BC6B7C" w14:textId="77777777" w:rsidR="00C02540" w:rsidRDefault="00C02540"/>
    <w:p w14:paraId="427461BE" w14:textId="77777777" w:rsidR="00C02540" w:rsidRDefault="00000000">
      <w:pPr>
        <w:jc w:val="center"/>
      </w:pPr>
      <w:r>
        <w:rPr>
          <w:noProof/>
        </w:rPr>
        <w:drawing>
          <wp:inline distT="0" distB="0" distL="0" distR="0" wp14:anchorId="3DF98974" wp14:editId="291B0ADF">
            <wp:extent cx="5029200" cy="3499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importance_bar.png"/>
                    <pic:cNvPicPr/>
                  </pic:nvPicPr>
                  <pic:blipFill>
                    <a:blip r:embed="rId10"/>
                    <a:stretch>
                      <a:fillRect/>
                    </a:stretch>
                  </pic:blipFill>
                  <pic:spPr>
                    <a:xfrm>
                      <a:off x="0" y="0"/>
                      <a:ext cx="5029200" cy="3499605"/>
                    </a:xfrm>
                    <a:prstGeom prst="rect">
                      <a:avLst/>
                    </a:prstGeom>
                  </pic:spPr>
                </pic:pic>
              </a:graphicData>
            </a:graphic>
          </wp:inline>
        </w:drawing>
      </w:r>
    </w:p>
    <w:p w14:paraId="12E6E822" w14:textId="43C6FAB2" w:rsidR="00C02540" w:rsidRDefault="00000000" w:rsidP="005561EC">
      <w:pPr>
        <w:jc w:val="center"/>
      </w:pPr>
      <w:r>
        <w:rPr>
          <w:i/>
          <w:sz w:val="20"/>
        </w:rPr>
        <w:t>Figure 5: Global Feature Importance Rankings. The GPR index and VIX dominate volatility predictions, followed by realized volatility measures and technical indicators. This hierarchy provides transparency into what drives the model and enables risk managers to focus monitoring on the most impactful factors.</w:t>
      </w:r>
    </w:p>
    <w:p w14:paraId="3F641EC4" w14:textId="77777777" w:rsidR="00C02540" w:rsidRDefault="00000000">
      <w:r>
        <w:t>Figures 4 and 5 provide complementary visualizations of SHAP insights. Figure 4 (beeswarm plot) reveals not just which features matter, but how they matter. For GPR, high values (red points) consistently push predictions toward higher volatility (positive SHAP values on the right), while low values have minimal impact. This asymmetric impact pattern aligns with economic intuition: geopolitical calm is the normal state and contributes little information, while geopolitical crises sharply elevate tail risk.</w:t>
      </w:r>
      <w:r>
        <w:br/>
      </w:r>
      <w:r>
        <w:br/>
        <w:t>The VIX shows a similar pattern but with more bidirectional impact—both high and low VIX readings affect predictions, reflecting its role as a continuous volatility gauge rather than an asymmetric shock indicator. Realized volatility exhibits tight clustering, confirming its stable, persistent influence across all regimes.</w:t>
      </w:r>
    </w:p>
    <w:p w14:paraId="7EFD2ACD" w14:textId="77777777" w:rsidR="00C02540" w:rsidRDefault="00000000">
      <w:pPr>
        <w:pStyle w:val="Heading2"/>
      </w:pPr>
      <w:r>
        <w:t>5.2 Temporal Interpretability via Attention Mechanism</w:t>
      </w:r>
    </w:p>
    <w:p w14:paraId="5160065D" w14:textId="77777777" w:rsidR="00C02540" w:rsidRDefault="00000000">
      <w:r>
        <w:t>While SHAP answers "what matters" (feature importance), the attention mechanism reveals "when to look" (temporal importance). Figure 6 visualizes attention weights across the 30-day input sequence for multiple test predictions.</w:t>
      </w:r>
    </w:p>
    <w:p w14:paraId="6BE0FC6B" w14:textId="77777777" w:rsidR="00C02540" w:rsidRDefault="00000000">
      <w:pPr>
        <w:jc w:val="center"/>
      </w:pPr>
      <w:r>
        <w:rPr>
          <w:noProof/>
        </w:rPr>
        <w:lastRenderedPageBreak/>
        <w:drawing>
          <wp:inline distT="0" distB="0" distL="0" distR="0" wp14:anchorId="0D7CDDCA" wp14:editId="0A553A85">
            <wp:extent cx="5943600" cy="42017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heatmap.png"/>
                    <pic:cNvPicPr/>
                  </pic:nvPicPr>
                  <pic:blipFill>
                    <a:blip r:embed="rId11"/>
                    <a:stretch>
                      <a:fillRect/>
                    </a:stretch>
                  </pic:blipFill>
                  <pic:spPr>
                    <a:xfrm>
                      <a:off x="0" y="0"/>
                      <a:ext cx="5943600" cy="4201756"/>
                    </a:xfrm>
                    <a:prstGeom prst="rect">
                      <a:avLst/>
                    </a:prstGeom>
                  </pic:spPr>
                </pic:pic>
              </a:graphicData>
            </a:graphic>
          </wp:inline>
        </w:drawing>
      </w:r>
    </w:p>
    <w:p w14:paraId="31407E85" w14:textId="77777777" w:rsidR="00C02540" w:rsidRDefault="00000000">
      <w:pPr>
        <w:jc w:val="center"/>
      </w:pPr>
      <w:r>
        <w:rPr>
          <w:i/>
          <w:sz w:val="20"/>
        </w:rPr>
        <w:t>Figure 6: Attention Mechanism Temporal Focus Heatmap. Rows represent different predictions, columns represent days in the 30-day lookback window (day 1=oldest, day 30=most recent). Brighter colors indicate higher attention weights. The model dynamically adjusts temporal focus: during calm periods it emphasizes recent days (right side), while during volatility spikes it attends to specific historical shock events (bright spots in middle/left regions).</w:t>
      </w:r>
    </w:p>
    <w:p w14:paraId="124292A7" w14:textId="77777777" w:rsidR="00C02540" w:rsidRDefault="00C02540"/>
    <w:p w14:paraId="1F00DE72" w14:textId="77777777" w:rsidR="00C02540" w:rsidRDefault="00000000">
      <w:r>
        <w:t>Figure 6 reveals sophisticated temporal adaptation. During normal market conditions, attention concentrates on the most recent 5-7 days (rightmost columns), analogous to short-term memory and consistent with the "daily" component of HAR-RV models. However, during and following major volatility events, attention exhibits two distinct behaviors:</w:t>
      </w:r>
      <w:r>
        <w:br/>
      </w:r>
      <w:r>
        <w:br/>
        <w:t>Event Memory: The model assigns significant weight to specific historical shock days even weeks in the past (bright spots in middle columns), effectively "remembering" that similar conditions previously led to volatility spikes.</w:t>
      </w:r>
      <w:r>
        <w:br/>
      </w:r>
      <w:r>
        <w:br/>
        <w:t xml:space="preserve">Horizon Shortening: During crises, the attention distribution becomes more concentrated on very recent days (days 28-30), reflecting the behavior of heterogeneous traders who </w:t>
      </w:r>
      <w:r>
        <w:lastRenderedPageBreak/>
        <w:t>shorten their investment horizons and become more reactive during stress periods.</w:t>
      </w:r>
      <w:r>
        <w:br/>
      </w:r>
      <w:r>
        <w:br/>
        <w:t>This dynamic temporal adjustment represents a learned version of the HAR-RV concept but with flexible, data-driven weights rather than fixed daily/weekly/monthly components. Crucially, the attention weights are computed independently for each prediction, allowing the model to adapt to evolving market conditions.</w:t>
      </w:r>
    </w:p>
    <w:p w14:paraId="7F6283B7" w14:textId="77777777" w:rsidR="00C02540" w:rsidRDefault="00000000">
      <w:pPr>
        <w:pStyle w:val="Heading2"/>
      </w:pPr>
      <w:r>
        <w:t>5.3 Case Study: January 2024 Volatility Spike</w:t>
      </w:r>
    </w:p>
    <w:p w14:paraId="01640E8D" w14:textId="77777777" w:rsidR="00C02540" w:rsidRDefault="00000000">
      <w:r>
        <w:t>To demonstrate the practical utility of our dual-layer interpretability, we examine a specific event: the January 16-17, 2024 volatility spike driven by Middle East tensions and unexpected inflation data.</w:t>
      </w:r>
    </w:p>
    <w:p w14:paraId="768EEF7E" w14:textId="77777777" w:rsidR="00C02540" w:rsidRDefault="00000000">
      <w:r>
        <w:t>On January 16, 2024, S&amp;P 500 realized volatility spiked to 2.8% (daily), nearly triple the preceding week's average. Our model accurately predicted elevated volatility (forecast=2.65%, actual=2.80%, error=5.4%), while GARCH underestimated significantly (forecast=1.85%, actual=2.80%, error=33.9%).</w:t>
      </w:r>
      <w:r>
        <w:br/>
      </w:r>
      <w:r>
        <w:br/>
        <w:t>SHAP Decomposition: The SHAP analysis for this specific prediction reveals:</w:t>
      </w:r>
      <w:r>
        <w:br/>
        <w:t>- GPR index contributed +0.65 to the volatility forecast (highest individual contribution)</w:t>
      </w:r>
      <w:r>
        <w:br/>
        <w:t>- VIX contributed +0.42</w:t>
      </w:r>
      <w:r>
        <w:br/>
        <w:t>- Realized volatility (t-1) contributed +0.35</w:t>
      </w:r>
      <w:r>
        <w:br/>
        <w:t>- Returns (t-1) contributed -0.15 (negative return dampening effect due to leverage effect)</w:t>
      </w:r>
      <w:r>
        <w:br/>
      </w:r>
      <w:r>
        <w:br/>
        <w:t>Attention Analysis: The attention mechanism assigned 28% weight to day t-1 (recent spike), 18% to day t-8 (previous geopolitical news), and distributed remaining weight across recent days. This pattern indicates the model recognized both the immediate shock and its similarity to recent historical precedents.</w:t>
      </w:r>
      <w:r>
        <w:br/>
      </w:r>
      <w:r>
        <w:br/>
        <w:t>Economic Interpretation: The dominant GPR contribution (0.65) quantifies the impact of Middle East tensions (Houthi Red Sea attacks, Iran-Israel escalation) on financial volatility. Traditional models incorporating only endogenous variables missed this exogenous driver, leading to substantial underestimation. This case study demonstrates how interpretability transforms the model from a black box into a tool for understanding market dynamics.</w:t>
      </w:r>
    </w:p>
    <w:p w14:paraId="64869E6C" w14:textId="77777777" w:rsidR="00C02540" w:rsidRDefault="00000000">
      <w:pPr>
        <w:pStyle w:val="Heading2"/>
      </w:pPr>
      <w:r>
        <w:t>5.4 Complementary Interpretability: Attention vs SHAP</w:t>
      </w:r>
    </w:p>
    <w:p w14:paraId="78AB6227" w14:textId="7A545CB9" w:rsidR="00C02540" w:rsidRDefault="00000000">
      <w:r>
        <w:t>It is crucial to recognize that attention and SHAP provide complementary rather than redundant insights. Attention weights indicate which historical time steps the model considers relevant but do not explain why or which features within those time steps drive predictions. SHAP values quantify the contribution of specific features but are computed at the prediction level rather than identifying temporal patterns.</w:t>
      </w:r>
      <w:r>
        <w:br/>
      </w:r>
      <w:r>
        <w:lastRenderedPageBreak/>
        <w:br/>
        <w:t>Recent research (Jain and Wallace, 2019) warns that attention weights alone can be misleading—high attention does not necessarily imply high importance for the prediction. Our framework addresses this limitation by combining attention (temporal focus) with SHAP (feature attribution), providing a complete interpretability picture:</w:t>
      </w:r>
      <w:r>
        <w:br/>
      </w:r>
      <w:r>
        <w:br/>
        <w:t>- "When should I look?" → Attention mechanism</w:t>
      </w:r>
      <w:r>
        <w:br/>
        <w:t>- "What matters in what I'm looking at?" → SHAP values</w:t>
      </w:r>
      <w:r>
        <w:br/>
      </w:r>
      <w:r>
        <w:br/>
        <w:t>This dual-layer approach satisfies both regulatory requirements (SR 11-7's emphasis on understanding model inputs and behavior) and practical needs (actionable insights for risk managers). The combination enables statements like: "Today's elevated volatility forecast is driven primarily by increased geopolitical risk (SHAP), with the model focusing particularly on last week's similar shock event (attention)."</w:t>
      </w:r>
      <w:r>
        <w:br/>
      </w:r>
      <w:r>
        <w:br/>
        <w:t>Such explanations are actionable, auditable, and economically interpretable—precisely what is required for model deployment in regulated financial institutions.</w:t>
      </w:r>
    </w:p>
    <w:p w14:paraId="61E17A9C" w14:textId="77777777" w:rsidR="00C02540" w:rsidRDefault="00000000">
      <w:pPr>
        <w:pStyle w:val="Heading1"/>
      </w:pPr>
      <w:r>
        <w:t>6. Discussion and Practical Implications</w:t>
      </w:r>
    </w:p>
    <w:p w14:paraId="2229AA09" w14:textId="77777777" w:rsidR="00C02540" w:rsidRDefault="00000000">
      <w:r>
        <w:t>This section examines the broader implications of our findings for financial practice, regulatory compliance, and model deployment in real-world risk management systems.</w:t>
      </w:r>
    </w:p>
    <w:p w14:paraId="336CDC4F" w14:textId="77777777" w:rsidR="00C02540" w:rsidRDefault="00000000">
      <w:pPr>
        <w:pStyle w:val="Heading2"/>
      </w:pPr>
      <w:r>
        <w:t>6.1 Regulatory Compliance and Model Governance</w:t>
      </w:r>
    </w:p>
    <w:p w14:paraId="724C8FA6" w14:textId="77777777" w:rsidR="00C02540" w:rsidRDefault="00000000">
      <w:r>
        <w:t>Under Basel III/IV frameworks and the Federal Reserve's SR 11-7 guidance on Model Risk Management (2011), financial institutions must validate the conceptual soundness, implementation correctness, and ongoing performance of quantitative models used for regulatory capital calculations and risk reporting. The guidance explicitly requires that models be "transparent and well-documented" with "clear explanations of inputs, assumptions, and limitations." Black-box models that cannot provide such explanations face significant adoption barriers, regardless of their predictive accuracy.</w:t>
      </w:r>
    </w:p>
    <w:p w14:paraId="7E2FC20C" w14:textId="77777777" w:rsidR="00C02540" w:rsidRDefault="00000000">
      <w:r>
        <w:t>Our framework explicitly addresses these requirements through multiple mechanisms:</w:t>
      </w:r>
    </w:p>
    <w:p w14:paraId="0934322F" w14:textId="77777777" w:rsidR="00C02540" w:rsidRDefault="00000000" w:rsidP="00A460CD">
      <w:pPr>
        <w:pStyle w:val="ListBullet"/>
        <w:numPr>
          <w:ilvl w:val="0"/>
          <w:numId w:val="0"/>
        </w:numPr>
      </w:pPr>
      <w:r>
        <w:t>Conceptual Soundness: The LSTM-Attention architecture has clear economic interpretation—it learns temporal dependencies (volatility persistence) and dynamically weights historical events (attention), both of which align with established financial theory. The integration of GPR, VIX, and realized volatility as primary drivers is economically justified and empirically validated.</w:t>
      </w:r>
    </w:p>
    <w:p w14:paraId="3275F73D" w14:textId="77777777" w:rsidR="00C02540" w:rsidRDefault="00000000" w:rsidP="00A460CD">
      <w:pPr>
        <w:pStyle w:val="ListBullet"/>
        <w:numPr>
          <w:ilvl w:val="0"/>
          <w:numId w:val="0"/>
        </w:numPr>
      </w:pPr>
      <w:r>
        <w:t xml:space="preserve">Transparent Inputs: SHAP decomposition provides complete attribution of each prediction to input features, creating a transparent audit trail. For any given forecast, risk </w:t>
      </w:r>
      <w:r>
        <w:lastRenderedPageBreak/>
        <w:t xml:space="preserve">managers can identify which </w:t>
      </w:r>
      <w:proofErr w:type="gramStart"/>
      <w:r>
        <w:t>inputs</w:t>
      </w:r>
      <w:proofErr w:type="gramEnd"/>
      <w:r>
        <w:t xml:space="preserve"> drove the prediction and by how much, enabling challenge and validation.</w:t>
      </w:r>
    </w:p>
    <w:p w14:paraId="729AA18B" w14:textId="77777777" w:rsidR="00C02540" w:rsidRDefault="00000000" w:rsidP="00A460CD">
      <w:pPr>
        <w:pStyle w:val="ListBullet"/>
        <w:numPr>
          <w:ilvl w:val="0"/>
          <w:numId w:val="0"/>
        </w:numPr>
      </w:pPr>
      <w:r>
        <w:t>Performance Validation: We provide rigorous backtesting using industry-standard tests (Kupiec, Christoffersen, Diebold-Mariano) demonstrating superior performance across multiple metrics and asset classes. These tests are precisely those required by regulators for internal model approval.</w:t>
      </w:r>
    </w:p>
    <w:p w14:paraId="31344F27" w14:textId="77777777" w:rsidR="00C02540" w:rsidRDefault="00000000" w:rsidP="00A460CD">
      <w:pPr>
        <w:pStyle w:val="ListBullet"/>
        <w:numPr>
          <w:ilvl w:val="0"/>
          <w:numId w:val="0"/>
        </w:numPr>
      </w:pPr>
      <w:r>
        <w:t>Model Limitations Documentation: Unlike pure black boxes, our interpretability framework reveals model behavior including which features matter most and how temporal focus adapts. This enables identification of scenarios where the model may underperform (e.g., unprecedented shocks with no historical analog in the training data).</w:t>
      </w:r>
    </w:p>
    <w:p w14:paraId="3ECD562C" w14:textId="77777777" w:rsidR="00C02540" w:rsidRDefault="00000000">
      <w:r>
        <w:t>The European Union's General Data Protection Regulation (GDPR) similarly mandates a "right to explanation" for automated decisions affecting individuals. While GDPR primarily targets consumer applications, the principle extends to financial models affecting client outcomes. Our framework's interpretability satisfies this requirement, providing explanations that are both technically rigorous and accessible to non-technical stakeholders.</w:t>
      </w:r>
    </w:p>
    <w:p w14:paraId="666FA901" w14:textId="77777777" w:rsidR="00C02540" w:rsidRDefault="00000000">
      <w:pPr>
        <w:pStyle w:val="Heading2"/>
      </w:pPr>
      <w:r>
        <w:t>6.2 Practical Risk Management Applications</w:t>
      </w:r>
    </w:p>
    <w:p w14:paraId="64B36F17" w14:textId="77777777" w:rsidR="00C02540" w:rsidRDefault="00000000">
      <w:r>
        <w:t>Beyond regulatory compliance, the interpretability insights offer concrete value for day-to-day risk management:</w:t>
      </w:r>
    </w:p>
    <w:p w14:paraId="52B9BC7E" w14:textId="77777777" w:rsidR="00C02540" w:rsidRDefault="00000000">
      <w:pPr>
        <w:pStyle w:val="ListBullet"/>
      </w:pPr>
      <w:r>
        <w:t>Dynamic Capital Allocation: The accurate VaR forecasts enable optimal allocation of regulatory and economic capital. Over-conservative estimates lock up excess capital with opportunity costs; under-conservative estimates risk regulatory violations and insolvency. Our 1.05% violation rate versus GARCH's 1.80% translates to millions of dollars in properly calibrated capital for large portfolios.</w:t>
      </w:r>
    </w:p>
    <w:p w14:paraId="3A810045" w14:textId="77777777" w:rsidR="00C02540" w:rsidRDefault="00000000">
      <w:pPr>
        <w:pStyle w:val="ListBullet"/>
      </w:pPr>
      <w:r>
        <w:t>Early Warning System: The dominant role of GPR (SHAP value 0.45) suggests that monitoring geopolitical risk indicators can provide early warning of impending volatility spikes. Risk managers can implement escalation procedures when both GPR is elevated and the model's attention focuses on recent shock events.</w:t>
      </w:r>
    </w:p>
    <w:p w14:paraId="01F43063" w14:textId="77777777" w:rsidR="00C02540" w:rsidRDefault="00000000">
      <w:pPr>
        <w:pStyle w:val="ListBullet"/>
      </w:pPr>
      <w:r>
        <w:t>Scenario Analysis: SHAP decomposition enables counterfactual reasoning: "If GPR decreased by 20%, what would happen to our volatility forecast?" Such scenario analysis is invaluable for stress testing and understanding portfolio sensitivities to macro risk factors.</w:t>
      </w:r>
    </w:p>
    <w:p w14:paraId="0FF0E6DD" w14:textId="77777777" w:rsidR="00C02540" w:rsidRDefault="00000000">
      <w:pPr>
        <w:pStyle w:val="ListBullet"/>
      </w:pPr>
      <w:r>
        <w:t>Model Monitoring: The interpretability layer facilitates ongoing model performance monitoring. If SHAP values shift dramatically or attention patterns change, this signals potential model degradation or market regime change requiring investigation and possible recalibration.</w:t>
      </w:r>
    </w:p>
    <w:p w14:paraId="27D555CD" w14:textId="77777777" w:rsidR="00C02540" w:rsidRDefault="00000000">
      <w:pPr>
        <w:pStyle w:val="Heading2"/>
      </w:pPr>
      <w:r>
        <w:lastRenderedPageBreak/>
        <w:t>6.3 Economic Insights: The Geopolitical Risk Premium</w:t>
      </w:r>
    </w:p>
    <w:p w14:paraId="3E4955B7" w14:textId="77777777" w:rsidR="00C02540" w:rsidRDefault="00000000">
      <w:r>
        <w:t>The dominant importance of the GPR index (mean |SHAP|=0.45) provides quantitative evidence for the "geopolitical risk premium" in asset pricing. This finding aligns with recent theoretical and empirical work showing that investors demand compensation for geopolitical uncertainty (Caldara and Iacoviello, 2022). Our results extend this literature by demonstrating that geopolitical risk affects not just expected returns but also higher moments—specifically, volatility and tail risk.</w:t>
      </w:r>
    </w:p>
    <w:p w14:paraId="1E6A28D2" w14:textId="77777777" w:rsidR="00C02540" w:rsidRDefault="00000000">
      <w:r>
        <w:t>The attention mechanism's dynamic behavior—concentrating on recent days during calm periods but extending to historical shock events during crises—mimics the heterogeneous trading behavior documented in market microstructure research. Long-term institutional investors normally have extended horizons but shorten them during crises, becoming more reactive to recent information. Our model endogenously learns this pattern from data without explicitly programming it, suggesting that the attention mechanism captures genuine market participant behavior rather than fitting noise.</w:t>
      </w:r>
    </w:p>
    <w:p w14:paraId="69ACC3DF" w14:textId="77777777" w:rsidR="00C02540" w:rsidRDefault="00000000">
      <w:r>
        <w:t>The asymmetric impact of GPR (high values strongly increase volatility forecasts, but low values have minimal effect) confirms that geopolitical calm is the baseline expectation while crises represent unexpected shocks. This asymmetry differs from symmetric predictors like realized volatility and has implications for portfolio hedging: protection against geopolitical shocks requires persistent positions (e.g., long volatility, safe-haven assets) rather than tactical timing.</w:t>
      </w:r>
    </w:p>
    <w:p w14:paraId="23E33C12" w14:textId="77777777" w:rsidR="00C02540" w:rsidRDefault="00000000">
      <w:pPr>
        <w:pStyle w:val="Heading2"/>
      </w:pPr>
      <w:r>
        <w:t>6.4 Comparison with Alternative Approaches</w:t>
      </w:r>
    </w:p>
    <w:p w14:paraId="72A13A05" w14:textId="798F2108" w:rsidR="00C02540" w:rsidRDefault="00000000">
      <w:r>
        <w:t>Several alternative approaches to explainable volatility forecasting exist, each with distinct trade-offs:</w:t>
      </w:r>
      <w:r>
        <w:br/>
      </w:r>
      <w:r>
        <w:br/>
        <w:t>Hybrid LSTM-GARCH Models: These maintain GARCH's explicit volatility dynamics while using LSTMs for feature extraction. However, they inherit GARCH's parametric assumptions and often provide limited interpretability beyond standard GARCH diagnostics.</w:t>
      </w:r>
      <w:r>
        <w:br/>
      </w:r>
      <w:r>
        <w:br/>
        <w:t>Pure Transformer Models: Transformers with self-attention offer interpretability through attention weights and can capture long-range dependencies. However, they require substantially more training data than available for most financial applications and their quadratic computational complexity makes them impractical for very long sequences.</w:t>
      </w:r>
      <w:r>
        <w:br/>
      </w:r>
      <w:r>
        <w:br/>
        <w:t xml:space="preserve">Tree-Based Models with SHAP: XGBoost/Random Forests are inherently more interpretable and SHAP values can be computed efficiently via TreeExplainer. However, these models lack native ability to handle temporal dependencies and sequence structure, requiring extensive manual feature engineering (lags, rolling windows) that LSTMs learn </w:t>
      </w:r>
      <w:r>
        <w:lastRenderedPageBreak/>
        <w:t>automatically.</w:t>
      </w:r>
      <w:r>
        <w:br/>
      </w:r>
      <w:r>
        <w:br/>
        <w:t>Attention-Only Models: Using attention without SHAP provides temporal interpretability but not feature-level attribution, leaving questions about "what" unanswered. Moreover, attention weights can be misleading without validation from orthogonal interpretation methods.</w:t>
      </w:r>
      <w:r>
        <w:br/>
      </w:r>
      <w:r>
        <w:br/>
        <w:t>Our hybrid approach combines the strengths of these alternatives: LSTM's sequential modeling, attention's temporal interpretability, and SHAP's feature attribution, creating a comprehensive framework that no single method achieves alone.</w:t>
      </w:r>
    </w:p>
    <w:p w14:paraId="2E3BCE0D" w14:textId="77777777" w:rsidR="00C02540" w:rsidRDefault="00000000">
      <w:pPr>
        <w:pStyle w:val="Heading1"/>
      </w:pPr>
      <w:r>
        <w:t>7. Limitations and Future Work</w:t>
      </w:r>
    </w:p>
    <w:p w14:paraId="475C827E" w14:textId="77777777" w:rsidR="00C02540" w:rsidRDefault="00000000">
      <w:r>
        <w:t>Despite strong performance and comprehensive validation, our framework has several limitations that suggest directions for future research:</w:t>
      </w:r>
    </w:p>
    <w:p w14:paraId="4306F756" w14:textId="77777777" w:rsidR="00C02540" w:rsidRDefault="00000000">
      <w:pPr>
        <w:pStyle w:val="Heading2"/>
      </w:pPr>
      <w:r>
        <w:t>7.1 Data Frequency and Flash Crashes</w:t>
      </w:r>
    </w:p>
    <w:p w14:paraId="7D4B76BB" w14:textId="77777777" w:rsidR="00C02540" w:rsidRDefault="00000000">
      <w:r>
        <w:t>Our model operates on daily data, which is appropriate for regulatory capital calculations and strategic risk management but may miss intraday volatility dynamics and flash crashes. High-frequency (tick-level or minute-level) data presents both opportunities and challenges: it offers richer information about market microstructure but introduces noise, data volume challenges, and potential overfitting. Extending our framework to high-frequency data while maintaining interpretability is an important avenue for future research, potentially using hierarchical architectures that aggregate intraday patterns before daily forecasting.</w:t>
      </w:r>
    </w:p>
    <w:p w14:paraId="5316D1A1" w14:textId="77777777" w:rsidR="00C02540" w:rsidRDefault="00000000">
      <w:pPr>
        <w:pStyle w:val="Heading2"/>
      </w:pPr>
      <w:r>
        <w:t>7.2 Computational Cost of SHAP</w:t>
      </w:r>
    </w:p>
    <w:p w14:paraId="2D74E455" w14:textId="77777777" w:rsidR="00C02540" w:rsidRDefault="00000000">
      <w:r>
        <w:t>Generating SHAP values for deep neural networks requires computing numerous model evaluations (DeepExplainer uses Monte Carlo sampling over input feature coalitions). This results in approximately 200ms latency per prediction on our hardware—acceptable for daily risk reporting but potentially prohibitive for high-frequency trading systems requiring millisecond latency. Recent developments in fast approximation algorithms (e.g., FastTreeSHAP, KernelSHAP optimizations) may reduce this cost. Alternatively, model distillation could train a simpler, faster "student" model to approximate the LSTM-Attention's predictions while maintaining interpretability.</w:t>
      </w:r>
    </w:p>
    <w:p w14:paraId="7868585B" w14:textId="77777777" w:rsidR="00C02540" w:rsidRDefault="00000000">
      <w:pPr>
        <w:pStyle w:val="Heading2"/>
      </w:pPr>
      <w:r>
        <w:t>7.3 Causality versus Correlation</w:t>
      </w:r>
    </w:p>
    <w:p w14:paraId="5612A633" w14:textId="77777777" w:rsidR="00C02540" w:rsidRDefault="00000000">
      <w:r>
        <w:t xml:space="preserve">While SHAP quantifies feature importance, it identifies correlations rather than causal relationships. The high GPR importance indicates that geopolitical risk is strongly associated with volatility spikes, but we cannot definitively claim causation without additional analysis. Causal inference methods such as Granger causality tests, structural </w:t>
      </w:r>
      <w:r>
        <w:lastRenderedPageBreak/>
        <w:t>equation modeling, or emerging causal machine learning techniques (e.g., Causal SHAP, do-calculus integration) could strengthen claims about driver-outcome relationships. This is particularly important for policy analysis where confounding variables may bias apparent effects.</w:t>
      </w:r>
    </w:p>
    <w:p w14:paraId="247ED835" w14:textId="77777777" w:rsidR="00C02540" w:rsidRDefault="00000000">
      <w:pPr>
        <w:pStyle w:val="Heading2"/>
      </w:pPr>
      <w:r>
        <w:t>7.4 Black Swan Events and Tail Behavior</w:t>
      </w:r>
    </w:p>
    <w:p w14:paraId="31392F63" w14:textId="77777777" w:rsidR="00C02540" w:rsidRDefault="00000000">
      <w:r>
        <w:t>Like all models trained on historical data, ours may underperform during genuinely unprecedented "black swan" events that have no analog in the training period. The COVID-19 crash of March 2020 partially appears in our training data, but future crises may exhibit different dynamics. Extreme value theory approaches, scenario-based stress testing, and regular out-of-sample validation on newly available data can partially mitigate this limitation. Additionally, Bayesian extensions incorporating model uncertainty could provide prediction intervals reflecting epistemic uncertainty during unprecedented regimes.</w:t>
      </w:r>
    </w:p>
    <w:p w14:paraId="79DBC366" w14:textId="77777777" w:rsidR="00C02540" w:rsidRDefault="00000000">
      <w:pPr>
        <w:pStyle w:val="Heading2"/>
      </w:pPr>
      <w:r>
        <w:t>7.5 Future Research Directions</w:t>
      </w:r>
    </w:p>
    <w:p w14:paraId="7EE42978" w14:textId="77777777" w:rsidR="00C02540" w:rsidRDefault="00000000">
      <w:r>
        <w:t>Several promising directions for extending this work include:</w:t>
      </w:r>
    </w:p>
    <w:p w14:paraId="1217E5E5" w14:textId="77777777" w:rsidR="00C02540" w:rsidRDefault="00000000">
      <w:pPr>
        <w:pStyle w:val="ListNumber"/>
      </w:pPr>
      <w:r>
        <w:t>Transformer Architectures: Recent models like Temporal Fusion Transformers (Lim et al., 2021) and Informer (Zhou et al., 2021) show promise for long-sequence forecasting. Adapting these with SHAP explanations and comparing against our LSTM-Attention baseline could reveal whether quadratic attention complexity provides sufficient benefit to justify the added computational cost.</w:t>
      </w:r>
    </w:p>
    <w:p w14:paraId="39DB3B10" w14:textId="77777777" w:rsidR="00C02540" w:rsidRDefault="00000000">
      <w:pPr>
        <w:pStyle w:val="ListNumber"/>
      </w:pPr>
      <w:r>
        <w:t>Multivariate Extensions: Our current implementation forecasts each asset independently. Extending to multivariate architectures that model cross-asset spillovers and contagion effects (e.g., using Graph Neural Networks or multivariate LSTMs) could improve forecasting during systemic crises when correlations spike.</w:t>
      </w:r>
    </w:p>
    <w:p w14:paraId="2A75A97C" w14:textId="77777777" w:rsidR="00C02540" w:rsidRDefault="00000000">
      <w:pPr>
        <w:pStyle w:val="ListNumber"/>
      </w:pPr>
      <w:r>
        <w:t>Adaptive Learning: Implementing online learning or continual learning frameworks that update model parameters as new data arrive could improve adaptation to regime changes without requiring full retraining. This is particularly relevant for operational deployment where market conditions evolve continuously.</w:t>
      </w:r>
    </w:p>
    <w:p w14:paraId="7EF3B743" w14:textId="77777777" w:rsidR="00C02540" w:rsidRDefault="00000000">
      <w:pPr>
        <w:pStyle w:val="ListNumber"/>
      </w:pPr>
      <w:r>
        <w:t>Causal Discovery: Integrating causal discovery algorithms (e.g., PC algorithm, Granger causality networks) with SHAP could distinguish genuine causal drivers from spurious correlations, strengthening economic interpretation and policy recommendations.</w:t>
      </w:r>
    </w:p>
    <w:p w14:paraId="66CA6E8A" w14:textId="77777777" w:rsidR="00C02540" w:rsidRDefault="00000000">
      <w:pPr>
        <w:pStyle w:val="ListNumber"/>
      </w:pPr>
      <w:r>
        <w:t>Alternative Interpretability Methods: Comparing SHAP with alternative XAI techniques such as Integrated Gradients, Layer-wise Relevance Propagation (LRP), or counterfactual explanations could reveal whether interpretation insights are robust across methods or method-dependent.</w:t>
      </w:r>
    </w:p>
    <w:p w14:paraId="7EFF7EDE" w14:textId="77777777" w:rsidR="00C02540" w:rsidRDefault="00000000">
      <w:r>
        <w:br w:type="page"/>
      </w:r>
    </w:p>
    <w:p w14:paraId="2AB30994" w14:textId="77777777" w:rsidR="00C02540" w:rsidRDefault="00000000">
      <w:pPr>
        <w:pStyle w:val="Heading1"/>
      </w:pPr>
      <w:r>
        <w:lastRenderedPageBreak/>
        <w:t>8. Conclusion</w:t>
      </w:r>
    </w:p>
    <w:p w14:paraId="31834137" w14:textId="77777777" w:rsidR="00C02540" w:rsidRDefault="00000000">
      <w:r>
        <w:t>This paper presented a comprehensive explainable deep learning framework that successfully bridges the gap between predictive accuracy and regulatory compliance in financial volatility forecasting. By integrating Long Short-Term Memory networks with attention mechanisms and SHapley Additive Explanations, we achieved state-of-the-art forecasting performance while providing the transparency required for deployment in heavily regulated financial institutions.</w:t>
      </w:r>
    </w:p>
    <w:p w14:paraId="1369BBA4" w14:textId="77777777" w:rsidR="00C02540" w:rsidRDefault="00000000">
      <w:r>
        <w:t>Our key achievements include: (1) a 30% reduction in volatility forecast error (RMSE) compared to GARCH(1,1) baselines, with statistical significance confirmed through Diebold-Mariano tests across five diverse asset classes; (2) superior tail risk calibration with 99% VaR violation rate of 1.05% versus the theoretical 1% target, passing both Kupiec and Christoffersen regulatory backtests; (3) comprehensive interpretability through dual-layer analysis revealing that geopolitical risk (GPR index) is the dominant driver of extreme volatility (mean |SHAP value|=0.45), with attention mechanisms identifying when historical shocks influence current predictions; and (4) rigorous validation spanning seven years and multiple market regimes including the COVID-19 crisis, inflation surge, and geopolitical conflicts.</w:t>
      </w:r>
    </w:p>
    <w:p w14:paraId="5A504231" w14:textId="77777777" w:rsidR="00C02540" w:rsidRDefault="00000000">
      <w:r>
        <w:t>The practical implications extend beyond academic contribution. Our framework satisfies regulatory requirements under Basel III/IV and SR 11-7 while offering actionable insights for risk management: accurate capital allocation, early warning capabilities through GPR monitoring, and transparent audit trails for model governance. The dominant role of geopolitical risk provides quantitative evidence for the geopolitical risk premium in asset pricing and suggests that incorporating external macro factors is essential for accurate tail risk modeling in interconnected global markets.</w:t>
      </w:r>
    </w:p>
    <w:p w14:paraId="540833CE" w14:textId="77777777" w:rsidR="00C02540" w:rsidRDefault="00000000">
      <w:r>
        <w:t>We conclude that Explainable AI is not merely a regulatory burden or technical curiosity but a fundamental requirement for trustworthy, robust financial modeling. The supposed trade-off between interpretability and accuracy is a false dichotomy: through careful architecture design and comprehensive validation, both objectives can be achieved simultaneously. As machine learning continues to transform quantitative finance, frameworks that combine predictive power with transparency will become essential infrastructure for modern risk management.</w:t>
      </w:r>
    </w:p>
    <w:p w14:paraId="0FCDFABA" w14:textId="43D4B329" w:rsidR="00C02540" w:rsidRDefault="00000000">
      <w:r>
        <w:t>Our work demonstrates that deep learning can move from the research lab into production financial systems, not despite regulatory requirements but because we explicitly design for them. This represents a paradigm shift from viewing interpretability as a constraint to recognizing it as an enabler—providing not just compliance but genuine insight into market dynamics that improves decision-making. Future financial models will be judged not only by their forecast accuracy but by their ability to explain, educate, and empower the humans who rely on them.</w:t>
      </w:r>
    </w:p>
    <w:p w14:paraId="6C185BE7" w14:textId="77777777" w:rsidR="00C02540" w:rsidRDefault="00000000">
      <w:pPr>
        <w:pStyle w:val="Heading1"/>
      </w:pPr>
      <w:r>
        <w:lastRenderedPageBreak/>
        <w:t>References</w:t>
      </w:r>
    </w:p>
    <w:p w14:paraId="7D8A9ECE" w14:textId="543EDFC8" w:rsidR="00C02540" w:rsidRDefault="00000000" w:rsidP="000B6A84">
      <w:r>
        <w:t>Andersen, T. G., &amp; Bollerslev, T. (1998). Answering the skeptics: Yes, standard volatility models do provide accurate forecasts. International Economic Review, 39(4), 885-905.</w:t>
      </w:r>
    </w:p>
    <w:p w14:paraId="49FB48A2" w14:textId="77777777" w:rsidR="00C02540" w:rsidRDefault="00000000" w:rsidP="000B6A84">
      <w:r>
        <w:t>Bahdanau, D., Cho, K., &amp; Bengio, Y. (2015). Neural machine translation by jointly learning to align and translate. International Conference on Learning Representations (ICLR).</w:t>
      </w:r>
    </w:p>
    <w:p w14:paraId="481E5C2C" w14:textId="77777777" w:rsidR="00C02540" w:rsidRDefault="00000000" w:rsidP="000B6A84">
      <w:r>
        <w:t>Bai, S., Kolter, J. Z., &amp; Koltun, V. (2018). An empirical evaluation of generic convolutional and recurrent networks for sequence modeling. arXiv preprint arXiv:1803.01271.</w:t>
      </w:r>
    </w:p>
    <w:p w14:paraId="4FC2DE59" w14:textId="77777777" w:rsidR="00C02540" w:rsidRDefault="00000000" w:rsidP="000B6A84">
      <w:r>
        <w:t>Basel Committee on Banking Supervision. (2019). Minimum capital requirements for market risk. Bank for International Settlements.</w:t>
      </w:r>
    </w:p>
    <w:p w14:paraId="01D8D86C" w14:textId="77777777" w:rsidR="00C02540" w:rsidRDefault="00000000" w:rsidP="000B6A84">
      <w:r>
        <w:t xml:space="preserve">Black, F., &amp; Scholes, M. (1973). </w:t>
      </w:r>
      <w:proofErr w:type="gramStart"/>
      <w:r>
        <w:t>The pricing</w:t>
      </w:r>
      <w:proofErr w:type="gramEnd"/>
      <w:r>
        <w:t xml:space="preserve"> of options and corporate liabilities. Journal of Political Economy, 81(3), 637-654.</w:t>
      </w:r>
    </w:p>
    <w:p w14:paraId="76F363C6" w14:textId="77777777" w:rsidR="00C02540" w:rsidRDefault="00000000" w:rsidP="000B6A84">
      <w:r>
        <w:t>Board of Governors of the Federal Reserve System. (2011). Supervisory guidance on model risk management (SR 11-7).</w:t>
      </w:r>
    </w:p>
    <w:p w14:paraId="72479A24" w14:textId="77777777" w:rsidR="00C02540" w:rsidRDefault="00000000" w:rsidP="000B6A84">
      <w:r>
        <w:t>Bollerslev, T. (1986). Generalized autoregressive conditional heteroskedasticity. Journal of Econometrics, 31(3), 307-327.</w:t>
      </w:r>
    </w:p>
    <w:p w14:paraId="3FF1478C" w14:textId="77777777" w:rsidR="00C02540" w:rsidRDefault="00000000" w:rsidP="000B6A84">
      <w:r>
        <w:t>Bracke, P., Datta, A., Jung, C., &amp; Sen, S. (2019). Machine learning explainability in finance: An application to default risk analysis. Bank of England Staff Working Paper No. 816.</w:t>
      </w:r>
    </w:p>
    <w:p w14:paraId="26529210" w14:textId="77777777" w:rsidR="00C02540" w:rsidRDefault="00000000" w:rsidP="000B6A84">
      <w:r>
        <w:t>Bucci, A. (2020). Realized volatility forecasting with neural networks. Journal of Financial Econometrics, 18(3), 502-531.</w:t>
      </w:r>
    </w:p>
    <w:p w14:paraId="48BA3F3C" w14:textId="77777777" w:rsidR="00C02540" w:rsidRDefault="00000000" w:rsidP="000B6A84">
      <w:r>
        <w:t>Bussmann, N., Giudici, P., Marinelli, D., &amp; Papenbrock, J. (2021). Explainable AI in fintech risk management. Frontiers in Artificial Intelligence, 3, 26.</w:t>
      </w:r>
    </w:p>
    <w:p w14:paraId="2C18CF51" w14:textId="77777777" w:rsidR="00C02540" w:rsidRDefault="00000000" w:rsidP="000B6A84">
      <w:r>
        <w:t>Caldara, D., &amp; Iacoviello, M. (2022). Measuring geopolitical risk. American Economic Review, 112(4), 1194-1225.</w:t>
      </w:r>
    </w:p>
    <w:p w14:paraId="4ED62D31" w14:textId="77777777" w:rsidR="00C02540" w:rsidRDefault="00000000" w:rsidP="000B6A84">
      <w:r>
        <w:t>Chen, W., Jiang, M., Zhang, W. G., &amp; Chen, Z. (2019). A novel graph convolutional feature based convolutional neural network for stock trend prediction. Information Sciences, 556, 67-94.</w:t>
      </w:r>
    </w:p>
    <w:p w14:paraId="099097AE" w14:textId="77777777" w:rsidR="00C02540" w:rsidRDefault="00000000" w:rsidP="000B6A84">
      <w:r>
        <w:t>Christoffersen, P. F. (1998). Evaluating interval forecasts. International Economic Review, 39(4), 841-862.</w:t>
      </w:r>
    </w:p>
    <w:p w14:paraId="0B17B0C0" w14:textId="77777777" w:rsidR="00C02540" w:rsidRDefault="00000000" w:rsidP="000B6A84">
      <w:r>
        <w:lastRenderedPageBreak/>
        <w:t>Corsi, F. (2009). A simple approximate long-memory model of realized volatility. Journal of Financial Econometrics, 7(2), 174-196.</w:t>
      </w:r>
    </w:p>
    <w:p w14:paraId="26E4749E" w14:textId="77777777" w:rsidR="00C02540" w:rsidRDefault="00000000" w:rsidP="000B6A84">
      <w:r>
        <w:t>Diebold, F. X., &amp; Mariano, R. S. (1995). Comparing predictive accuracy. Journal of Business &amp; Economic Statistics, 13(3), 253-263.</w:t>
      </w:r>
    </w:p>
    <w:p w14:paraId="255A9416" w14:textId="77777777" w:rsidR="00C02540" w:rsidRDefault="00000000" w:rsidP="000B6A84">
      <w:r>
        <w:t>Engle, R. F. (1982). Autoregressive conditional heteroskedasticity with estimates of the variance of United Kingdom inflation. Econometrica, 50(4), 987-1007.</w:t>
      </w:r>
    </w:p>
    <w:p w14:paraId="1EEFDCCC" w14:textId="77777777" w:rsidR="00C02540" w:rsidRDefault="00000000" w:rsidP="000B6A84">
      <w:r>
        <w:t>Fischer, T., &amp; Krauss, C. (2018). Deep learning with long short-term memory networks for financial market predictions. European Journal of Operational Research, 270(2), 654-669.</w:t>
      </w:r>
    </w:p>
    <w:p w14:paraId="72F6388D" w14:textId="77777777" w:rsidR="00C02540" w:rsidRDefault="00000000" w:rsidP="000B6A84">
      <w:r>
        <w:t>Glosten, L. R., Jagannathan, R., &amp; Runkle, D. E. (1993). On the relation between the expected value and the volatility of the nominal excess return on stocks. Journal of Finance, 48(5), 1779-1801.</w:t>
      </w:r>
    </w:p>
    <w:p w14:paraId="6AE46D22" w14:textId="77777777" w:rsidR="00C02540" w:rsidRDefault="00000000" w:rsidP="000B6A84">
      <w:r>
        <w:t>Hochreiter, S., &amp; Schmidhuber, J. (1997). Long short-term memory. Neural Computation, 9(8), 1735-1780.</w:t>
      </w:r>
    </w:p>
    <w:p w14:paraId="583BB18D" w14:textId="77777777" w:rsidR="00C02540" w:rsidRDefault="00000000" w:rsidP="000B6A84">
      <w:r>
        <w:t>Jain, S., &amp; Wallace, B. C. (2019). Attention is not explanation. Proceedings of NAACL-HLT 2019, 3543-3556.</w:t>
      </w:r>
    </w:p>
    <w:p w14:paraId="05176656" w14:textId="77777777" w:rsidR="00C02540" w:rsidRDefault="00000000" w:rsidP="000B6A84">
      <w:r>
        <w:t>Kim, H. Y., &amp; Won, C. H. (2018). Forecasting the volatility of stock price index: A hybrid model integrating LSTM with multiple GARCH-type models. Expert Systems with Applications, 103, 25-37.</w:t>
      </w:r>
    </w:p>
    <w:p w14:paraId="6DBDAB3C" w14:textId="77777777" w:rsidR="00C02540" w:rsidRDefault="00000000" w:rsidP="000B6A84">
      <w:r>
        <w:t>Kingma, D. P., &amp; Ba, J. (2015). Adam: A method for stochastic optimization. International Conference on Learning Representations (ICLR).</w:t>
      </w:r>
    </w:p>
    <w:p w14:paraId="205F0D44" w14:textId="77777777" w:rsidR="00C02540" w:rsidRDefault="00000000" w:rsidP="000B6A84">
      <w:r>
        <w:t>Kupiec, P. H. (1995). Techniques for verifying the accuracy of risk measurement models. The Journal of Derivatives, 3(2), 73-84.</w:t>
      </w:r>
    </w:p>
    <w:p w14:paraId="798CB5E7" w14:textId="77777777" w:rsidR="00C02540" w:rsidRDefault="00000000" w:rsidP="000B6A84">
      <w:r>
        <w:t>Lim, B., Arık, S. Ö., Loeff, N., &amp; Pfister, T. (2021). Temporal fusion transformers for interpretable multi-horizon time series forecasting. International Journal of Forecasting, 37(4), 1748-1764.</w:t>
      </w:r>
    </w:p>
    <w:p w14:paraId="262B54B5" w14:textId="77777777" w:rsidR="00C02540" w:rsidRDefault="00000000" w:rsidP="000B6A84">
      <w:r>
        <w:t>Lundberg, S. M., Erion, G., Chen, H., DeGrave, A., Prutkin, J. M., Nair, B., ... &amp; Lee, S. I. (2020). From local explanations to global understanding with explainable AI for trees. Nature Machine Intelligence, 2(1), 56-67.</w:t>
      </w:r>
    </w:p>
    <w:p w14:paraId="675D6BE8" w14:textId="77777777" w:rsidR="00C02540" w:rsidRDefault="00000000" w:rsidP="000B6A84">
      <w:r>
        <w:t>Lundberg, S. M., &amp; Lee, S. I. (2017). A unified approach to interpreting model predictions. Advances in Neural Information Processing Systems, 30, 4765-4774.</w:t>
      </w:r>
    </w:p>
    <w:p w14:paraId="0601A06A" w14:textId="77777777" w:rsidR="00C02540" w:rsidRDefault="00000000" w:rsidP="000B6A84">
      <w:r>
        <w:t>Markowitz, H. (1952). Portfolio selection. Journal of Finance, 7(1), 77-91.</w:t>
      </w:r>
    </w:p>
    <w:p w14:paraId="0773C306" w14:textId="77777777" w:rsidR="00C02540" w:rsidRDefault="00000000" w:rsidP="000B6A84">
      <w:r>
        <w:lastRenderedPageBreak/>
        <w:t>Nelson, D. B. (1991). Conditional heteroskedasticity in asset returns: A new approach. Econometrica, 59(2), 347-370.</w:t>
      </w:r>
    </w:p>
    <w:p w14:paraId="7F0D7FB6" w14:textId="77777777" w:rsidR="00C02540" w:rsidRDefault="00000000" w:rsidP="000B6A84">
      <w:r>
        <w:t>Parkinson, M. (1980). The extreme value method for estimating the variance of the rate of return. Journal of Business, 53(1), 61-65.</w:t>
      </w:r>
    </w:p>
    <w:p w14:paraId="43E974B5" w14:textId="77777777" w:rsidR="00C02540" w:rsidRDefault="00000000" w:rsidP="000B6A84">
      <w:r>
        <w:t>Vaswani, A., Shazeer, N., Parmar, N., Uszkoreit, J., Jones, L., Gomez, A. N., ... &amp; Polosukhin, I. (2017). Attention is all you need. Advances in Neural Information Processing Systems, 30, 5998-6008.</w:t>
      </w:r>
    </w:p>
    <w:p w14:paraId="6E2F2CE0" w14:textId="77777777" w:rsidR="00C02540" w:rsidRDefault="00000000" w:rsidP="000B6A84">
      <w:r>
        <w:t>Zhang, Z., Zohren, S., &amp; Roberts, S. (2020). Deep learning for portfolio optimization. Journal of Financial Data Science, 2(4), 8-20.</w:t>
      </w:r>
    </w:p>
    <w:p w14:paraId="22D98783" w14:textId="77777777" w:rsidR="00C02540" w:rsidRDefault="00000000" w:rsidP="000B6A84">
      <w:r>
        <w:t>Zhou, H., Zhang, S., Peng, J., Zhang, S., Li, J., Xiong, H., &amp; Zhang, W. (2021). Informer: Beyond efficient transformer for long sequence time-series forecasting. Proceedings of AAAI, 35(12), 11106-11115.</w:t>
      </w:r>
    </w:p>
    <w:sectPr w:rsidR="00C025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5D4336"/>
    <w:multiLevelType w:val="hybridMultilevel"/>
    <w:tmpl w:val="68088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611450">
    <w:abstractNumId w:val="8"/>
  </w:num>
  <w:num w:numId="2" w16cid:durableId="1212574963">
    <w:abstractNumId w:val="6"/>
  </w:num>
  <w:num w:numId="3" w16cid:durableId="1230265087">
    <w:abstractNumId w:val="5"/>
  </w:num>
  <w:num w:numId="4" w16cid:durableId="42795427">
    <w:abstractNumId w:val="4"/>
  </w:num>
  <w:num w:numId="5" w16cid:durableId="1330595787">
    <w:abstractNumId w:val="7"/>
  </w:num>
  <w:num w:numId="6" w16cid:durableId="1424112372">
    <w:abstractNumId w:val="3"/>
  </w:num>
  <w:num w:numId="7" w16cid:durableId="1143690739">
    <w:abstractNumId w:val="2"/>
  </w:num>
  <w:num w:numId="8" w16cid:durableId="363557999">
    <w:abstractNumId w:val="1"/>
  </w:num>
  <w:num w:numId="9" w16cid:durableId="1058286822">
    <w:abstractNumId w:val="0"/>
  </w:num>
  <w:num w:numId="10" w16cid:durableId="18018002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A84"/>
    <w:rsid w:val="0015074B"/>
    <w:rsid w:val="00287157"/>
    <w:rsid w:val="0029639D"/>
    <w:rsid w:val="002D6107"/>
    <w:rsid w:val="00326F90"/>
    <w:rsid w:val="005561EC"/>
    <w:rsid w:val="005E36B6"/>
    <w:rsid w:val="00621869"/>
    <w:rsid w:val="00A460CD"/>
    <w:rsid w:val="00A74F66"/>
    <w:rsid w:val="00AA1D8D"/>
    <w:rsid w:val="00AD1EA2"/>
    <w:rsid w:val="00B47730"/>
    <w:rsid w:val="00C02540"/>
    <w:rsid w:val="00CB0664"/>
    <w:rsid w:val="00DF16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C3C27"/>
  <w14:defaultImageDpi w14:val="300"/>
  <w15:docId w15:val="{07AAE926-25B0-4580-855E-2C73B9B67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31</Pages>
  <Words>9480</Words>
  <Characters>54042</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Abrar Ahmed</cp:lastModifiedBy>
  <cp:revision>15</cp:revision>
  <dcterms:created xsi:type="dcterms:W3CDTF">2013-12-23T23:15:00Z</dcterms:created>
  <dcterms:modified xsi:type="dcterms:W3CDTF">2026-01-02T05:16:00Z</dcterms:modified>
  <cp:category/>
</cp:coreProperties>
</file>