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 xml:space="preserve">Step 1.6 — Non-Dimensionalisation of the Coupled Hydro-Mechanical PDEs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Işıkdere Lignite Open-Pit Mine · PINN Slope-Stability Framework · Phase 1</w:t>
      </w:r>
    </w:p>
    <w:p>
      <w:pPr>
        <w:pStyle w:val="Heading1"/>
        <w:spacing w:after="120" w:before="240"/>
      </w:pPr>
      <w:r>
        <w:t xml:space="preserve">1. Purpose and Rationale</w:t>
      </w:r>
    </w:p>
    <w:p>
      <w:pPr>
        <w:spacing w:after="120"/>
      </w:pPr>
      <w:r>
        <w:t xml:space="preserve">The Richards equation and the Navier–Cauchy equilibrium equations span roughly twelve orders of magnitude in their raw SI form: saturated conductivity is </w:t>
      </w:r>
      <w:r>
        <w:rPr>
          <w:rFonts w:ascii="Consolas" w:cs="Consolas" w:eastAsia="Consolas" w:hAnsi="Consolas"/>
        </w:rPr>
        <w:t xml:space="preserve">K_s ≈ 10⁻⁶ m/s</w:t>
      </w:r>
      <w:r>
        <w:t xml:space="preserve"> while effective stresses are </w:t>
      </w:r>
      <w:r>
        <w:rPr>
          <w:rFonts w:ascii="Consolas" w:cs="Consolas" w:eastAsia="Consolas" w:hAnsi="Consolas"/>
        </w:rPr>
        <w:t xml:space="preserve">σ ≈ 10⁶ Pa</w:t>
      </w:r>
      <w:r>
        <w:t xml:space="preserve">. Feeding variables of such disparate magnitude into a network of tanh neurons drives the activations into their flat, saturated regions, the gradients vanish, and training stalls at a near-random state. Non-dimensionalisation rescales every coordinate, field, and residual so that inputs, outputs, and PDE residual terms live near the interval [−1, 1]. It is the precondition that lets the adaptive loss weighting (GradNorm) start from a meaningful balance rather than spending its warm-up budget fighting a fixed 10⁶ disparity between loss terms.</w:t>
      </w:r>
    </w:p>
    <w:p>
      <w:pPr>
        <w:pStyle w:val="Heading1"/>
        <w:spacing w:after="120" w:before="240"/>
      </w:pPr>
      <w:r>
        <w:t xml:space="preserve">2. Characteristic Scales</w:t>
      </w:r>
    </w:p>
    <w:p>
      <w:pPr>
        <w:spacing w:after="120"/>
      </w:pPr>
      <w:r>
        <w:t xml:space="preserve">The reference values are chosen from the Işıkdere geometry so that the resulting dimensionless groups keep a clear physical meaning. Arbitrary scales would work numerically but would produce residual coefficients that no reviewer could interpret.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(SI)</w:t>
            </w:r>
          </w:p>
        </w:tc>
        <w:tc>
          <w:tcPr>
            <w:tcW w:type="dxa" w:w="5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 / justification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L_ref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170 m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Pit depth — characteristic spatial length</w:t>
            </w:r>
          </w:p>
        </w:tc>
      </w:tr>
      <w:tr>
        <w:tc>
          <w:tcPr>
            <w:tcW w:type="dxa" w:w="1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T_ref</w:t>
            </w:r>
          </w:p>
        </w:tc>
        <w:tc>
          <w:tcPr>
            <w:tcW w:type="dxa" w:w="24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86 400 s (1 day)</w:t>
            </w:r>
          </w:p>
        </w:tc>
        <w:tc>
          <w:tcPr>
            <w:tcW w:type="dxa" w:w="536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Transient seepage timescale; matches drawdown resolution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H_ref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m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 piezometric head above the coal seam</w:t>
            </w:r>
          </w:p>
        </w:tc>
      </w:tr>
      <w:tr>
        <w:tc>
          <w:tcPr>
            <w:tcW w:type="dxa" w:w="1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σ_ref</w:t>
            </w:r>
          </w:p>
        </w:tc>
        <w:tc>
          <w:tcPr>
            <w:tcW w:type="dxa" w:w="24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 × 10⁶ Pa (1 MPa)</w:t>
            </w:r>
          </w:p>
        </w:tc>
        <w:tc>
          <w:tcPr>
            <w:tcW w:type="dxa" w:w="536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Typical overburden stress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K_ref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 × 10⁻⁶ m/s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Representative saturated hydraulic conductivity</w:t>
            </w:r>
          </w:p>
        </w:tc>
      </w:tr>
      <w:tr>
        <w:tc>
          <w:tcPr>
            <w:tcW w:type="dxa" w:w="1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E_ref</w:t>
            </w:r>
          </w:p>
        </w:tc>
        <w:tc>
          <w:tcPr>
            <w:tcW w:type="dxa" w:w="24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 × 10⁹ Pa (1 GPa)</w:t>
            </w:r>
          </w:p>
        </w:tc>
        <w:tc>
          <w:tcPr>
            <w:tcW w:type="dxa" w:w="536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Representative rock-mass modulus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U_ref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0.17 m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Displacement scale, U_ref = σ_ref·L_ref / E_ref</w:t>
            </w:r>
          </w:p>
        </w:tc>
      </w:tr>
    </w:tbl>
    <w:p>
      <w:pPr>
        <w:pStyle w:val="Heading2"/>
        <w:spacing w:after="120" w:before="240"/>
      </w:pPr>
      <w:r>
        <w:t xml:space="preserve">2.1 Dimensionless variables</w:t>
      </w:r>
    </w:p>
    <w:p>
      <w:pPr>
        <w:spacing w:after="120" w:before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x* = x / L_ref     z* = z / L_ref     t* = t / T_ref</w:t>
      </w:r>
    </w:p>
    <w:p>
      <w:pPr>
        <w:spacing w:after="120" w:before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ψ* = ψ / H_ref     u* = u / U_ref     σ* = σ / σ_ref</w:t>
      </w:r>
    </w:p>
    <w:p>
      <w:pPr>
        <w:spacing w:after="120"/>
      </w:pPr>
      <w:r>
        <w:t xml:space="preserve">With these choices </w:t>
      </w:r>
      <w:r>
        <w:rPr>
          <w:rFonts w:ascii="Consolas" w:cs="Consolas" w:eastAsia="Consolas" w:hAnsi="Consolas"/>
        </w:rPr>
        <w:t xml:space="preserve">x* ∈ [0, 1]</w:t>
      </w:r>
      <w:r>
        <w:t xml:space="preserve"> horizontally, </w:t>
      </w:r>
      <w:r>
        <w:rPr>
          <w:rFonts w:ascii="Consolas" w:cs="Consolas" w:eastAsia="Consolas" w:hAnsi="Consolas"/>
        </w:rPr>
        <w:t xml:space="preserve">z* ∈ [0, ~4.4]</w:t>
      </w:r>
      <w:r>
        <w:t xml:space="preserve"> across the 750 m width, </w:t>
      </w:r>
      <w:r>
        <w:rPr>
          <w:rFonts w:ascii="Consolas" w:cs="Consolas" w:eastAsia="Consolas" w:hAnsi="Consolas"/>
        </w:rPr>
        <w:t xml:space="preserve">t* </w:t>
      </w:r>
      <w:r>
        <w:t xml:space="preserve">is measured in days, and </w:t>
      </w:r>
      <w:r>
        <w:rPr>
          <w:rFonts w:ascii="Consolas" w:cs="Consolas" w:eastAsia="Consolas" w:hAnsi="Consolas"/>
        </w:rPr>
        <w:t xml:space="preserve">ψ* ∈ [−1, +1]</w:t>
      </w:r>
      <w:r>
        <w:t xml:space="preserve"> across the suction/pressure range.</w:t>
      </w:r>
    </w:p>
    <w:p>
      <w:pPr>
        <w:pStyle w:val="Heading1"/>
        <w:spacing w:after="120" w:before="240"/>
      </w:pPr>
      <w:r>
        <w:t xml:space="preserve">3. Dimensionless Governing Equations</w:t>
      </w:r>
    </w:p>
    <w:p>
      <w:pPr>
        <w:pStyle w:val="Heading2"/>
        <w:spacing w:after="120" w:before="240"/>
      </w:pPr>
      <w:r>
        <w:t xml:space="preserve">3.1 Richards equation (mixed form)</w:t>
      </w:r>
    </w:p>
    <w:p>
      <w:pPr>
        <w:spacing w:after="120"/>
      </w:pPr>
      <w:r>
        <w:t xml:space="preserve">Substituting the scaled variables into the mixed-form Richards equation and dividing through by the storage term gives:</w:t>
      </w:r>
    </w:p>
    <w:p>
      <w:pPr>
        <w:spacing w:after="120" w:before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C*(ψ*)·∂ψ*/∂t*  =  Π_R,diff · ∂/∂x*[ K*(ψ*) ∂ψ*/∂x* ]  +  Π_R,grav · ∂K*/∂z*</w:t>
      </w:r>
    </w:p>
    <w:p>
      <w:pPr>
        <w:spacing w:after="120"/>
      </w:pPr>
      <w:r>
        <w:t xml:space="preserve">where the dimensionless groups are </w:t>
      </w:r>
      <w:r>
        <w:rPr>
          <w:rFonts w:ascii="Consolas" w:cs="Consolas" w:eastAsia="Consolas" w:hAnsi="Consolas"/>
        </w:rPr>
        <w:t xml:space="preserve">Π_R,diff = T_ref·K_ref / L_ref²</w:t>
      </w:r>
      <w:r>
        <w:t xml:space="preserve"> and </w:t>
      </w:r>
      <w:r>
        <w:rPr>
          <w:rFonts w:ascii="Consolas" w:cs="Consolas" w:eastAsia="Consolas" w:hAnsi="Consolas"/>
        </w:rPr>
        <w:t xml:space="preserve">Π_R,grav = K_ref·T_ref / L_ref</w:t>
      </w:r>
      <w:r>
        <w:t xml:space="preserve">. The head-vs-length ratio </w:t>
      </w:r>
      <w:r>
        <w:rPr>
          <w:rFonts w:ascii="Consolas" w:cs="Consolas" w:eastAsia="Consolas" w:hAnsi="Consolas"/>
        </w:rPr>
        <w:t xml:space="preserve">Π_R,hz = H_ref / L_ref</w:t>
      </w:r>
      <w:r>
        <w:t xml:space="preserve"> appears wherever pressure head and elevation are combined as (ψ + z), because the two are scaled differently.</w:t>
      </w:r>
    </w:p>
    <w:p>
      <w:pPr>
        <w:pStyle w:val="Heading2"/>
        <w:spacing w:after="120" w:before="240"/>
      </w:pPr>
      <w:r>
        <w:t xml:space="preserve">3.2 Mechanical equilibrium (Navier–Cauchy)</w:t>
      </w:r>
    </w:p>
    <w:p>
      <w:pPr>
        <w:spacing w:after="120"/>
      </w:pPr>
      <w:r>
        <w:t xml:space="preserve">Dividing the equilibrium equation by σ_ref / L_ref yields:</w:t>
      </w:r>
    </w:p>
    <w:p>
      <w:pPr>
        <w:spacing w:after="120" w:before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∇*·σ*_eff  +  Π_M,body · (ρ_b / ρ_b,ref) · e_z  =  0</w:t>
      </w:r>
    </w:p>
    <w:p>
      <w:pPr>
        <w:spacing w:after="120"/>
      </w:pPr>
      <w:r>
        <w:t xml:space="preserve">with body-force group </w:t>
      </w:r>
      <w:r>
        <w:rPr>
          <w:rFonts w:ascii="Consolas" w:cs="Consolas" w:eastAsia="Consolas" w:hAnsi="Consolas"/>
        </w:rPr>
        <w:t xml:space="preserve">Π_M,body = ρ_b,ref·g·L_ref / σ_ref</w:t>
      </w:r>
      <w:r>
        <w:t xml:space="preserve">. The Bishop effective stress that couples seepage into the mechanical residual becomes:</w:t>
      </w:r>
    </w:p>
    <w:p>
      <w:pPr>
        <w:spacing w:after="120" w:before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σ*_eff = σ* − Π_M,couple · χ · ψ*,     Π_M,couple = ρ_w·g·H_ref / σ_ref</w:t>
      </w:r>
    </w:p>
    <w:p>
      <w:pPr>
        <w:pStyle w:val="Heading1"/>
        <w:spacing w:after="120" w:before="240"/>
      </w:pPr>
      <w:r>
        <w:t xml:space="preserve">4. Numerical Values of the Dimensionless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Magnitude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Π_R,diff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T·K / L²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2.99 × 10⁻⁶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 below O(1)</w:t>
            </w:r>
          </w:p>
        </w:tc>
      </w:tr>
      <w:tr>
        <w:tc>
          <w:tcPr>
            <w:tcW w:type="dxa" w:w="18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Π_R,grav</w:t>
            </w:r>
          </w:p>
        </w:tc>
        <w:tc>
          <w:tcPr>
            <w:tcW w:type="dxa" w:w="22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K·T / L</w:t>
            </w:r>
          </w:p>
        </w:tc>
        <w:tc>
          <w:tcPr>
            <w:tcW w:type="dxa" w:w="2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5.08 × 10⁻⁴</w:t>
            </w:r>
          </w:p>
        </w:tc>
        <w:tc>
          <w:tcPr>
            <w:tcW w:type="dxa" w:w="276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below O(1)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Π_R,hz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 / 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1.76 × 10⁻¹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18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Π_M,body</w:t>
            </w:r>
          </w:p>
        </w:tc>
        <w:tc>
          <w:tcPr>
            <w:tcW w:type="dxa" w:w="22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ρ·g·L / σ</w:t>
            </w:r>
          </w:p>
        </w:tc>
        <w:tc>
          <w:tcPr>
            <w:tcW w:type="dxa" w:w="2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3.00</w:t>
            </w:r>
          </w:p>
        </w:tc>
        <w:tc>
          <w:tcPr>
            <w:tcW w:type="dxa" w:w="276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Π_M,couple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ρ_w·g·H / σ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2.94 × 10⁻¹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</w:tr>
    </w:tbl>
    <w:p>
      <w:pPr>
        <w:pStyle w:val="Heading1"/>
        <w:spacing w:after="120" w:before="240"/>
      </w:pPr>
      <w:r>
        <w:t xml:space="preserve">5. Important Caveat — the Seepage Term Is Not Automatically O(1)</w:t>
      </w:r>
    </w:p>
    <w:p>
      <w:pPr>
        <w:spacing w:after="120"/>
      </w:pPr>
      <w:r>
        <w:rPr>
          <w:b/>
          <w:bCs/>
        </w:rPr>
        <w:t xml:space="preserve">The mechanical residual is well-balanced: its three groups are all O(1). The Richards residual is not. </w:t>
      </w:r>
      <w:r>
        <w:t xml:space="preserve">With a one-day reference time, the diffusion group is </w:t>
      </w:r>
      <w:r>
        <w:rPr>
          <w:rFonts w:ascii="Consolas" w:cs="Consolas" w:eastAsia="Consolas" w:hAnsi="Consolas"/>
        </w:rPr>
        <w:t xml:space="preserve">Π_R,diff ≈ 3 × 10⁻⁶</w:t>
      </w:r>
      <w:r>
        <w:t xml:space="preserve"> — the same six-order disparity that motivated the exercise, now relocated from the variables into the coefficient. This is physically correct: the diffusive timescale of the pit is</w:t>
      </w:r>
    </w:p>
    <w:p>
      <w:pPr>
        <w:spacing w:after="120" w:before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T_diff = L_ref² / K_ref = 170² / 10⁻⁶ ≈ 2.9 × 10¹⁰ s ≈ 916 years</w:t>
      </w:r>
    </w:p>
    <w:p>
      <w:pPr>
        <w:spacing w:after="120"/>
      </w:pPr>
      <w:r>
        <w:t xml:space="preserve">so on a one-day residual the seepage term genuinely should be tiny — a pressure signal barely moves across the pit in a day. Non-dimensionalising the variables alone therefore does not, by itself, place every residual term at O(1); the modeller must still address the seepage coefficient. Two defensible routes: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T_ref = 1 day (to resolve transient rainfall response) and let the adaptive weighting or an explicit per-term normalisation absorb Π_R,diff, so the seepage residual is trained at its own scale rather than swamped.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Adopt the diffusive timescale T_ref = L²/K when the target is quasi-steady drawdown; then Π_R,diff = 1 exactly and the gravity group Π_R,grav = L/H·(H/L)-type term rescales accordingly.</w:t>
      </w:r>
    </w:p>
    <w:p>
      <w:pPr>
        <w:spacing w:after="120"/>
      </w:pPr>
      <w:r>
        <w:rPr>
          <w:b/>
          <w:bCs/>
        </w:rPr>
        <w:t xml:space="preserve">Recommendation for this thesis: </w:t>
      </w:r>
      <w:r>
        <w:t xml:space="preserve">retain T_ref = 1 day because the failures at Işıkdere followed a heavy-rainfall week and the transient response is the phenomenon of interest, and pair it with per-residual normalisation inside the loss (report Π_R,diff explicitly so the weighting is reproducible). State this choice openly in the methods section — reviewers of PINN papers specifically look for it.</w:t>
      </w:r>
    </w:p>
    <w:p>
      <w:pPr>
        <w:pStyle w:val="Heading1"/>
        <w:spacing w:after="120" w:before="240"/>
      </w:pPr>
      <w:r>
        <w:t xml:space="preserve">6. Consequence for the Loss Function</w:t>
      </w:r>
    </w:p>
    <w:p>
      <w:pPr>
        <w:spacing w:after="120"/>
      </w:pPr>
      <w:r>
        <w:t xml:space="preserve">Once the variables are non-dimensionalised and the seepage coefficient is handled as above, every residual enters the multi-objective loss at a comparable magnitude, and GradNorm has a meaningful starting point:</w:t>
      </w:r>
    </w:p>
    <w:p>
      <w:pPr>
        <w:spacing w:after="120" w:before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L(θ) = w_PDE·L_PDE + w_BC·L_BC + w_IC·L_IC + w_data·L_data</w:t>
      </w:r>
    </w:p>
    <w:p>
      <w:pPr>
        <w:spacing w:after="120"/>
      </w:pPr>
      <w:r>
        <w:t xml:space="preserve">If this step is skipped, the adaptive weighting spends its entire warm-up trying to rebalance loss terms that differ by 10⁶, which typically diverges before it converges.</w:t>
      </w:r>
    </w:p>
    <w:p>
      <w:pPr>
        <w:pStyle w:val="Heading1"/>
        <w:spacing w:after="120" w:before="240"/>
      </w:pPr>
      <w:r>
        <w:t xml:space="preserve">7. Reproducible Implementation</w:t>
      </w:r>
    </w:p>
    <w:p>
      <w:pPr>
        <w:spacing w:after="120"/>
      </w:pPr>
      <w:r>
        <w:t xml:space="preserve">All scales and dimensionless residuals are centralised in </w:t>
      </w:r>
      <w:r>
        <w:rPr>
          <w:rFonts w:ascii="Consolas" w:cs="Consolas" w:eastAsia="Consolas" w:hAnsi="Consolas"/>
        </w:rPr>
        <w:t xml:space="preserve">nondim.py</w:t>
      </w:r>
      <w:r>
        <w:t xml:space="preserve"> and verified by </w:t>
      </w:r>
      <w:r>
        <w:rPr>
          <w:rFonts w:ascii="Consolas" w:cs="Consolas" w:eastAsia="Consolas" w:hAnsi="Consolas"/>
        </w:rPr>
        <w:t xml:space="preserve">validate_nondim.py</w:t>
      </w:r>
      <w:r>
        <w:t xml:space="preserve">, which performs an algebraic raw→dimensionless→raw round-trip (error &lt; 10⁻¹²) and reports the magnitude of every group. Import the module everywhere so the network, the collocation sampler, and the residual functions share one consistent scaling.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from nondim import SCALES, richards_residual_nd, mechanical_residual_nd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dimensionless coordinates feed the network; autograd differentiates on them</w:t>
      </w:r>
      <w:r>
        <w:rPr>
          <w:rFonts w:ascii="Consolas" w:cs="Consolas" w:eastAsia="Consolas" w:hAnsi="Consolas"/>
          <w:sz w:val="18"/>
          <w:szCs w:val="18"/>
        </w:rPr>
        <w:br/>
        <w:t xml:space="preserve">r_R = richards_residual_nd(C_star, dpsi_dt_star, div_Kgrad_star, dK_dz_star)</w:t>
      </w:r>
      <w:r>
        <w:rPr>
          <w:rFonts w:ascii="Consolas" w:cs="Consolas" w:eastAsia="Consolas" w:hAnsi="Consolas"/>
          <w:sz w:val="18"/>
          <w:szCs w:val="18"/>
        </w:rPr>
        <w:br/>
        <w:t xml:space="preserve">r_Mx, r_Mz = mechanical_residual_nd(div_sigma_eff_star, rho_ratio)</w:t>
      </w:r>
      <w:r>
        <w:rPr>
          <w:rFonts w:ascii="Consolas" w:cs="Consolas" w:eastAsia="Consolas" w:hAnsi="Consolas"/>
          <w:sz w:val="18"/>
          <w:szCs w:val="18"/>
        </w:rPr>
        <w:br/>
        <w:t xml:space="preserve">L_PDE = (r_R**2).mean() + (r_Mx**2 + r_Mz**2).mean()</w:t>
      </w:r>
    </w:p>
    <w:p>
      <w:pPr>
        <w:pBdr>
          <w:top w:val="single" w:color="1F4E79" w:sz="6"/>
        </w:pBdr>
        <w:spacing w:before="240"/>
      </w:pPr>
      <w:r>
        <w:rPr>
          <w:i/>
          <w:iCs/>
          <w:color w:val="595959"/>
          <w:sz w:val="20"/>
          <w:szCs w:val="20"/>
        </w:rPr>
        <w:t xml:space="preserve">Output → feeds Phase 2: dimensionless governing equations with the mechanical residual at O(1) and the seepage residual explicitly scaled and documented. Phase 1 is complete.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2026-07-28T06:14:58.956Z</dcterms:created>
  <dcterms:modified xsi:type="dcterms:W3CDTF">2026-07-28T06:14:58.972Z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