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PHASE 1 — REFERENCE STATE (COMPLETED)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PINN-HM Coupled Hydro-Mechanical Slope Stability Analysis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Işıkdere Lignite Open-Pit Mine · Milas Basin, Muğla, Turkey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Primary source: Ulusay, R., Ekmekci, M., Tuncay, E. &amp; Hasancebi, N. (2014). Engineering Geology, 181, 261–280. DOI: 10.1016/j.enggeo.2014.08.005.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document consolidates the Phase-1 reference state assembled in Steps 1.1–1.5 of the project roadmap. Every derived quantity below is traceable to a reported field/lab value plus a named published correlation. Values are given in SI unless noted. The final section is the Phase-1 completion checklist confirming that K_s, ρ_dry, ρ_sat, E, ν, (α, n, θ_s, θ_r), (σ_ci, m_b, s, a), and n₀ can now be stated for every stratum.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1. Master Reference-State Table</w:t>
      </w:r>
    </w:p>
    <w:p>
      <w:pPr>
        <w:pStyle w:val="Heading2"/>
        <w:spacing w:after="80" w:before="180"/>
      </w:pPr>
      <w:r>
        <w:rPr>
          <w:b/>
          <w:bCs/>
          <w:color w:val="1F3864"/>
        </w:rPr>
        <w:t xml:space="preserve">1a. Hydraulic, density &amp; elastic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5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27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Stratum</w:t>
            </w:r>
          </w:p>
        </w:tc>
        <w:tc>
          <w:tcPr>
            <w:tcW w:type="dxa" w:w="15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K_s (m/s)</w:t>
            </w:r>
          </w:p>
        </w:tc>
        <w:tc>
          <w:tcPr>
            <w:tcW w:type="dxa" w:w="1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ρ_dry
(kg/m³)</w:t>
            </w:r>
          </w:p>
        </w:tc>
        <w:tc>
          <w:tcPr>
            <w:tcW w:type="dxa" w:w="1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ρ_sat
(kg/m³)</w:t>
            </w:r>
          </w:p>
        </w:tc>
        <w:tc>
          <w:tcPr>
            <w:tcW w:type="dxa" w:w="1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 (MPa)</w:t>
            </w:r>
          </w:p>
        </w:tc>
        <w:tc>
          <w:tcPr>
            <w:tcW w:type="dxa" w:w="12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ν</w:t>
            </w:r>
          </w:p>
        </w:tc>
      </w:tr>
      <w:tr>
        <w:tc>
          <w:tcPr>
            <w:tcW w:type="dxa" w:w="27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Marl (Sekköy Fm.)</w:t>
            </w:r>
          </w:p>
        </w:tc>
        <w:tc>
          <w:tcPr>
            <w:tcW w:type="dxa" w:w="15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1.00e-9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1519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1519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478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0.28</w:t>
            </w:r>
          </w:p>
        </w:tc>
      </w:tr>
      <w:tr>
        <w:tc>
          <w:tcPr>
            <w:tcW w:type="dxa" w:w="27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Weak-zone marl (Sekköy Fm.)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1.00e-9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1723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1723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</w:tr>
      <w:tr>
        <w:tc>
          <w:tcPr>
            <w:tcW w:type="dxa" w:w="27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Coal seam (lignite)</w:t>
            </w:r>
          </w:p>
        </w:tc>
        <w:tc>
          <w:tcPr>
            <w:tcW w:type="dxa" w:w="15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2.90e-6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877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877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0.32</w:t>
            </w:r>
          </w:p>
        </w:tc>
      </w:tr>
      <w:tr>
        <w:tc>
          <w:tcPr>
            <w:tcW w:type="dxa" w:w="27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Tuffite (Yatağan Fm.)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1.00e-9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1468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1468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0.33</w:t>
            </w:r>
          </w:p>
        </w:tc>
      </w:tr>
      <w:tr>
        <w:tc>
          <w:tcPr>
            <w:tcW w:type="dxa" w:w="27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Underclay (Turgut Fm.)</w:t>
            </w:r>
          </w:p>
        </w:tc>
        <w:tc>
          <w:tcPr>
            <w:tcW w:type="dxa" w:w="15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1.00e-9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1543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1876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soil</w:t>
            </w:r>
          </w:p>
        </w:tc>
        <w:tc>
          <w:tcPr>
            <w:tcW w:type="dxa" w:w="12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0.4</w:t>
            </w:r>
          </w:p>
        </w:tc>
      </w:tr>
      <w:tr>
        <w:tc>
          <w:tcPr>
            <w:tcW w:type="dxa" w:w="27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Slope debris</w:t>
            </w:r>
          </w:p>
        </w:tc>
        <w:tc>
          <w:tcPr>
            <w:tcW w:type="dxa" w:w="15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1347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1794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soil</w:t>
            </w:r>
          </w:p>
        </w:tc>
        <w:tc>
          <w:tcPr>
            <w:tcW w:type="dxa" w:w="12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0.35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16"/>
          <w:szCs w:val="16"/>
        </w:rPr>
        <w:t xml:space="preserve">K_s floor value 1×10⁻⁹ m/s assigned to aquitards (marl, underclay) for numerical stability; coal uses the 0.1–0.5 m/day range midpoint. Densities from ρ = γ × 101.94; underclay/slope-debris ρ_dry from γ_dry = γ_sat/(1+w). E via Hoek–Diederichs (2006); soil layers carry no rock-mass modulus.</w:t>
      </w:r>
    </w:p>
    <w:p>
      <w:pPr>
        <w:pStyle w:val="Heading2"/>
        <w:spacing w:after="80" w:before="180"/>
      </w:pPr>
      <w:r>
        <w:rPr>
          <w:b/>
          <w:bCs/>
          <w:color w:val="1F3864"/>
        </w:rPr>
        <w:t xml:space="preserve">1b. van Genuchten SWCC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Stratum</w:t>
            </w:r>
          </w:p>
        </w:tc>
        <w:tc>
          <w:tcPr>
            <w:tcW w:type="dxa" w:w="13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α (1/m)</w:t>
            </w:r>
          </w:p>
        </w:tc>
        <w:tc>
          <w:tcPr>
            <w:tcW w:type="dxa" w:w="13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 (–)</w:t>
            </w:r>
          </w:p>
        </w:tc>
        <w:tc>
          <w:tcPr>
            <w:tcW w:type="dxa" w:w="13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θ_s (m³/m³)</w:t>
            </w:r>
          </w:p>
        </w:tc>
        <w:tc>
          <w:tcPr>
            <w:tcW w:type="dxa" w:w="13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θ_r (m³/m³)</w:t>
            </w:r>
          </w:p>
        </w:tc>
        <w:tc>
          <w:tcPr>
            <w:tcW w:type="dxa" w:w="13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 = 1−1/n</w:t>
            </w:r>
          </w:p>
        </w:tc>
      </w:tr>
      <w:tr>
        <w:tc>
          <w:tcPr>
            <w:tcW w:type="dxa" w:w="27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Marl (Sekköy Fm.)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0.38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0.05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0.167</w:t>
            </w:r>
          </w:p>
        </w:tc>
      </w:tr>
      <w:tr>
        <w:tc>
          <w:tcPr>
            <w:tcW w:type="dxa" w:w="27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Weak-zone marl (Sekköy Fm.)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0.38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0.05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0.167</w:t>
            </w:r>
          </w:p>
        </w:tc>
      </w:tr>
      <w:tr>
        <w:tc>
          <w:tcPr>
            <w:tcW w:type="dxa" w:w="27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Coal seam (lignite)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0.444</w:t>
            </w:r>
          </w:p>
        </w:tc>
      </w:tr>
      <w:tr>
        <w:tc>
          <w:tcPr>
            <w:tcW w:type="dxa" w:w="27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Tuffite (Yatağan Fm.)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0.38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0.05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0.167</w:t>
            </w:r>
          </w:p>
        </w:tc>
      </w:tr>
      <w:tr>
        <w:tc>
          <w:tcPr>
            <w:tcW w:type="dxa" w:w="27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Underclay (Turgut Fm.)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1.23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0.43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0.07</w:t>
            </w:r>
          </w:p>
        </w:tc>
        <w:tc>
          <w:tcPr>
            <w:tcW w:type="dxa" w:w="13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0.187</w:t>
            </w:r>
          </w:p>
        </w:tc>
      </w:tr>
      <w:tr>
        <w:tc>
          <w:tcPr>
            <w:tcW w:type="dxa" w:w="27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Slope debris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1.15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0.48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0.09</w:t>
            </w:r>
          </w:p>
        </w:tc>
        <w:tc>
          <w:tcPr>
            <w:tcW w:type="dxa" w:w="13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0.130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16"/>
          <w:szCs w:val="16"/>
        </w:rPr>
        <w:t xml:space="preserve">Soil layers (underclay, slope debris) from Rosetta3 pedotransfer (Zhang &amp; Schaap, 2017) using reported grain-size + bulk density. Marl family from published soft-calcareous-marl values; coal from an equivalent-continuum single-porosity fit.</w:t>
      </w:r>
    </w:p>
    <w:p>
      <w:pPr>
        <w:pStyle w:val="Heading2"/>
        <w:spacing w:after="80" w:before="180"/>
      </w:pPr>
      <w:r>
        <w:rPr>
          <w:b/>
          <w:bCs/>
          <w:color w:val="1F3864"/>
        </w:rPr>
        <w:t xml:space="preserve">1c. Hoek–Brown parameters &amp; initial porosity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300"/>
        <w:gridCol w:w="640"/>
        <w:gridCol w:w="640"/>
        <w:gridCol w:w="520"/>
        <w:gridCol w:w="900"/>
        <w:gridCol w:w="1080"/>
        <w:gridCol w:w="700"/>
        <w:gridCol w:w="540"/>
      </w:tblGrid>
      <w:tr>
        <w:trPr>
          <w:tblHeader/>
        </w:trPr>
        <w:tc>
          <w:tcPr>
            <w:tcW w:type="dxa" w:w="204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Stratum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σ_ci (Pa)</w:t>
            </w:r>
          </w:p>
        </w:tc>
        <w:tc>
          <w:tcPr>
            <w:tcW w:type="dxa" w:w="64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m_i</w:t>
            </w:r>
          </w:p>
        </w:tc>
        <w:tc>
          <w:tcPr>
            <w:tcW w:type="dxa" w:w="64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GSI</w:t>
            </w:r>
          </w:p>
        </w:tc>
        <w:tc>
          <w:tcPr>
            <w:tcW w:type="dxa" w:w="52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m_b</w:t>
            </w:r>
          </w:p>
        </w:tc>
        <w:tc>
          <w:tcPr>
            <w:tcW w:type="dxa" w:w="10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</w:t>
            </w:r>
          </w:p>
        </w:tc>
        <w:tc>
          <w:tcPr>
            <w:tcW w:type="dxa" w:w="7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type="dxa" w:w="54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n₀</w:t>
            </w:r>
          </w:p>
        </w:tc>
      </w:tr>
      <w:tr>
        <w:tc>
          <w:tcPr>
            <w:tcW w:type="dxa" w:w="20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Marl (Sekköy Fm.)</w:t>
            </w:r>
          </w:p>
        </w:tc>
        <w:tc>
          <w:tcPr>
            <w:tcW w:type="dxa" w:w="1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1.79e+7</w:t>
            </w:r>
          </w:p>
        </w:tc>
        <w:tc>
          <w:tcPr>
            <w:tcW w:type="dxa" w:w="6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5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0.113</w:t>
            </w:r>
          </w:p>
        </w:tc>
        <w:tc>
          <w:tcPr>
            <w:tcW w:type="dxa" w:w="10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2.40e-4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0.506</w:t>
            </w:r>
          </w:p>
        </w:tc>
        <w:tc>
          <w:tcPr>
            <w:tcW w:type="dxa" w:w="5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0.427</w:t>
            </w:r>
          </w:p>
        </w:tc>
      </w:tr>
      <w:tr>
        <w:tc>
          <w:tcPr>
            <w:tcW w:type="dxa" w:w="20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Weak-zone marl (Sekköy Fm.)</w:t>
            </w:r>
          </w:p>
        </w:tc>
        <w:tc>
          <w:tcPr>
            <w:tcW w:type="dxa" w:w="13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4.29e+6</w:t>
            </w:r>
          </w:p>
        </w:tc>
        <w:tc>
          <w:tcPr>
            <w:tcW w:type="dxa" w:w="6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5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0.059</w:t>
            </w:r>
          </w:p>
        </w:tc>
        <w:tc>
          <w:tcPr>
            <w:tcW w:type="dxa" w:w="108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1.04e-4</w:t>
            </w:r>
          </w:p>
        </w:tc>
        <w:tc>
          <w:tcPr>
            <w:tcW w:type="dxa" w:w="7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0.508</w:t>
            </w:r>
          </w:p>
        </w:tc>
        <w:tc>
          <w:tcPr>
            <w:tcW w:type="dxa" w:w="5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0.427</w:t>
            </w:r>
          </w:p>
        </w:tc>
      </w:tr>
      <w:tr>
        <w:tc>
          <w:tcPr>
            <w:tcW w:type="dxa" w:w="20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Coal seam (lignite)</w:t>
            </w:r>
          </w:p>
        </w:tc>
        <w:tc>
          <w:tcPr>
            <w:tcW w:type="dxa" w:w="1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7.80e+6</w:t>
            </w:r>
          </w:p>
        </w:tc>
        <w:tc>
          <w:tcPr>
            <w:tcW w:type="dxa" w:w="6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6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5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0.248</w:t>
            </w:r>
          </w:p>
        </w:tc>
        <w:tc>
          <w:tcPr>
            <w:tcW w:type="dxa" w:w="10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4.54e-5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0.511</w:t>
            </w:r>
          </w:p>
        </w:tc>
        <w:tc>
          <w:tcPr>
            <w:tcW w:type="dxa" w:w="5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0.374</w:t>
            </w:r>
          </w:p>
        </w:tc>
      </w:tr>
      <w:tr>
        <w:tc>
          <w:tcPr>
            <w:tcW w:type="dxa" w:w="20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Tuffite (Yatağan Fm.)</w:t>
            </w:r>
          </w:p>
        </w:tc>
        <w:tc>
          <w:tcPr>
            <w:tcW w:type="dxa" w:w="13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3.59e+6</w:t>
            </w:r>
          </w:p>
        </w:tc>
        <w:tc>
          <w:tcPr>
            <w:tcW w:type="dxa" w:w="6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6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5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0.076</w:t>
            </w:r>
          </w:p>
        </w:tc>
        <w:tc>
          <w:tcPr>
            <w:tcW w:type="dxa" w:w="108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4.40e-6</w:t>
            </w:r>
          </w:p>
        </w:tc>
        <w:tc>
          <w:tcPr>
            <w:tcW w:type="dxa" w:w="7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0.529</w:t>
            </w:r>
          </w:p>
        </w:tc>
        <w:tc>
          <w:tcPr>
            <w:tcW w:type="dxa" w:w="5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0.4</w:t>
            </w:r>
          </w:p>
        </w:tc>
      </w:tr>
      <w:tr>
        <w:tc>
          <w:tcPr>
            <w:tcW w:type="dxa" w:w="20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Underclay (Turgut Fm.)</w:t>
            </w:r>
          </w:p>
        </w:tc>
        <w:tc>
          <w:tcPr>
            <w:tcW w:type="dxa" w:w="1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soil</w:t>
            </w:r>
          </w:p>
        </w:tc>
        <w:tc>
          <w:tcPr>
            <w:tcW w:type="dxa" w:w="6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52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54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0.383</w:t>
            </w:r>
          </w:p>
        </w:tc>
      </w:tr>
      <w:tr>
        <w:tc>
          <w:tcPr>
            <w:tcW w:type="dxa" w:w="20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Slope debris</w:t>
            </w:r>
          </w:p>
        </w:tc>
        <w:tc>
          <w:tcPr>
            <w:tcW w:type="dxa" w:w="13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soil</w:t>
            </w:r>
          </w:p>
        </w:tc>
        <w:tc>
          <w:tcPr>
            <w:tcW w:type="dxa" w:w="6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52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8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54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0.492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16"/>
          <w:szCs w:val="16"/>
        </w:rPr>
        <w:t xml:space="preserve">Hoek–Brown 2002 reduction: m_b = m_i·exp((GSI−100)/(28−14D)); s = exp((GSI−100)/(9−3D)); a = 0.5 + (1/6)[exp(−GSI/15) − exp(−20/3)], with D = 1 (production blasting). n₀ = 1 − γ_dry/(γ_w·G_s), γ_w = 9.81 kN/m³. Coal bulk n₀ = 0.374 is correct for the elastic-compressibility term; its fracture porosity (~0.15) governs advective transport if a dual-porosity treatment is later adopted.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2. Derivation Methods (traceability)</w:t>
      </w:r>
    </w:p>
    <w:p>
      <w:pPr>
        <w:pStyle w:val="Heading2"/>
        <w:spacing w:after="80" w:before="180"/>
      </w:pPr>
      <w:r>
        <w:rPr>
          <w:b/>
          <w:bCs/>
          <w:color w:val="1F3864"/>
        </w:rPr>
        <w:t xml:space="preserve">2.1 Initial porosity n₀ — Kozeny–Carman reference state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Identity: n₀ = 1 − γ_dry/(γ_w·G_s), with γ_dry = γ_sat/(1+w). Worked results: underclay n₀ = 0.383 (γ_dry 15.14, G_s 2.50); marl 0.427 (γ 14.9, G_s 2.65); coal 0.374 (γ 8.6, G_s 1.40, lignite); slope debris 0.492 (γ_dry 13.21, G_s 2.65). Inside the PINN, porosity updates as n = n₀ + ε_v with ε_v = ∂u/∂x + ∂v/∂z, feeding the Kozeny–Carman update K_s = K_s0·(n/n₀)³·((1−n₀)/(1−n))² on the same collocation points — closing the two-way loop without outer iteration.</w:t>
      </w:r>
    </w:p>
    <w:p>
      <w:pPr>
        <w:pStyle w:val="Heading2"/>
        <w:spacing w:after="80" w:before="180"/>
      </w:pPr>
      <w:r>
        <w:rPr>
          <w:b/>
          <w:bCs/>
          <w:color w:val="1F3864"/>
        </w:rPr>
        <w:t xml:space="preserve">2.2 Elastic modulus E_rm — Hoek–Diederichs (2006)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E_rm = E_i·[0.02 + (1−D/2)/(1+exp((60+15D−GSI)/11))], E_i = MR·UCS. Modulus ratios: marl 400, coal 300, tuffite 350. Results: marl ≈478 MPa, weak-zone marl ≈87 MPa, coal ≈94 MPa, tuffite ≈32 MPa. The intact modulus E_i is deliberately degraded — the slope behaves as a jointed rock mass, not a lab specimen.</w:t>
      </w:r>
    </w:p>
    <w:p>
      <w:pPr>
        <w:pStyle w:val="Heading2"/>
        <w:spacing w:after="80" w:before="180"/>
      </w:pPr>
      <w:r>
        <w:rPr>
          <w:b/>
          <w:bCs/>
          <w:color w:val="1F3864"/>
        </w:rPr>
        <w:t xml:space="preserve">2.3 Poisson's ratio ν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Literature consensus by lithology: marl 0.28, weak-zone marl 0.30, coal 0.32, tuffite 0.33, underclay ~0.40, slope debris ~0.35. ν enters the earth-pressure coefficient K₀ = ν/(1−ν) used in the Step 2.3 initial condition, so it is not cosmetic.</w:t>
      </w:r>
    </w:p>
    <w:p>
      <w:pPr>
        <w:pStyle w:val="Heading2"/>
        <w:spacing w:after="80" w:before="180"/>
      </w:pPr>
      <w:r>
        <w:rPr>
          <w:b/>
          <w:bCs/>
          <w:color w:val="1F3864"/>
        </w:rPr>
        <w:t xml:space="preserve">2.4 van Genuchten SWCC — Rosetta3 / literature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Underclay: θ_r 0.07, θ_s 0.43, α 1.0 /m, n 1.23 (Rosetta3 from sand 22.5 / silt 46 / clay 31.5, ρ 1876). Slope debris: θ_r 0.09, θ_s 0.48, α 0.8 /m, n 1.15. Marl family: θ_r 0.05, θ_s 0.38, α 0.5 /m, n 1.20. Coal: θ_r 0.02, θ_s 0.15, α 2.0 /m, n 1.80. The parameter n is the most sensitive input; carry the adopted values into the Step 6.2 sensitivity analysis.</w:t>
      </w:r>
    </w:p>
    <w:p>
      <w:pPr>
        <w:pStyle w:val="Heading2"/>
        <w:spacing w:after="80" w:before="180"/>
      </w:pPr>
      <w:r>
        <w:rPr>
          <w:b/>
          <w:bCs/>
          <w:color w:val="1F3864"/>
        </w:rPr>
        <w:t xml:space="preserve">2.5 Hoek–Brown m_b, s, a — Hoek–Brown (2002)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 intact-rock m_i (RocScience tables): marl 4, weak-zone marl 3, coal 18, tuffite 15. Results: marl (m_b 0.113, s 2.40×10⁻⁴, a 0.506); weak-zone marl (0.059, 1.04×10⁻⁴, 0.508); coal (0.248, 4.54×10⁻⁵, 0.511); tuffite (0.076, 4.40×10⁻⁶, 0.529). These feed the GHB-SSR reduction of Step 5.2 alongside the MC-SSR sweep of Step 5.1.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3. Phase-1 Completion Checklist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Phase 1 is complete when, for every stratum in the chosen cross-section, all of the following can be stated. ✔ = value assembled above.</w:t>
      </w:r>
    </w:p>
    <w:p>
      <w:pPr>
        <w:spacing w:after="60"/>
      </w:pPr>
      <w:r>
        <w:rPr>
          <w:b/>
          <w:bCs/>
          <w:color w:val="2E7D32"/>
          <w:sz w:val="22"/>
          <w:szCs w:val="22"/>
        </w:rPr>
        <w:t xml:space="preserve">✔  </w:t>
      </w:r>
      <w:r>
        <w:rPr>
          <w:sz w:val="20"/>
          <w:szCs w:val="20"/>
        </w:rPr>
        <w:t xml:space="preserve">K_s (saturated hydraulic conductivity, m/s) — all strata</w:t>
      </w:r>
    </w:p>
    <w:p>
      <w:pPr>
        <w:spacing w:after="60"/>
      </w:pPr>
      <w:r>
        <w:rPr>
          <w:b/>
          <w:bCs/>
          <w:color w:val="2E7D32"/>
          <w:sz w:val="22"/>
          <w:szCs w:val="22"/>
        </w:rPr>
        <w:t xml:space="preserve">✔  </w:t>
      </w:r>
      <w:r>
        <w:rPr>
          <w:sz w:val="20"/>
          <w:szCs w:val="20"/>
        </w:rPr>
        <w:t xml:space="preserve">ρ_dry and ρ_sat (dry &amp; saturated density, kg/m³) — all strata</w:t>
      </w:r>
    </w:p>
    <w:p>
      <w:pPr>
        <w:spacing w:after="60"/>
      </w:pPr>
      <w:r>
        <w:rPr>
          <w:b/>
          <w:bCs/>
          <w:color w:val="2E7D32"/>
          <w:sz w:val="22"/>
          <w:szCs w:val="22"/>
        </w:rPr>
        <w:t xml:space="preserve">✔  </w:t>
      </w:r>
      <w:r>
        <w:rPr>
          <w:sz w:val="20"/>
          <w:szCs w:val="20"/>
        </w:rPr>
        <w:t xml:space="preserve">E (rock-mass elastic modulus) — 4 rock strata; soil layers flagged as soil</w:t>
      </w:r>
    </w:p>
    <w:p>
      <w:pPr>
        <w:spacing w:after="60"/>
      </w:pPr>
      <w:r>
        <w:rPr>
          <w:b/>
          <w:bCs/>
          <w:color w:val="2E7D32"/>
          <w:sz w:val="22"/>
          <w:szCs w:val="22"/>
        </w:rPr>
        <w:t xml:space="preserve">✔  </w:t>
      </w:r>
      <w:r>
        <w:rPr>
          <w:sz w:val="20"/>
          <w:szCs w:val="20"/>
        </w:rPr>
        <w:t xml:space="preserve">ν (Poisson's ratio) — all strata</w:t>
      </w:r>
    </w:p>
    <w:p>
      <w:pPr>
        <w:spacing w:after="60"/>
      </w:pPr>
      <w:r>
        <w:rPr>
          <w:b/>
          <w:bCs/>
          <w:color w:val="2E7D32"/>
          <w:sz w:val="22"/>
          <w:szCs w:val="22"/>
        </w:rPr>
        <w:t xml:space="preserve">✔  </w:t>
      </w:r>
      <w:r>
        <w:rPr>
          <w:sz w:val="20"/>
          <w:szCs w:val="20"/>
        </w:rPr>
        <w:t xml:space="preserve">(α, n, θ_s, θ_r) van Genuchten SWCC — all strata (+ m = 1−1/n)</w:t>
      </w:r>
    </w:p>
    <w:p>
      <w:pPr>
        <w:spacing w:after="60"/>
      </w:pPr>
      <w:r>
        <w:rPr>
          <w:b/>
          <w:bCs/>
          <w:color w:val="2E7D32"/>
          <w:sz w:val="22"/>
          <w:szCs w:val="22"/>
        </w:rPr>
        <w:t xml:space="preserve">✔  </w:t>
      </w:r>
      <w:r>
        <w:rPr>
          <w:sz w:val="20"/>
          <w:szCs w:val="20"/>
        </w:rPr>
        <w:t xml:space="preserve">(σ_ci, m_b, s, a) Hoek–Brown — 4 rock strata (soil layers use MC only)</w:t>
      </w:r>
    </w:p>
    <w:p>
      <w:pPr>
        <w:spacing w:after="60"/>
      </w:pPr>
      <w:r>
        <w:rPr>
          <w:b/>
          <w:bCs/>
          <w:color w:val="2E7D32"/>
          <w:sz w:val="22"/>
          <w:szCs w:val="22"/>
        </w:rPr>
        <w:t xml:space="preserve">✔  </w:t>
      </w:r>
      <w:r>
        <w:rPr>
          <w:sz w:val="20"/>
          <w:szCs w:val="20"/>
        </w:rPr>
        <w:t xml:space="preserve">n₀ (initial porosity) — all strata; Kozeny–Carman reference state assembled</w:t>
      </w:r>
    </w:p>
    <w:p>
      <w:pPr>
        <w:spacing w:after="120"/>
      </w:pPr>
      <w:r>
        <w:rPr>
          <w:b w:val="false"/>
          <w:bCs w:val="false"/>
          <w:i/>
          <w:iCs/>
          <w:color w:val="7F7F7F"/>
          <w:sz w:val="18"/>
          <w:szCs w:val="18"/>
        </w:rPr>
        <w:t xml:space="preserve">Open items to refine before Phase 2 (not blocking): tuffite n₀ is an estimate (no water content reported) — refine if a measured value surfaces; coal advective transport may warrant a dual-porosity fracture value (~0.15); van Genuchten sets for the marl family and tuffite are literature/proxy rather than site-specific, and rainfall-intensity Neumann BC data (MGM Muğla station) is still to be acquired for Phase 2.</w:t>
      </w:r>
    </w:p>
    <w:p>
      <w:pPr>
        <w:spacing w:after="120"/>
      </w:pPr>
      <w:r>
        <w:rPr>
          <w:b/>
          <w:bCs/>
          <w:i w:val="false"/>
          <w:iCs w:val="false"/>
          <w:sz w:val="20"/>
          <w:szCs w:val="20"/>
        </w:rPr>
        <w:t xml:space="preserve">Next: Step 1.6 non-dimensionalisation (reference scales L_ref = pit depth 170 m, H_ref = piezometric head above coal, σ_ref = 1 MPa, T_ref = 1 day), after which Phase 1 closes and Phase 2 (geometric domain) begins.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Phase 1 Reference State — Işıkdere PINN-HM  ·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Reference State</dc:title>
  <dc:creator>PINN-HM Project</dc:creator>
  <cp:lastModifiedBy>Un-named</cp:lastModifiedBy>
  <cp:revision>1</cp:revision>
  <dcterms:created xsi:type="dcterms:W3CDTF">2026-07-28T06:03:12.533Z</dcterms:created>
  <dcterms:modified xsi:type="dcterms:W3CDTF">2026-07-28T06:03:12.546Z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