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Step 1.5 — Hoek–Brown Rock-Mass Parameters and Mohr–Coulomb Equivalents</w:t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Işıkdere open-pit lignite mine — PINN slope-stability thesis</w:t>
      </w:r>
    </w:p>
    <w:p>
      <w:pPr>
        <w:pStyle w:val="Heading1"/>
        <w:spacing w:after="120" w:before="240"/>
      </w:pPr>
      <w:r>
        <w:rPr>
          <w:color w:val="1F3864"/>
        </w:rPr>
        <w:t xml:space="preserve">1. Objective</w:t>
      </w:r>
    </w:p>
    <w:p>
      <w:pPr>
        <w:spacing w:after="120"/>
      </w:pPr>
      <w:r>
        <w:t xml:space="preserve">Derive the Generalized Hoek–Brown (GHB) reduced parameters m_b, s, and a for each rock unit at the Işıkdere pit from GSI, σ_ci, m_i, and the disturbance factor D; cross-check the derivation against the values implied in the source paper; and compute the equivalent Mohr–Coulomb (MC) cohesion c and friction angle φ that the later MC-vs-GHB SSR comparison requires.</w:t>
      </w:r>
    </w:p>
    <w:p>
      <w:pPr>
        <w:pStyle w:val="Heading1"/>
        <w:spacing w:after="120" w:before="240"/>
      </w:pPr>
      <w:r>
        <w:rPr>
          <w:color w:val="1F3864"/>
        </w:rPr>
        <w:t xml:space="preserve">2. Governing equations (Hoek et al., 2002)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m_b = m_i · exp[(GSI − 100) / (28 − 14D)]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 = exp[(GSI − 100) / (9 − 3D)]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a = ½ + (1/6)·[exp(−GSI/15) − exp(−20/3)]</w:t>
      </w:r>
    </w:p>
    <w:p>
      <w:pPr>
        <w:spacing w:after="120"/>
      </w:pPr>
      <w:r>
        <w:rPr>
          <w:b/>
          <w:bCs/>
        </w:rPr>
        <w:t xml:space="preserve">D = 1 for every unit</w:t>
      </w:r>
      <w:r>
        <w:t xml:space="preserve"> — production blasting and stress relief in a large open pit (Ulusay et al., 2014). GSI, σ_ci and m_i are taken directly from the paper's Table 3b; GSI for coal and tuffite is derived there from RMR (GSI = RMR₈₉ − 5).</w:t>
      </w:r>
    </w:p>
    <w:p>
      <w:pPr>
        <w:pStyle w:val="Heading1"/>
        <w:spacing w:after="120" w:before="240"/>
      </w:pPr>
      <w:r>
        <w:rPr>
          <w:color w:val="1F3864"/>
        </w:rPr>
        <w:t xml:space="preserve">3. Reduced Hoek–Brown parameters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300"/>
        <w:gridCol w:w="900"/>
        <w:gridCol w:w="1500"/>
        <w:gridCol w:w="1600"/>
        <w:gridCol w:w="12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Rock unit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GSI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σ_ci (MPa)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m_i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m_b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s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a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Marl (Sekköy Fm.)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17.9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0.1125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2.40×10⁻⁴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0.5057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Weak zone (marl, N slope)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45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4.29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0.0590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1.05×10⁻⁴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0.5081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Coal seam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7.80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0.2477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4.54×10⁻⁵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0.5114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Tuffite (Yatağan Fm.)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26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3.59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0.0760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4.40×10⁻⁶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0.5292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Cross-check. </w:t>
      </w:r>
      <w:r>
        <w:t xml:space="preserve">The paper states that m_b, s and a were assessed with the 2002 criterion from exactly these GSI/σ_ci/m_i/D inputs, but does not print the reduced values. An independent recomputation (script provided) reproduces the project-roadmap values to all shown digits, confirming the derivation is internally consistent. The expected magnitudes hold: m_b ≈ 0.06–0.25 for GSI in the 26–50 band, s ≪ 10⁻³ (heavily fractured, D = 1), and a clustering just above 0.51.</w:t>
      </w:r>
    </w:p>
    <w:p>
      <w:pPr>
        <w:pStyle w:val="Heading1"/>
        <w:spacing w:after="120" w:before="240"/>
      </w:pPr>
      <w:r>
        <w:rPr>
          <w:color w:val="1F3864"/>
        </w:rPr>
        <w:t xml:space="preserve">4. Mohr–Coulomb equivalents (design confining range)</w:t>
      </w:r>
    </w:p>
    <w:p>
      <w:pPr>
        <w:spacing w:after="120"/>
      </w:pPr>
      <w:r>
        <w:t xml:space="preserve">Fitted with the Hoek (2002) closed-form MC linearization over 0 ≤ σ′₃ ≤ σ′₃max, using σ′₃max ≈ 0.25·γH (γ = 20 kN/m³, H ≈ 170 m ⇒ σ′₃max ≈ 850 kPa).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2200"/>
        <w:gridCol w:w="22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Rock unit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c (kPa)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φ (°)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from m_b / s / a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Marl (Sekköy Fm.)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130.5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21.7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0.1125 / 2.40e-4 / 0.506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Weak zone (marl)</w:t>
            </w:r>
          </w:p>
        </w:tc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50.4</w:t>
            </w:r>
          </w:p>
        </w:tc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10.0</w:t>
            </w:r>
          </w:p>
        </w:tc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0.0590 / 1.05e-4 / 0.508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Coal seam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108.2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21.6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0.2477 / 4.54e-5 / 0.511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Tuffite (Yatağan Fm.)</w:t>
            </w:r>
          </w:p>
        </w:tc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43.9</w:t>
            </w:r>
          </w:p>
        </w:tc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9.9</w:t>
            </w:r>
          </w:p>
        </w:tc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0.0760 / 4.40e-6 / 0.529</w:t>
            </w:r>
          </w:p>
        </w:tc>
      </w:tr>
    </w:tbl>
    <w:p>
      <w:pPr>
        <w:pStyle w:val="Heading1"/>
        <w:spacing w:after="120" w:before="240"/>
      </w:pPr>
      <w:r>
        <w:rPr>
          <w:color w:val="1F3864"/>
        </w:rPr>
        <w:t xml:space="preserve">5. Sensitivity of the MC fit to σ′₃max</w:t>
      </w:r>
    </w:p>
    <w:p>
      <w:pPr>
        <w:spacing w:after="120"/>
      </w:pPr>
      <w:r>
        <w:t xml:space="preserve">The equivalent c and φ are not material constants — they depend entirely on the confining range fitted. The table below (c in kPa / φ in degrees) shows how strongly they shift; near a free face (σ′₃ → 0) MC systematically over-predicts strength relative to the curved GHB envelope. Choose σ′₃max deliberately for the SSR runs and state it explicitly.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75"/>
        <w:gridCol w:w="1875"/>
        <w:gridCol w:w="1875"/>
        <w:gridCol w:w="1875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Rock unit</w:t>
            </w:r>
          </w:p>
        </w:tc>
        <w:tc>
          <w:tcPr>
            <w:tcW w:type="dxa" w:w="1875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25 kPa</w:t>
            </w:r>
          </w:p>
        </w:tc>
        <w:tc>
          <w:tcPr>
            <w:tcW w:type="dxa" w:w="1875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100 kPa</w:t>
            </w:r>
          </w:p>
        </w:tc>
        <w:tc>
          <w:tcPr>
            <w:tcW w:type="dxa" w:w="1875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400 kPa</w:t>
            </w:r>
          </w:p>
        </w:tc>
        <w:tc>
          <w:tcPr>
            <w:tcW w:type="dxa" w:w="1875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850 kPa</w:t>
            </w:r>
          </w:p>
        </w:tc>
      </w:tr>
      <w:t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Marl (Sekköy Fm.)</w:t>
            </w:r>
          </w:p>
        </w:tc>
        <w:tc>
          <w:tcPr>
            <w:tcW w:type="dxa" w:w="18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55.3 / 43.2</w:t>
            </w:r>
          </w:p>
        </w:tc>
        <w:tc>
          <w:tcPr>
            <w:tcW w:type="dxa" w:w="18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61.8 / 36.6</w:t>
            </w:r>
          </w:p>
        </w:tc>
        <w:tc>
          <w:tcPr>
            <w:tcW w:type="dxa" w:w="18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92.4 / 27.0</w:t>
            </w:r>
          </w:p>
        </w:tc>
        <w:tc>
          <w:tcPr>
            <w:tcW w:type="dxa" w:w="18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130.5 / 21.7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Weak zone (marl)</w:t>
            </w:r>
          </w:p>
        </w:tc>
        <w:tc>
          <w:tcPr>
            <w:tcW w:type="dxa" w:w="187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10.8 / 30.9</w:t>
            </w:r>
          </w:p>
        </w:tc>
        <w:tc>
          <w:tcPr>
            <w:tcW w:type="dxa" w:w="187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16.8 / 21.7</w:t>
            </w:r>
          </w:p>
        </w:tc>
        <w:tc>
          <w:tcPr>
            <w:tcW w:type="dxa" w:w="187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33.4 / 13.5</w:t>
            </w:r>
          </w:p>
        </w:tc>
        <w:tc>
          <w:tcPr>
            <w:tcW w:type="dxa" w:w="187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50.4 / 10.0</w:t>
            </w:r>
          </w:p>
        </w:tc>
      </w:tr>
      <w:t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Coal seam</w:t>
            </w:r>
          </w:p>
        </w:tc>
        <w:tc>
          <w:tcPr>
            <w:tcW w:type="dxa" w:w="18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11.6 / 49.6</w:t>
            </w:r>
          </w:p>
        </w:tc>
        <w:tc>
          <w:tcPr>
            <w:tcW w:type="dxa" w:w="18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26.9 / 38.5</w:t>
            </w:r>
          </w:p>
        </w:tc>
        <w:tc>
          <w:tcPr>
            <w:tcW w:type="dxa" w:w="18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66.6 / 27.2</w:t>
            </w:r>
          </w:p>
        </w:tc>
        <w:tc>
          <w:tcPr>
            <w:tcW w:type="dxa" w:w="18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108.2 / 21.6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Tuffite (Yatağan Fm.)</w:t>
            </w:r>
          </w:p>
        </w:tc>
        <w:tc>
          <w:tcPr>
            <w:tcW w:type="dxa" w:w="187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4.7 / 31.3</w:t>
            </w:r>
          </w:p>
        </w:tc>
        <w:tc>
          <w:tcPr>
            <w:tcW w:type="dxa" w:w="187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11.6 / 21.2</w:t>
            </w:r>
          </w:p>
        </w:tc>
        <w:tc>
          <w:tcPr>
            <w:tcW w:type="dxa" w:w="187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27.8 / 13.2</w:t>
            </w:r>
          </w:p>
        </w:tc>
        <w:tc>
          <w:tcPr>
            <w:tcW w:type="dxa" w:w="1875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43.9 / 9.9</w:t>
            </w:r>
          </w:p>
        </w:tc>
      </w:tr>
    </w:tbl>
    <w:p>
      <w:pPr>
        <w:pStyle w:val="Heading1"/>
        <w:spacing w:after="120" w:before="240"/>
      </w:pPr>
      <w:r>
        <w:rPr>
          <w:color w:val="1F3864"/>
        </w:rPr>
        <w:t xml:space="preserve">6. Important caveat for the comparison</w:t>
      </w:r>
    </w:p>
    <w:p>
      <w:pPr>
        <w:spacing w:after="120"/>
      </w:pPr>
      <w:r>
        <w:t xml:space="preserve">The GHB-derived MC pairs above describe the </w:t>
      </w:r>
      <w:r>
        <w:rPr>
          <w:b/>
          <w:bCs/>
        </w:rPr>
        <w:t xml:space="preserve">intact rock-mass envelope</w:t>
      </w:r>
      <w:r>
        <w:t xml:space="preserve">. They are far stronger than the back-analysis-validated discontinuity strengths (c = 4.4 kPa, φ = 15.4°; residual, smooth bedding) that govern the actual bedding-controlled failures at Işıkdere. These are two different mechanisms. The MC-SSR sweep (Step 5.1) uses the discontinuity / back-analysis values; the GHB-SSR sweep (Step 5.2) uses the m_b, s, a in Table 1. The MC-equivalents here exist only to show what an MC idealization of the rock mass would give versus the true GHB envelope — that contrast is part of the comparison's contribution.</w:t>
      </w:r>
    </w:p>
    <w:p>
      <w:pPr>
        <w:pStyle w:val="Heading1"/>
        <w:spacing w:after="120" w:before="240"/>
      </w:pPr>
      <w:r>
        <w:rPr>
          <w:color w:val="1F3864"/>
        </w:rPr>
        <w:t xml:space="preserve">7. Provenance of inputs</w:t>
      </w:r>
    </w:p>
    <w:p>
      <w:pPr>
        <w:spacing w:after="120"/>
      </w:pPr>
      <w:r>
        <w:t xml:space="preserve">GSI, σ_ci, m_i, D: Ulusay, Ekmekçi et al. (2014), Engineering Geology 181, Table 3b — as recorded in Isikdere_Mine_Extracted_Data.docx (Table 3). Reduction and MC-fit equations: Hoek, Carranza-Torres &amp; Corkum (2002). All values reproducible via step1_5_hoek_brown.py.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2026-07-28T05:56:39.219Z</dcterms:created>
  <dcterms:modified xsi:type="dcterms:W3CDTF">2026-07-28T05:56:39.284Z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