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left"/>
      </w:pPr>
      <w:r>
        <w:t>MONGODB</w:t>
      </w:r>
    </w:p>
    <w:p>
      <w:pPr>
        <w:pStyle w:val="Title"/>
      </w:pPr>
      <w:r>
        <w:t>Senior Consulting Engineer</w:t>
      </w:r>
    </w:p>
    <w:p>
      <w:pPr>
        <w:pStyle w:val="Subtitle"/>
      </w:pPr>
      <w:r>
        <w:t>HIRING MANAGER INTERVIEW PREPARATION PACK</w:t>
      </w:r>
    </w:p>
    <w:p>
      <w:r>
        <w:rPr>
          <w:b/>
          <w:sz w:val="22"/>
        </w:rPr>
        <w:t>Abrar Sharif Mudhir</w:t>
      </w:r>
    </w:p>
    <w:tbl>
      <w:tblPr>
        <w:tblW w:type="auto" w:w="0"/>
        <w:jc w:val="center"/>
        <w:tblLayout w:type="fixed"/>
        <w:tblLook w:firstColumn="1" w:firstRow="1" w:lastColumn="0" w:lastRow="0" w:noHBand="0" w:noVBand="1" w:val="04A0"/>
      </w:tblPr>
      <w:tblGrid>
        <w:gridCol w:w="5328"/>
        <w:gridCol w:w="5328"/>
      </w:tblGrid>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6"/>
              </w:rPr>
              <w:t>Interview</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6"/>
              </w:rPr>
              <w:t>Wednesday 2 September 2026, 14:00-15:00 BST / Ireland time</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6"/>
              </w:rPr>
              <w:t>Interviewer</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6"/>
              </w:rPr>
              <w:t>Jay Lad - Director, Professional Services</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6"/>
              </w:rPr>
              <w:t>Format</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6"/>
              </w:rPr>
              <w:t>Zoom, 60 minutes - Hiring Manager Interview</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6"/>
              </w:rPr>
              <w:t>Role</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6"/>
              </w:rPr>
              <w:t>Senior Consulting Engineer - Great Britain / London (remote)</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6"/>
              </w:rPr>
              <w:t>Official focus</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6"/>
              </w:rPr>
              <w:t>Consulting skills around software/databases; technical curiosity; motivation &amp; values alignment; behavioural questions on collaboration and ownership</w:t>
            </w:r>
          </w:p>
        </w:tc>
      </w:tr>
    </w:tbl>
    <w:p>
      <w:pPr>
        <w:spacing w:after="10"/>
      </w:pP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CORE POSITIONING</w:t>
            </w:r>
          </w:p>
          <w:p>
            <w:pPr>
              <w:spacing w:after="0" w:line="240" w:lineRule="auto"/>
            </w:pPr>
            <w:r>
              <w:rPr>
                <w:color w:val="1E252B"/>
                <w:sz w:val="16"/>
              </w:rPr>
              <w:t>Senior software/data engineer and former Professional Services consultant with 18+ years across software development, databases, data platforms, cloud, production operations and financial technology. Your strongest story is that you combine deep hands-on engineering with customer/stakeholder credibility, architecture ownership, training/mentoring and a demonstrated ability to learn new platforms quickly.</w:t>
            </w:r>
          </w:p>
        </w:tc>
      </w:tr>
    </w:tbl>
    <w:p>
      <w:pPr>
        <w:spacing w:after="10"/>
      </w:pPr>
    </w:p>
    <w:p>
      <w:pPr>
        <w:pStyle w:val="SmallNote"/>
      </w:pPr>
      <w:r>
        <w:t>This pack is prioritised for the Hiring Manager stage first, then includes deeper MongoDB technical revision for likely later Consulting Engineer interviews. MongoDB’s own interview guidance says the Hiring Manager discussion focuses on what you want next, what you want from a company/manager, why you are a fit, and relevant past situations; later CE interviews probe database expertise, software development, problem solving, consulting and customer interaction.</w:t>
      </w:r>
    </w:p>
    <w:p>
      <w:pPr>
        <w:pStyle w:val="Heading1"/>
      </w:pPr>
      <w:r>
        <w:t>Interview Snapshot</w:t>
      </w:r>
    </w:p>
    <w:tbl>
      <w:tblPr>
        <w:tblW w:type="auto" w:w="0"/>
        <w:jc w:val="center"/>
        <w:tblLayout w:type="fixed"/>
        <w:tblLook w:firstColumn="1" w:firstRow="1" w:lastColumn="0" w:lastRow="0" w:noHBand="0" w:noVBand="1" w:val="04A0"/>
      </w:tblPr>
      <w:tblGrid>
        <w:gridCol w:w="5328"/>
        <w:gridCol w:w="5328"/>
      </w:tblGrid>
      <w:tr>
        <w:trPr>
          <w:cantSplit/>
          <w:tblHeader w:val="true"/>
          <w:cantSplit/>
        </w:trPr>
        <w:tc>
          <w:tcPr>
            <w:tcW w:type="dxa" w:w="2232"/>
            <w:vAlign w:val="top"/>
            <w:tcMar>
              <w:top w:w="60" w:type="dxa"/>
              <w:start w:w="70" w:type="dxa"/>
              <w:bottom w:w="60" w:type="dxa"/>
              <w:end w:w="70" w:type="dxa"/>
            </w:tcMar>
            <w:shd w:fill="00A35C"/>
          </w:tcPr>
          <w:p>
            <w:pPr>
              <w:spacing w:after="0" w:line="240" w:lineRule="auto"/>
            </w:pPr>
            <w:r>
              <w:rPr>
                <w:rFonts w:ascii="Aptos" w:hAnsi="Aptos"/>
                <w:b/>
                <w:color w:val="FFFFFF"/>
                <w:sz w:val="15"/>
              </w:rPr>
              <w:t>Item</w:t>
            </w:r>
          </w:p>
        </w:tc>
        <w:tc>
          <w:tcPr>
            <w:tcW w:type="dxa" w:w="8424"/>
            <w:vAlign w:val="top"/>
            <w:tcMar>
              <w:top w:w="60" w:type="dxa"/>
              <w:start w:w="70" w:type="dxa"/>
              <w:bottom w:w="60" w:type="dxa"/>
              <w:end w:w="70" w:type="dxa"/>
            </w:tcMar>
            <w:shd w:fill="00A35C"/>
          </w:tcPr>
          <w:p>
            <w:pPr>
              <w:spacing w:after="0" w:line="240" w:lineRule="auto"/>
            </w:pPr>
            <w:r>
              <w:rPr>
                <w:rFonts w:ascii="Aptos" w:hAnsi="Aptos"/>
                <w:b/>
                <w:color w:val="FFFFFF"/>
                <w:sz w:val="15"/>
              </w:rPr>
              <w:t>Preparation</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5"/>
              </w:rPr>
              <w:t>What MongoDB needs</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5"/>
              </w:rPr>
              <w:t>A deeply technical, customer-facing engineer who can become a field expert in MongoDB, communicate complex proposals simply, guide customers through design/migration/operations, teach others, and act as a trusted advisor.</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5"/>
              </w:rPr>
              <w:t>Your strongest match</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5"/>
              </w:rPr>
              <w:t>Breadth: Python/Java/C# + SQL/NoSQL + AWS/Azure + microservices + data platforms + architecture + production support + consulting + leadership.</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5"/>
              </w:rPr>
              <w:t>Best direct consulting evidence</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5"/>
              </w:rPr>
              <w:t>GoldenSource Professional Services: technical SME/project lead, cloud migration, requirements, architecture documentation, client delivery and a five-person team.</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5"/>
              </w:rPr>
              <w:t>Best MongoDB evidence</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5"/>
              </w:rPr>
              <w:t>Current Brevan Howard role includes MongoDB/NoSQL in a production front-office data/analytics environment. Present it confidently but do not claim MongoDB DBA/cluster-admin depth you do not have.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5"/>
              </w:rPr>
              <w:t>Biggest risk</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5"/>
              </w:rPr>
              <w:t>Being perceived as a financial-data engineer who wants another coding role rather than a customer-facing database consultant. Translate every story into customer outcomes, communication, diagnosis and adaptability.</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5"/>
              </w:rPr>
              <w:t>Second risk</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5"/>
              </w:rPr>
              <w:t>Overstating MongoDB-specific expertise. MongoDB explicitly says prior MongoDB expertise is a plus, not an absolute requirement. Your strategy is intellectual honesty + strong transferable database/distributed-systems depth + evidence of rapid learning.</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5"/>
              </w:rPr>
              <w:t>Your goal</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5"/>
              </w:rPr>
              <w:t>Make Jay believe he can put you in front of a demanding enterprise customer, trust you to diagnose an unfamiliar stack, communicate with architects/developers/ops/executives, and own the engagement to a high standard.</w:t>
            </w:r>
          </w:p>
        </w:tc>
      </w:tr>
    </w:tbl>
    <w:p>
      <w:pPr>
        <w:spacing w:after="10"/>
      </w:pP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THE LINE TO REMEMBER</w:t>
            </w:r>
          </w:p>
          <w:p>
            <w:pPr>
              <w:spacing w:after="0" w:line="240" w:lineRule="auto"/>
            </w:pPr>
            <w:r>
              <w:rPr>
                <w:color w:val="1E252B"/>
                <w:sz w:val="16"/>
              </w:rPr>
              <w:t>“What attracts me to Consulting Engineering is the combination of deep technical problem solving and customer impact. I’ve spent my career moving between software, databases, data platforms and production operations, and I’m at my best when I can understand the customer’s real problem, design a pragmatic solution, explain the trade-offs clearly and stay accountable through delivery.”</w:t>
            </w:r>
          </w:p>
        </w:tc>
      </w:tr>
    </w:tbl>
    <w:p>
      <w:pPr>
        <w:spacing w:after="10"/>
      </w:pPr>
    </w:p>
    <w:p>
      <w:pPr>
        <w:pStyle w:val="Heading1"/>
      </w:pPr>
      <w:r>
        <w:t>1. One-Page Interview Cheat Sheet</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YOUR CORE PITCH</w:t>
            </w:r>
          </w:p>
          <w:p>
            <w:pPr>
              <w:spacing w:after="0" w:line="240" w:lineRule="auto"/>
            </w:pPr>
            <w:r>
              <w:rPr>
                <w:color w:val="1E252B"/>
                <w:sz w:val="16"/>
              </w:rPr>
              <w:t>Software engineering + databases + cloud + consulting + production ownership. Do not lead with “quant”. Lead with breadth, customer-facing delivery and your ability to become a trusted technical advisor.</w:t>
            </w:r>
          </w:p>
        </w:tc>
      </w:tr>
    </w:tbl>
    <w:p>
      <w:pPr>
        <w:spacing w:after="10"/>
      </w:pPr>
    </w:p>
    <w:tbl>
      <w:tblPr>
        <w:tblW w:type="auto" w:w="0"/>
        <w:jc w:val="center"/>
        <w:tblLayout w:type="fixed"/>
        <w:tblLook w:firstColumn="1" w:firstRow="1" w:lastColumn="0" w:lastRow="0" w:noHBand="0" w:noVBand="1" w:val="04A0"/>
      </w:tblPr>
      <w:tblGrid>
        <w:gridCol w:w="5328"/>
        <w:gridCol w:w="5328"/>
      </w:tblGrid>
      <w:tr>
        <w:trPr>
          <w:cantSplit/>
          <w:tblHeader w:val="true"/>
          <w:cantSplit/>
        </w:trPr>
        <w:tc>
          <w:tcPr>
            <w:tcW w:type="dxa" w:w="2232"/>
            <w:vAlign w:val="top"/>
            <w:tcMar>
              <w:top w:w="60" w:type="dxa"/>
              <w:start w:w="70" w:type="dxa"/>
              <w:bottom w:w="60" w:type="dxa"/>
              <w:end w:w="70" w:type="dxa"/>
            </w:tcMar>
            <w:shd w:fill="00A35C"/>
          </w:tcPr>
          <w:p>
            <w:pPr>
              <w:spacing w:after="0" w:line="240" w:lineRule="auto"/>
            </w:pPr>
            <w:r>
              <w:rPr>
                <w:rFonts w:ascii="Aptos" w:hAnsi="Aptos"/>
                <w:b/>
                <w:color w:val="FFFFFF"/>
                <w:sz w:val="14"/>
              </w:rPr>
              <w:t>Topic</w:t>
            </w:r>
          </w:p>
        </w:tc>
        <w:tc>
          <w:tcPr>
            <w:tcW w:type="dxa" w:w="8424"/>
            <w:vAlign w:val="top"/>
            <w:tcMar>
              <w:top w:w="60" w:type="dxa"/>
              <w:start w:w="70" w:type="dxa"/>
              <w:bottom w:w="60" w:type="dxa"/>
              <w:end w:w="70" w:type="dxa"/>
            </w:tcMar>
            <w:shd w:fill="00A35C"/>
          </w:tcPr>
          <w:p>
            <w:pPr>
              <w:spacing w:after="0" w:line="240" w:lineRule="auto"/>
            </w:pPr>
            <w:r>
              <w:rPr>
                <w:rFonts w:ascii="Aptos" w:hAnsi="Aptos"/>
                <w:b/>
                <w:color w:val="FFFFFF"/>
                <w:sz w:val="14"/>
              </w:rPr>
              <w:t>What to say</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Brevan Howard</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Current hands-on production engineering: Python, SQL, MongoDB, Snowflake, AWS, Prefect, Docker; front-office data/analytics; work with portfolio managers, traders and analysts.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GoldenSource</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Your best Professional Services story: technical SME, customer requirements, architecture advice/documentation, cloud migration, team leadership, CI/CD improvement.</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illio</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Your best build-from-scratch/cloud story: designed AWS data/analytics platform; APIs; S3/Glue/Airflow/Lambda/RDS; Docker/Kubernetes; CDK; hired and mentored team.</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BlackRock</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Your best scale + leadership + complex stakeholder story: data engineering, investment platforms, Python/Java, Snowflake, Hadoop/Spark, security redesign, team leadership.</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Pemberton</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Your best “understand business workflow -&gt; build product” story: replaced ~20 spreadsheet models with FastAPI/SQL Server/Dash fund platform.</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ESA</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Useful cross-industry/customer communication story: Java/Spring/React, secure cloud environment, user training, issue resolution, common-environment migration.</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Rapid Addition / ICAP</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Best distributed/real-time systems story: low-latency FIX engines, market connectivity, streaming data, Java/C#.</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MongoDB stance</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“I have production exposure and strong database experience, but I would not claim to already be a MongoDB field expert. What I can demonstrate is the technical base and learning behaviour to become one quickly.”</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Consulting principle</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Discover first; define outcome and constraints; establish evidence; recommend options/trade-offs; implement/validate; transfer knowledge; document clearly.</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Values</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Think Big, Go Far | Build Together | Embrace the Power of Differences | Make it Matter | Own What You Do | Be Intellectually Honest.</w:t>
            </w:r>
          </w:p>
        </w:tc>
      </w:tr>
    </w:tbl>
    <w:p>
      <w:pPr>
        <w:spacing w:after="10"/>
      </w:pP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BEST SENIOR-LEVEL LINE</w:t>
            </w:r>
          </w:p>
          <w:p>
            <w:pPr>
              <w:spacing w:after="0" w:line="240" w:lineRule="auto"/>
            </w:pPr>
            <w:r>
              <w:rPr>
                <w:color w:val="1E252B"/>
                <w:sz w:val="16"/>
              </w:rPr>
              <w:t>“I’m comfortable saying ‘I don’t know yet’. In consulting, credibility comes from being precise about what is known, what is assumed, and how you will validate the unknowns — not from pretending to know every answer.”</w:t>
            </w:r>
          </w:p>
        </w:tc>
      </w:tr>
    </w:tbl>
    <w:p>
      <w:pPr>
        <w:spacing w:after="10"/>
      </w:pPr>
    </w:p>
    <w:p>
      <w:pPr>
        <w:pStyle w:val="Heading1"/>
      </w:pPr>
      <w:r>
        <w:t>2. Your 90-Second Introduction</w:t>
      </w:r>
    </w:p>
    <w:p>
      <w:pPr/>
      <w:r>
        <w:t>Use this as a structure, not a speech to recite word-for-word.</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SUGGESTED ANSWER</w:t>
            </w:r>
          </w:p>
          <w:p>
            <w:pPr>
              <w:spacing w:after="0" w:line="240" w:lineRule="auto"/>
            </w:pPr>
            <w:r>
              <w:rPr>
                <w:color w:val="1E252B"/>
                <w:sz w:val="16"/>
              </w:rPr>
              <w:t>“I’m a senior software and data engineer with more than 18 years of experience across financial services, energy, consulting and enterprise software. My career has been quite broad technically: Python, Java and C#, relational and NoSQL databases, cloud platforms, APIs, distributed data systems and production operations.</w:t>
              <w:br/>
              <w:br/>
              <w:t>Currently at Brevan Howard I build front-office data and analytics platforms using Python, SQL, AWS, Snowflake and MongoDB. Before that I was at EDF Trading and Pemberton, building production data pipelines and Python applications.</w:t>
              <w:br/>
              <w:br/>
              <w:t>A particularly relevant part of my background is GoldenSource Professional Services, where I worked as a technical SME and project lead with customers on data-platform upgrades, cloud migration, architecture, requirements and delivery. I’ve also led engineering teams at BlackRock and illio while staying hands-on.</w:t>
              <w:br/>
              <w:br/>
              <w:t>What interests me about MongoDB Consulting Engineering is that it brings those threads together: deep technology, databases, architecture, problem solving and customer interaction. I think I can bring a mature engineering and consulting foundation, while developing much deeper MongoDB expertise and becoming a trusted advisor to customers.”</w:t>
            </w:r>
          </w:p>
        </w:tc>
      </w:tr>
    </w:tbl>
    <w:p>
      <w:pPr>
        <w:spacing w:after="10"/>
      </w:pPr>
    </w:p>
    <w:p>
      <w:pPr>
        <w:pStyle w:val="Heading1"/>
      </w:pPr>
      <w:r>
        <w:t>3. What Jay Needs to Believe</w:t>
      </w:r>
    </w:p>
    <w:p>
      <w:pPr>
        <w:spacing w:after="28"/>
        <w:ind w:left="259" w:hanging="144"/>
      </w:pPr>
      <w:r>
        <w:rPr>
          <w:b/>
          <w:color w:val="00A35C"/>
        </w:rPr>
        <w:t xml:space="preserve">• </w:t>
      </w:r>
      <w:r>
        <w:t>You genuinely enjoy customer interaction; consulting is not a fallback from engineering.</w:t>
      </w:r>
    </w:p>
    <w:p>
      <w:pPr>
        <w:spacing w:after="28"/>
        <w:ind w:left="259" w:hanging="144"/>
      </w:pPr>
      <w:r>
        <w:rPr>
          <w:b/>
          <w:color w:val="00A35C"/>
        </w:rPr>
        <w:t xml:space="preserve">• </w:t>
      </w:r>
      <w:r>
        <w:t>You are still deeply hands-on and can reason about software, databases, networking, cloud and production systems.</w:t>
      </w:r>
    </w:p>
    <w:p>
      <w:pPr>
        <w:spacing w:after="28"/>
        <w:ind w:left="259" w:hanging="144"/>
      </w:pPr>
      <w:r>
        <w:rPr>
          <w:b/>
          <w:color w:val="00A35C"/>
        </w:rPr>
        <w:t xml:space="preserve">• </w:t>
      </w:r>
      <w:r>
        <w:t>You can enter an unfamiliar environment, ask the right questions and diagnose systematically rather than guessing.</w:t>
      </w:r>
    </w:p>
    <w:p>
      <w:pPr>
        <w:spacing w:after="28"/>
        <w:ind w:left="259" w:hanging="144"/>
      </w:pPr>
      <w:r>
        <w:rPr>
          <w:b/>
          <w:color w:val="00A35C"/>
        </w:rPr>
        <w:t xml:space="preserve">• </w:t>
      </w:r>
      <w:r>
        <w:t>You can explain the same issue differently to a developer, architect, operations engineer and executive.</w:t>
      </w:r>
    </w:p>
    <w:p>
      <w:pPr>
        <w:spacing w:after="28"/>
        <w:ind w:left="259" w:hanging="144"/>
      </w:pPr>
      <w:r>
        <w:rPr>
          <w:b/>
          <w:color w:val="00A35C"/>
        </w:rPr>
        <w:t xml:space="preserve">• </w:t>
      </w:r>
      <w:r>
        <w:t>You are intellectually honest about your current MongoDB depth and excited by the learning curve.</w:t>
      </w:r>
    </w:p>
    <w:p>
      <w:pPr>
        <w:spacing w:after="28"/>
        <w:ind w:left="259" w:hanging="144"/>
      </w:pPr>
      <w:r>
        <w:rPr>
          <w:b/>
          <w:color w:val="00A35C"/>
        </w:rPr>
        <w:t xml:space="preserve">• </w:t>
      </w:r>
      <w:r>
        <w:t>You have enough seniority to challenge a customer respectfully without becoming dogmatic.</w:t>
      </w:r>
    </w:p>
    <w:p>
      <w:pPr>
        <w:spacing w:after="28"/>
        <w:ind w:left="259" w:hanging="144"/>
      </w:pPr>
      <w:r>
        <w:rPr>
          <w:b/>
          <w:color w:val="00A35C"/>
        </w:rPr>
        <w:t xml:space="preserve">• </w:t>
      </w:r>
      <w:r>
        <w:t>You take ownership after making a recommendation: testing, migration, rollout, documentation and knowledge transfer matter.</w:t>
      </w:r>
    </w:p>
    <w:p>
      <w:pPr>
        <w:spacing w:after="28"/>
        <w:ind w:left="259" w:hanging="144"/>
      </w:pPr>
      <w:r>
        <w:rPr>
          <w:b/>
          <w:color w:val="00A35C"/>
        </w:rPr>
        <w:t xml:space="preserve">• </w:t>
      </w:r>
      <w:r>
        <w:t>You can manage consulting realities: scope, time, utilization, priorities, customer expectations and clear deliverables.</w:t>
      </w:r>
    </w:p>
    <w:p>
      <w:pPr>
        <w:spacing w:after="28"/>
        <w:ind w:left="259" w:hanging="144"/>
      </w:pPr>
      <w:r>
        <w:rPr>
          <w:b/>
          <w:color w:val="00A35C"/>
        </w:rPr>
        <w:t xml:space="preserve">• </w:t>
      </w:r>
      <w:r>
        <w:t>You will represent MongoDB well: calm, credible, curious, collaborative and evidence-driven.</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FFF4E5"/>
            <w:tcMar>
              <w:top w:w="60" w:type="dxa"/>
              <w:start w:w="70" w:type="dxa"/>
              <w:bottom w:w="60" w:type="dxa"/>
              <w:end w:w="70" w:type="dxa"/>
            </w:tcMar>
          </w:tcPr>
          <w:p>
            <w:pPr>
              <w:spacing w:after="0" w:line="240" w:lineRule="auto"/>
            </w:pPr>
            <w:r>
              <w:rPr>
                <w:b/>
                <w:color w:val="8A5A00"/>
                <w:sz w:val="16"/>
              </w:rPr>
              <w:t>IMPORTANT</w:t>
            </w:r>
          </w:p>
          <w:p>
            <w:pPr>
              <w:spacing w:after="0" w:line="240" w:lineRule="auto"/>
            </w:pPr>
            <w:r>
              <w:rPr>
                <w:color w:val="1E252B"/>
                <w:sz w:val="16"/>
              </w:rPr>
              <w:t>This is a Hiring Manager interview. Do not turn it into a 45-minute MongoDB trivia exam. Your priority is: consulting credibility -&gt; motivation -&gt; examples -&gt; values -&gt; technical curiosity. Technical depth supports the story; it is not the whole story.</w:t>
            </w:r>
          </w:p>
        </w:tc>
      </w:tr>
    </w:tbl>
    <w:p>
      <w:pPr>
        <w:spacing w:after="10"/>
      </w:pPr>
    </w:p>
    <w:p>
      <w:pPr>
        <w:pStyle w:val="Heading1"/>
      </w:pPr>
      <w:r>
        <w:t>4. Role-to-CV Fit: Where You Win and Where to Be Careful</w:t>
      </w:r>
    </w:p>
    <w:tbl>
      <w:tblPr>
        <w:tblW w:type="auto" w:w="0"/>
        <w:jc w:val="center"/>
        <w:tblLayout w:type="fixed"/>
        <w:tblLook w:firstColumn="1" w:firstRow="1" w:lastColumn="0" w:lastRow="0" w:noHBand="0" w:noVBand="1" w:val="04A0"/>
      </w:tblPr>
      <w:tblGrid>
        <w:gridCol w:w="2664"/>
        <w:gridCol w:w="2664"/>
        <w:gridCol w:w="2664"/>
        <w:gridCol w:w="2664"/>
      </w:tblGrid>
      <w:tr>
        <w:trPr>
          <w:cantSplit/>
          <w:tblHeader w:val="true"/>
          <w:cantSplit/>
        </w:trPr>
        <w:tc>
          <w:tcPr>
            <w:tcW w:type="dxa" w:w="2232"/>
            <w:vAlign w:val="top"/>
            <w:tcMar>
              <w:top w:w="60" w:type="dxa"/>
              <w:start w:w="70" w:type="dxa"/>
              <w:bottom w:w="60" w:type="dxa"/>
              <w:end w:w="70" w:type="dxa"/>
            </w:tcMar>
            <w:shd w:fill="00A35C"/>
          </w:tcPr>
          <w:p>
            <w:pPr>
              <w:spacing w:after="0" w:line="240" w:lineRule="auto"/>
            </w:pPr>
            <w:r>
              <w:rPr>
                <w:rFonts w:ascii="Aptos" w:hAnsi="Aptos"/>
                <w:b/>
                <w:color w:val="FFFFFF"/>
                <w:sz w:val="13"/>
              </w:rPr>
              <w:t>Requirement / expectation</w:t>
            </w:r>
          </w:p>
        </w:tc>
        <w:tc>
          <w:tcPr>
            <w:tcW w:type="dxa" w:w="936"/>
            <w:vAlign w:val="top"/>
            <w:tcMar>
              <w:top w:w="60" w:type="dxa"/>
              <w:start w:w="70" w:type="dxa"/>
              <w:bottom w:w="60" w:type="dxa"/>
              <w:end w:w="70" w:type="dxa"/>
            </w:tcMar>
            <w:shd w:fill="00A35C"/>
          </w:tcPr>
          <w:p>
            <w:pPr>
              <w:spacing w:after="0" w:line="240" w:lineRule="auto"/>
            </w:pPr>
            <w:r>
              <w:rPr>
                <w:rFonts w:ascii="Aptos" w:hAnsi="Aptos"/>
                <w:b/>
                <w:color w:val="FFFFFF"/>
                <w:sz w:val="13"/>
              </w:rPr>
              <w:t>Fit</w:t>
            </w:r>
          </w:p>
        </w:tc>
        <w:tc>
          <w:tcPr>
            <w:tcW w:type="dxa" w:w="3024"/>
            <w:vAlign w:val="top"/>
            <w:tcMar>
              <w:top w:w="60" w:type="dxa"/>
              <w:start w:w="70" w:type="dxa"/>
              <w:bottom w:w="60" w:type="dxa"/>
              <w:end w:w="70" w:type="dxa"/>
            </w:tcMar>
            <w:shd w:fill="00A35C"/>
          </w:tcPr>
          <w:p>
            <w:pPr>
              <w:spacing w:after="0" w:line="240" w:lineRule="auto"/>
            </w:pPr>
            <w:r>
              <w:rPr>
                <w:rFonts w:ascii="Aptos" w:hAnsi="Aptos"/>
                <w:b/>
                <w:color w:val="FFFFFF"/>
                <w:sz w:val="13"/>
              </w:rPr>
              <w:t>Evidence</w:t>
            </w:r>
          </w:p>
        </w:tc>
        <w:tc>
          <w:tcPr>
            <w:tcW w:type="dxa" w:w="4464"/>
            <w:vAlign w:val="top"/>
            <w:tcMar>
              <w:top w:w="60" w:type="dxa"/>
              <w:start w:w="70" w:type="dxa"/>
              <w:bottom w:w="60" w:type="dxa"/>
              <w:end w:w="70" w:type="dxa"/>
            </w:tcMar>
            <w:shd w:fill="00A35C"/>
          </w:tcPr>
          <w:p>
            <w:pPr>
              <w:spacing w:after="0" w:line="240" w:lineRule="auto"/>
            </w:pPr>
            <w:r>
              <w:rPr>
                <w:rFonts w:ascii="Aptos" w:hAnsi="Aptos"/>
                <w:b/>
                <w:color w:val="FFFFFF"/>
                <w:sz w:val="13"/>
              </w:rPr>
              <w:t>Interview treatment</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10+ years software / consulting / support</w:t>
            </w:r>
          </w:p>
        </w:tc>
        <w:tc>
          <w:tcPr>
            <w:tcW w:type="dxa" w:w="936"/>
            <w:vAlign w:val="top"/>
            <w:tcMar>
              <w:top w:w="60" w:type="dxa"/>
              <w:start w:w="70" w:type="dxa"/>
              <w:bottom w:w="60" w:type="dxa"/>
              <w:end w:w="70" w:type="dxa"/>
            </w:tcMar>
          </w:tcPr>
          <w:p>
            <w:pPr>
              <w:spacing w:after="0" w:line="240" w:lineRule="auto"/>
            </w:pPr>
            <w:r>
              <w:rPr>
                <w:rFonts w:ascii="Aptos" w:hAnsi="Aptos"/>
                <w:color w:val="1E252B"/>
                <w:sz w:val="13"/>
              </w:rPr>
              <w:t>Excellent</w:t>
            </w:r>
          </w:p>
        </w:tc>
        <w:tc>
          <w:tcPr>
            <w:tcW w:type="dxa" w:w="3024"/>
            <w:vAlign w:val="top"/>
            <w:tcMar>
              <w:top w:w="60" w:type="dxa"/>
              <w:start w:w="70" w:type="dxa"/>
              <w:bottom w:w="60" w:type="dxa"/>
              <w:end w:w="70" w:type="dxa"/>
            </w:tcMar>
          </w:tcPr>
          <w:p>
            <w:pPr>
              <w:spacing w:after="0" w:line="240" w:lineRule="auto"/>
            </w:pPr>
            <w:r>
              <w:rPr>
                <w:rFonts w:ascii="Aptos" w:hAnsi="Aptos"/>
                <w:color w:val="1E252B"/>
                <w:sz w:val="13"/>
              </w:rPr>
              <w:t>18+ years; BlackRock, GoldenSource, ESA, Rapid Addition, Brevan, EDF</w:t>
            </w:r>
          </w:p>
        </w:tc>
        <w:tc>
          <w:tcPr>
            <w:tcW w:type="dxa" w:w="4464"/>
            <w:vAlign w:val="top"/>
            <w:tcMar>
              <w:top w:w="60" w:type="dxa"/>
              <w:start w:w="70" w:type="dxa"/>
              <w:bottom w:w="60" w:type="dxa"/>
              <w:end w:w="70" w:type="dxa"/>
            </w:tcMar>
          </w:tcPr>
          <w:p>
            <w:pPr>
              <w:spacing w:after="0" w:line="240" w:lineRule="auto"/>
            </w:pPr>
            <w:r>
              <w:rPr>
                <w:rFonts w:ascii="Aptos" w:hAnsi="Aptos"/>
                <w:color w:val="1E252B"/>
                <w:sz w:val="13"/>
              </w:rPr>
              <w:t>Use breadth as a differentiator.</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Java / C# / Python / Node</w:t>
            </w:r>
          </w:p>
        </w:tc>
        <w:tc>
          <w:tcPr>
            <w:tcW w:type="dxa" w:w="936"/>
            <w:vAlign w:val="top"/>
            <w:tcMar>
              <w:top w:w="60" w:type="dxa"/>
              <w:start w:w="70" w:type="dxa"/>
              <w:bottom w:w="60" w:type="dxa"/>
              <w:end w:w="70" w:type="dxa"/>
            </w:tcMar>
          </w:tcPr>
          <w:p>
            <w:pPr>
              <w:spacing w:after="0" w:line="240" w:lineRule="auto"/>
            </w:pPr>
            <w:r>
              <w:rPr>
                <w:rFonts w:ascii="Aptos" w:hAnsi="Aptos"/>
                <w:color w:val="1E252B"/>
                <w:sz w:val="13"/>
              </w:rPr>
              <w:t>Excellent</w:t>
            </w:r>
          </w:p>
        </w:tc>
        <w:tc>
          <w:tcPr>
            <w:tcW w:type="dxa" w:w="3024"/>
            <w:vAlign w:val="top"/>
            <w:tcMar>
              <w:top w:w="60" w:type="dxa"/>
              <w:start w:w="70" w:type="dxa"/>
              <w:bottom w:w="60" w:type="dxa"/>
              <w:end w:w="70" w:type="dxa"/>
            </w:tcMar>
          </w:tcPr>
          <w:p>
            <w:pPr>
              <w:spacing w:after="0" w:line="240" w:lineRule="auto"/>
            </w:pPr>
            <w:r>
              <w:rPr>
                <w:rFonts w:ascii="Aptos" w:hAnsi="Aptos"/>
                <w:color w:val="1E252B"/>
                <w:sz w:val="13"/>
              </w:rPr>
              <w:t>Python current; Java/C# substantial; Node at ESA</w:t>
            </w:r>
          </w:p>
        </w:tc>
        <w:tc>
          <w:tcPr>
            <w:tcW w:type="dxa" w:w="4464"/>
            <w:vAlign w:val="top"/>
            <w:tcMar>
              <w:top w:w="60" w:type="dxa"/>
              <w:start w:w="70" w:type="dxa"/>
              <w:bottom w:w="60" w:type="dxa"/>
              <w:end w:w="70" w:type="dxa"/>
            </w:tcMar>
          </w:tcPr>
          <w:p>
            <w:pPr>
              <w:spacing w:after="0" w:line="240" w:lineRule="auto"/>
            </w:pPr>
            <w:r>
              <w:rPr>
                <w:rFonts w:ascii="Aptos" w:hAnsi="Aptos"/>
                <w:color w:val="1E252B"/>
                <w:sz w:val="13"/>
              </w:rPr>
              <w:t>Be ready to discuss production design, not syntax trivia.</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Customer-facing consulting</w:t>
            </w:r>
          </w:p>
        </w:tc>
        <w:tc>
          <w:tcPr>
            <w:tcW w:type="dxa" w:w="936"/>
            <w:vAlign w:val="top"/>
            <w:tcMar>
              <w:top w:w="60" w:type="dxa"/>
              <w:start w:w="70" w:type="dxa"/>
              <w:bottom w:w="60" w:type="dxa"/>
              <w:end w:w="70" w:type="dxa"/>
            </w:tcMar>
          </w:tcPr>
          <w:p>
            <w:pPr>
              <w:spacing w:after="0" w:line="240" w:lineRule="auto"/>
            </w:pPr>
            <w:r>
              <w:rPr>
                <w:rFonts w:ascii="Aptos" w:hAnsi="Aptos"/>
                <w:color w:val="1E252B"/>
                <w:sz w:val="13"/>
              </w:rPr>
              <w:t>Strong</w:t>
            </w:r>
          </w:p>
        </w:tc>
        <w:tc>
          <w:tcPr>
            <w:tcW w:type="dxa" w:w="3024"/>
            <w:vAlign w:val="top"/>
            <w:tcMar>
              <w:top w:w="60" w:type="dxa"/>
              <w:start w:w="70" w:type="dxa"/>
              <w:bottom w:w="60" w:type="dxa"/>
              <w:end w:w="70" w:type="dxa"/>
            </w:tcMar>
          </w:tcPr>
          <w:p>
            <w:pPr>
              <w:spacing w:after="0" w:line="240" w:lineRule="auto"/>
            </w:pPr>
            <w:r>
              <w:rPr>
                <w:rFonts w:ascii="Aptos" w:hAnsi="Aptos"/>
                <w:color w:val="1E252B"/>
                <w:sz w:val="13"/>
              </w:rPr>
              <w:t>GoldenSource Professional Services; stakeholder-heavy roles; ESA training</w:t>
            </w:r>
          </w:p>
        </w:tc>
        <w:tc>
          <w:tcPr>
            <w:tcW w:type="dxa" w:w="4464"/>
            <w:vAlign w:val="top"/>
            <w:tcMar>
              <w:top w:w="60" w:type="dxa"/>
              <w:start w:w="70" w:type="dxa"/>
              <w:bottom w:w="60" w:type="dxa"/>
              <w:end w:w="70" w:type="dxa"/>
            </w:tcMar>
          </w:tcPr>
          <w:p>
            <w:pPr>
              <w:spacing w:after="0" w:line="240" w:lineRule="auto"/>
            </w:pPr>
            <w:r>
              <w:rPr>
                <w:rFonts w:ascii="Aptos" w:hAnsi="Aptos"/>
                <w:color w:val="1E252B"/>
                <w:sz w:val="13"/>
              </w:rPr>
              <w:t>Lead with GoldenSource.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Databases: relational + non-relational</w:t>
            </w:r>
          </w:p>
        </w:tc>
        <w:tc>
          <w:tcPr>
            <w:tcW w:type="dxa" w:w="936"/>
            <w:vAlign w:val="top"/>
            <w:tcMar>
              <w:top w:w="60" w:type="dxa"/>
              <w:start w:w="70" w:type="dxa"/>
              <w:bottom w:w="60" w:type="dxa"/>
              <w:end w:w="70" w:type="dxa"/>
            </w:tcMar>
          </w:tcPr>
          <w:p>
            <w:pPr>
              <w:spacing w:after="0" w:line="240" w:lineRule="auto"/>
            </w:pPr>
            <w:r>
              <w:rPr>
                <w:rFonts w:ascii="Aptos" w:hAnsi="Aptos"/>
                <w:color w:val="1E252B"/>
                <w:sz w:val="13"/>
              </w:rPr>
              <w:t>Excellent</w:t>
            </w:r>
          </w:p>
        </w:tc>
        <w:tc>
          <w:tcPr>
            <w:tcW w:type="dxa" w:w="3024"/>
            <w:vAlign w:val="top"/>
            <w:tcMar>
              <w:top w:w="60" w:type="dxa"/>
              <w:start w:w="70" w:type="dxa"/>
              <w:bottom w:w="60" w:type="dxa"/>
              <w:end w:w="70" w:type="dxa"/>
            </w:tcMar>
          </w:tcPr>
          <w:p>
            <w:pPr>
              <w:spacing w:after="0" w:line="240" w:lineRule="auto"/>
            </w:pPr>
            <w:r>
              <w:rPr>
                <w:rFonts w:ascii="Aptos" w:hAnsi="Aptos"/>
                <w:color w:val="1E252B"/>
                <w:sz w:val="13"/>
              </w:rPr>
              <w:t>SQL Server, PostgreSQL, Snowflake, MongoDB/NoSQL, GoldenSource EDM</w:t>
            </w:r>
          </w:p>
        </w:tc>
        <w:tc>
          <w:tcPr>
            <w:tcW w:type="dxa" w:w="4464"/>
            <w:vAlign w:val="top"/>
            <w:tcMar>
              <w:top w:w="60" w:type="dxa"/>
              <w:start w:w="70" w:type="dxa"/>
              <w:bottom w:w="60" w:type="dxa"/>
              <w:end w:w="70" w:type="dxa"/>
            </w:tcMar>
          </w:tcPr>
          <w:p>
            <w:pPr>
              <w:spacing w:after="0" w:line="240" w:lineRule="auto"/>
            </w:pPr>
            <w:r>
              <w:rPr>
                <w:rFonts w:ascii="Aptos" w:hAnsi="Aptos"/>
                <w:color w:val="1E252B"/>
                <w:sz w:val="13"/>
              </w:rPr>
              <w:t>Show data-model trade-off thinking.</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Enterprise architecture / lifecycle</w:t>
            </w:r>
          </w:p>
        </w:tc>
        <w:tc>
          <w:tcPr>
            <w:tcW w:type="dxa" w:w="936"/>
            <w:vAlign w:val="top"/>
            <w:tcMar>
              <w:top w:w="60" w:type="dxa"/>
              <w:start w:w="70" w:type="dxa"/>
              <w:bottom w:w="60" w:type="dxa"/>
              <w:end w:w="70" w:type="dxa"/>
            </w:tcMar>
          </w:tcPr>
          <w:p>
            <w:pPr>
              <w:spacing w:after="0" w:line="240" w:lineRule="auto"/>
            </w:pPr>
            <w:r>
              <w:rPr>
                <w:rFonts w:ascii="Aptos" w:hAnsi="Aptos"/>
                <w:color w:val="1E252B"/>
                <w:sz w:val="13"/>
              </w:rPr>
              <w:t>Excellent</w:t>
            </w:r>
          </w:p>
        </w:tc>
        <w:tc>
          <w:tcPr>
            <w:tcW w:type="dxa" w:w="3024"/>
            <w:vAlign w:val="top"/>
            <w:tcMar>
              <w:top w:w="60" w:type="dxa"/>
              <w:start w:w="70" w:type="dxa"/>
              <w:bottom w:w="60" w:type="dxa"/>
              <w:end w:w="70" w:type="dxa"/>
            </w:tcMar>
          </w:tcPr>
          <w:p>
            <w:pPr>
              <w:spacing w:after="0" w:line="240" w:lineRule="auto"/>
            </w:pPr>
            <w:r>
              <w:rPr>
                <w:rFonts w:ascii="Aptos" w:hAnsi="Aptos"/>
                <w:color w:val="1E252B"/>
                <w:sz w:val="13"/>
              </w:rPr>
              <w:t>Cloud migrations, microservices, APIs, data platforms, security, CI/CD</w:t>
            </w:r>
          </w:p>
        </w:tc>
        <w:tc>
          <w:tcPr>
            <w:tcW w:type="dxa" w:w="4464"/>
            <w:vAlign w:val="top"/>
            <w:tcMar>
              <w:top w:w="60" w:type="dxa"/>
              <w:start w:w="70" w:type="dxa"/>
              <w:bottom w:w="60" w:type="dxa"/>
              <w:end w:w="70" w:type="dxa"/>
            </w:tcMar>
          </w:tcPr>
          <w:p>
            <w:pPr>
              <w:spacing w:after="0" w:line="240" w:lineRule="auto"/>
            </w:pPr>
            <w:r>
              <w:rPr>
                <w:rFonts w:ascii="Aptos" w:hAnsi="Aptos"/>
                <w:color w:val="1E252B"/>
                <w:sz w:val="13"/>
              </w:rPr>
              <w:t>Speak from discovery through production.</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MongoDB deep product expertise</w:t>
            </w:r>
          </w:p>
        </w:tc>
        <w:tc>
          <w:tcPr>
            <w:tcW w:type="dxa" w:w="936"/>
            <w:vAlign w:val="top"/>
            <w:tcMar>
              <w:top w:w="60" w:type="dxa"/>
              <w:start w:w="70" w:type="dxa"/>
              <w:bottom w:w="60" w:type="dxa"/>
              <w:end w:w="70" w:type="dxa"/>
            </w:tcMar>
          </w:tcPr>
          <w:p>
            <w:pPr>
              <w:spacing w:after="0" w:line="240" w:lineRule="auto"/>
            </w:pPr>
            <w:r>
              <w:rPr>
                <w:rFonts w:ascii="Aptos" w:hAnsi="Aptos"/>
                <w:color w:val="1E252B"/>
                <w:sz w:val="13"/>
              </w:rPr>
              <w:t>Developing</w:t>
            </w:r>
          </w:p>
        </w:tc>
        <w:tc>
          <w:tcPr>
            <w:tcW w:type="dxa" w:w="3024"/>
            <w:vAlign w:val="top"/>
            <w:tcMar>
              <w:top w:w="60" w:type="dxa"/>
              <w:start w:w="70" w:type="dxa"/>
              <w:bottom w:w="60" w:type="dxa"/>
              <w:end w:w="70" w:type="dxa"/>
            </w:tcMar>
          </w:tcPr>
          <w:p>
            <w:pPr>
              <w:spacing w:after="0" w:line="240" w:lineRule="auto"/>
            </w:pPr>
            <w:r>
              <w:rPr>
                <w:rFonts w:ascii="Aptos" w:hAnsi="Aptos"/>
                <w:color w:val="1E252B"/>
                <w:sz w:val="13"/>
              </w:rPr>
              <w:t>Production MongoDB exposure at Brevan; broad NoSQL/database background</w:t>
            </w:r>
          </w:p>
        </w:tc>
        <w:tc>
          <w:tcPr>
            <w:tcW w:type="dxa" w:w="4464"/>
            <w:vAlign w:val="top"/>
            <w:tcMar>
              <w:top w:w="60" w:type="dxa"/>
              <w:start w:w="70" w:type="dxa"/>
              <w:bottom w:w="60" w:type="dxa"/>
              <w:end w:w="70" w:type="dxa"/>
            </w:tcMar>
          </w:tcPr>
          <w:p>
            <w:pPr>
              <w:spacing w:after="0" w:line="240" w:lineRule="auto"/>
            </w:pPr>
            <w:r>
              <w:rPr>
                <w:rFonts w:ascii="Aptos" w:hAnsi="Aptos"/>
                <w:color w:val="1E252B"/>
                <w:sz w:val="13"/>
              </w:rPr>
              <w:t>Do not bluff. Show learning velocity and core concepts.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Training / presentation</w:t>
            </w:r>
          </w:p>
        </w:tc>
        <w:tc>
          <w:tcPr>
            <w:tcW w:type="dxa" w:w="936"/>
            <w:vAlign w:val="top"/>
            <w:tcMar>
              <w:top w:w="60" w:type="dxa"/>
              <w:start w:w="70" w:type="dxa"/>
              <w:bottom w:w="60" w:type="dxa"/>
              <w:end w:w="70" w:type="dxa"/>
            </w:tcMar>
          </w:tcPr>
          <w:p>
            <w:pPr>
              <w:spacing w:after="0" w:line="240" w:lineRule="auto"/>
            </w:pPr>
            <w:r>
              <w:rPr>
                <w:rFonts w:ascii="Aptos" w:hAnsi="Aptos"/>
                <w:color w:val="1E252B"/>
                <w:sz w:val="13"/>
              </w:rPr>
              <w:t>Strong transferable</w:t>
            </w:r>
          </w:p>
        </w:tc>
        <w:tc>
          <w:tcPr>
            <w:tcW w:type="dxa" w:w="3024"/>
            <w:vAlign w:val="top"/>
            <w:tcMar>
              <w:top w:w="60" w:type="dxa"/>
              <w:start w:w="70" w:type="dxa"/>
              <w:bottom w:w="60" w:type="dxa"/>
              <w:end w:w="70" w:type="dxa"/>
            </w:tcMar>
          </w:tcPr>
          <w:p>
            <w:pPr>
              <w:spacing w:after="0" w:line="240" w:lineRule="auto"/>
            </w:pPr>
            <w:r>
              <w:rPr>
                <w:rFonts w:ascii="Aptos" w:hAnsi="Aptos"/>
                <w:color w:val="1E252B"/>
                <w:sz w:val="13"/>
              </w:rPr>
              <w:t>ESA user training; team mentoring; stakeholder communication</w:t>
            </w:r>
          </w:p>
        </w:tc>
        <w:tc>
          <w:tcPr>
            <w:tcW w:type="dxa" w:w="4464"/>
            <w:vAlign w:val="top"/>
            <w:tcMar>
              <w:top w:w="60" w:type="dxa"/>
              <w:start w:w="70" w:type="dxa"/>
              <w:bottom w:w="60" w:type="dxa"/>
              <w:end w:w="70" w:type="dxa"/>
            </w:tcMar>
          </w:tcPr>
          <w:p>
            <w:pPr>
              <w:spacing w:after="0" w:line="240" w:lineRule="auto"/>
            </w:pPr>
            <w:r>
              <w:rPr>
                <w:rFonts w:ascii="Aptos" w:hAnsi="Aptos"/>
                <w:color w:val="1E252B"/>
                <w:sz w:val="13"/>
              </w:rPr>
              <w:t>Mention ability to adapt depth to audience.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Problem solving / diagnostics</w:t>
            </w:r>
          </w:p>
        </w:tc>
        <w:tc>
          <w:tcPr>
            <w:tcW w:type="dxa" w:w="936"/>
            <w:vAlign w:val="top"/>
            <w:tcMar>
              <w:top w:w="60" w:type="dxa"/>
              <w:start w:w="70" w:type="dxa"/>
              <w:bottom w:w="60" w:type="dxa"/>
              <w:end w:w="70" w:type="dxa"/>
            </w:tcMar>
          </w:tcPr>
          <w:p>
            <w:pPr>
              <w:spacing w:after="0" w:line="240" w:lineRule="auto"/>
            </w:pPr>
            <w:r>
              <w:rPr>
                <w:rFonts w:ascii="Aptos" w:hAnsi="Aptos"/>
                <w:color w:val="1E252B"/>
                <w:sz w:val="13"/>
              </w:rPr>
              <w:t>Excellent</w:t>
            </w:r>
          </w:p>
        </w:tc>
        <w:tc>
          <w:tcPr>
            <w:tcW w:type="dxa" w:w="3024"/>
            <w:vAlign w:val="top"/>
            <w:tcMar>
              <w:top w:w="60" w:type="dxa"/>
              <w:start w:w="70" w:type="dxa"/>
              <w:bottom w:w="60" w:type="dxa"/>
              <w:end w:w="70" w:type="dxa"/>
            </w:tcMar>
          </w:tcPr>
          <w:p>
            <w:pPr>
              <w:spacing w:after="0" w:line="240" w:lineRule="auto"/>
            </w:pPr>
            <w:r>
              <w:rPr>
                <w:rFonts w:ascii="Aptos" w:hAnsi="Aptos"/>
                <w:color w:val="1E252B"/>
                <w:sz w:val="13"/>
              </w:rPr>
              <w:t>Production support across trading/data platforms; migrations; security upgrades</w:t>
            </w:r>
          </w:p>
        </w:tc>
        <w:tc>
          <w:tcPr>
            <w:tcW w:type="dxa" w:w="4464"/>
            <w:vAlign w:val="top"/>
            <w:tcMar>
              <w:top w:w="60" w:type="dxa"/>
              <w:start w:w="70" w:type="dxa"/>
              <w:bottom w:w="60" w:type="dxa"/>
              <w:end w:w="70" w:type="dxa"/>
            </w:tcMar>
          </w:tcPr>
          <w:p>
            <w:pPr>
              <w:spacing w:after="0" w:line="240" w:lineRule="auto"/>
            </w:pPr>
            <w:r>
              <w:rPr>
                <w:rFonts w:ascii="Aptos" w:hAnsi="Aptos"/>
                <w:color w:val="1E252B"/>
                <w:sz w:val="13"/>
              </w:rPr>
              <w:t>Use systematic RCA framework.</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Trusted advisor</w:t>
            </w:r>
          </w:p>
        </w:tc>
        <w:tc>
          <w:tcPr>
            <w:tcW w:type="dxa" w:w="936"/>
            <w:vAlign w:val="top"/>
            <w:tcMar>
              <w:top w:w="60" w:type="dxa"/>
              <w:start w:w="70" w:type="dxa"/>
              <w:bottom w:w="60" w:type="dxa"/>
              <w:end w:w="70" w:type="dxa"/>
            </w:tcMar>
          </w:tcPr>
          <w:p>
            <w:pPr>
              <w:spacing w:after="0" w:line="240" w:lineRule="auto"/>
            </w:pPr>
            <w:r>
              <w:rPr>
                <w:rFonts w:ascii="Aptos" w:hAnsi="Aptos"/>
                <w:color w:val="1E252B"/>
                <w:sz w:val="13"/>
              </w:rPr>
              <w:t>Strong</w:t>
            </w:r>
          </w:p>
        </w:tc>
        <w:tc>
          <w:tcPr>
            <w:tcW w:type="dxa" w:w="3024"/>
            <w:vAlign w:val="top"/>
            <w:tcMar>
              <w:top w:w="60" w:type="dxa"/>
              <w:start w:w="70" w:type="dxa"/>
              <w:bottom w:w="60" w:type="dxa"/>
              <w:end w:w="70" w:type="dxa"/>
            </w:tcMar>
          </w:tcPr>
          <w:p>
            <w:pPr>
              <w:spacing w:after="0" w:line="240" w:lineRule="auto"/>
            </w:pPr>
            <w:r>
              <w:rPr>
                <w:rFonts w:ascii="Aptos" w:hAnsi="Aptos"/>
                <w:color w:val="1E252B"/>
                <w:sz w:val="13"/>
              </w:rPr>
              <w:t>Technical SME roles and senior stakeholder engagement</w:t>
            </w:r>
          </w:p>
        </w:tc>
        <w:tc>
          <w:tcPr>
            <w:tcW w:type="dxa" w:w="4464"/>
            <w:vAlign w:val="top"/>
            <w:tcMar>
              <w:top w:w="60" w:type="dxa"/>
              <w:start w:w="70" w:type="dxa"/>
              <w:bottom w:w="60" w:type="dxa"/>
              <w:end w:w="70" w:type="dxa"/>
            </w:tcMar>
          </w:tcPr>
          <w:p>
            <w:pPr>
              <w:spacing w:after="0" w:line="240" w:lineRule="auto"/>
            </w:pPr>
            <w:r>
              <w:rPr>
                <w:rFonts w:ascii="Aptos" w:hAnsi="Aptos"/>
                <w:color w:val="1E252B"/>
                <w:sz w:val="13"/>
              </w:rPr>
              <w:t>Focus on options + recommendation + evidence.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Billable consulting mindset</w:t>
            </w:r>
          </w:p>
        </w:tc>
        <w:tc>
          <w:tcPr>
            <w:tcW w:type="dxa" w:w="936"/>
            <w:vAlign w:val="top"/>
            <w:tcMar>
              <w:top w:w="60" w:type="dxa"/>
              <w:start w:w="70" w:type="dxa"/>
              <w:bottom w:w="60" w:type="dxa"/>
              <w:end w:w="70" w:type="dxa"/>
            </w:tcMar>
          </w:tcPr>
          <w:p>
            <w:pPr>
              <w:spacing w:after="0" w:line="240" w:lineRule="auto"/>
            </w:pPr>
            <w:r>
              <w:rPr>
                <w:rFonts w:ascii="Aptos" w:hAnsi="Aptos"/>
                <w:color w:val="1E252B"/>
                <w:sz w:val="13"/>
              </w:rPr>
              <w:t>Direct prior exposure</w:t>
            </w:r>
          </w:p>
        </w:tc>
        <w:tc>
          <w:tcPr>
            <w:tcW w:type="dxa" w:w="3024"/>
            <w:vAlign w:val="top"/>
            <w:tcMar>
              <w:top w:w="60" w:type="dxa"/>
              <w:start w:w="70" w:type="dxa"/>
              <w:bottom w:w="60" w:type="dxa"/>
              <w:end w:w="70" w:type="dxa"/>
            </w:tcMar>
          </w:tcPr>
          <w:p>
            <w:pPr>
              <w:spacing w:after="0" w:line="240" w:lineRule="auto"/>
            </w:pPr>
            <w:r>
              <w:rPr>
                <w:rFonts w:ascii="Aptos" w:hAnsi="Aptos"/>
                <w:color w:val="1E252B"/>
                <w:sz w:val="13"/>
              </w:rPr>
              <w:t>GoldenSource Professional Services contract/client delivery</w:t>
            </w:r>
          </w:p>
        </w:tc>
        <w:tc>
          <w:tcPr>
            <w:tcW w:type="dxa" w:w="4464"/>
            <w:vAlign w:val="top"/>
            <w:tcMar>
              <w:top w:w="60" w:type="dxa"/>
              <w:start w:w="70" w:type="dxa"/>
              <w:bottom w:w="60" w:type="dxa"/>
              <w:end w:w="70" w:type="dxa"/>
            </w:tcMar>
          </w:tcPr>
          <w:p>
            <w:pPr>
              <w:spacing w:after="0" w:line="240" w:lineRule="auto"/>
            </w:pPr>
            <w:r>
              <w:rPr>
                <w:rFonts w:ascii="Aptos" w:hAnsi="Aptos"/>
                <w:color w:val="1E252B"/>
                <w:sz w:val="13"/>
              </w:rPr>
              <w:t>Show scope/time/deliverable discipline.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Travel / changing customers</w:t>
            </w:r>
          </w:p>
        </w:tc>
        <w:tc>
          <w:tcPr>
            <w:tcW w:type="dxa" w:w="936"/>
            <w:vAlign w:val="top"/>
            <w:tcMar>
              <w:top w:w="60" w:type="dxa"/>
              <w:start w:w="70" w:type="dxa"/>
              <w:bottom w:w="60" w:type="dxa"/>
              <w:end w:w="70" w:type="dxa"/>
            </w:tcMar>
          </w:tcPr>
          <w:p>
            <w:pPr>
              <w:spacing w:after="0" w:line="240" w:lineRule="auto"/>
            </w:pPr>
            <w:r>
              <w:rPr>
                <w:rFonts w:ascii="Aptos" w:hAnsi="Aptos"/>
                <w:color w:val="1E252B"/>
                <w:sz w:val="13"/>
              </w:rPr>
              <w:t>Likely fit</w:t>
            </w:r>
          </w:p>
        </w:tc>
        <w:tc>
          <w:tcPr>
            <w:tcW w:type="dxa" w:w="3024"/>
            <w:vAlign w:val="top"/>
            <w:tcMar>
              <w:top w:w="60" w:type="dxa"/>
              <w:start w:w="70" w:type="dxa"/>
              <w:bottom w:w="60" w:type="dxa"/>
              <w:end w:w="70" w:type="dxa"/>
            </w:tcMar>
          </w:tcPr>
          <w:p>
            <w:pPr>
              <w:spacing w:after="0" w:line="240" w:lineRule="auto"/>
            </w:pPr>
            <w:r>
              <w:rPr>
                <w:rFonts w:ascii="Aptos" w:hAnsi="Aptos"/>
                <w:color w:val="1E252B"/>
                <w:sz w:val="13"/>
              </w:rPr>
              <w:t>Multiple contracts/clients and industries</w:t>
            </w:r>
          </w:p>
        </w:tc>
        <w:tc>
          <w:tcPr>
            <w:tcW w:type="dxa" w:w="4464"/>
            <w:vAlign w:val="top"/>
            <w:tcMar>
              <w:top w:w="60" w:type="dxa"/>
              <w:start w:w="70" w:type="dxa"/>
              <w:bottom w:w="60" w:type="dxa"/>
              <w:end w:w="70" w:type="dxa"/>
            </w:tcMar>
          </w:tcPr>
          <w:p>
            <w:pPr>
              <w:spacing w:after="0" w:line="240" w:lineRule="auto"/>
            </w:pPr>
            <w:r>
              <w:rPr>
                <w:rFonts w:ascii="Aptos" w:hAnsi="Aptos"/>
                <w:color w:val="1E252B"/>
                <w:sz w:val="13"/>
              </w:rPr>
              <w:t>If asked, be clear about reasonable customer travel.</w:t>
            </w:r>
          </w:p>
        </w:tc>
      </w:tr>
    </w:tbl>
    <w:p>
      <w:pPr>
        <w:spacing w:after="10"/>
      </w:pPr>
    </w:p>
    <w:p>
      <w:pPr>
        <w:pStyle w:val="Heading1"/>
      </w:pPr>
      <w:r>
        <w:t>5. What MongoDB Officially Says About This Interview Stage</w:t>
      </w:r>
    </w:p>
    <w:p>
      <w:pPr/>
      <w:r>
        <w:t>MongoDB’s own Consulting Engineer interview guide describes the Hiring Manager stage as a discussion about what you want from your next job, what you want in a company and manager, why you are an excellent fit, and examples from your past that are relevant. The manager should also give you more context on day-to-day expectations, team culture and Professional Services.</w:t>
      </w:r>
    </w:p>
    <w:p>
      <w:pPr/>
      <w:r>
        <w:t>The current Great Britain / London Senior Consulting Engineer role says success means becoming a field expert in “everything MongoDB”, communicating complex technical proposals simply and convincingly, becoming a trusted advisor, ensuring customer success, maintaining billable utilization, feeding field experience back to Product/Engineering and communicating the product roadmap to clients.</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WHAT THIS MEANS FOR TOMORROW</w:t>
            </w:r>
          </w:p>
          <w:p>
            <w:pPr>
              <w:spacing w:after="0" w:line="240" w:lineRule="auto"/>
            </w:pPr>
            <w:r>
              <w:rPr>
                <w:color w:val="1E252B"/>
                <w:sz w:val="16"/>
              </w:rPr>
              <w:t>Jay is likely asking himself: “Would I trust this person with one of my customers?” Your answers should combine technical judgment with communication, ownership and curiosity.</w:t>
            </w:r>
          </w:p>
        </w:tc>
      </w:tr>
    </w:tbl>
    <w:p>
      <w:pPr>
        <w:spacing w:after="10"/>
      </w:pPr>
    </w:p>
    <w:p>
      <w:pPr>
        <w:pStyle w:val="Heading1"/>
      </w:pPr>
      <w:r>
        <w:t>6. Interviewer Read - Jay Lad</w:t>
      </w:r>
    </w:p>
    <w:p>
      <w:pPr/>
      <w:r>
        <w:t>The invitation identifies Jay Lad as Director, Professional Services. His public profile also places him in MongoDB Professional Services. A recent public post around MongoDB.local London mentioned his involvement in an interactive Query Building Challenge. That does not prove the interview format, but it is a useful signal that he values practical technical reasoning rather than buzzwords.</w:t>
      </w:r>
    </w:p>
    <w:p>
      <w:pPr>
        <w:pStyle w:val="Heading2"/>
      </w:pPr>
      <w:r>
        <w:t>How to speak to a Professional Services Director</w:t>
      </w:r>
    </w:p>
    <w:p>
      <w:pPr>
        <w:spacing w:after="28"/>
        <w:ind w:left="259" w:hanging="144"/>
      </w:pPr>
      <w:r>
        <w:rPr>
          <w:b/>
          <w:color w:val="00A35C"/>
        </w:rPr>
        <w:t xml:space="preserve">• </w:t>
      </w:r>
      <w:r>
        <w:t>Start with customer/business outcome, then move into architecture and implementation detail.</w:t>
      </w:r>
    </w:p>
    <w:p>
      <w:pPr>
        <w:spacing w:after="28"/>
        <w:ind w:left="259" w:hanging="144"/>
      </w:pPr>
      <w:r>
        <w:rPr>
          <w:b/>
          <w:color w:val="00A35C"/>
        </w:rPr>
        <w:t xml:space="preserve">• </w:t>
      </w:r>
      <w:r>
        <w:t>Give concise first answers (60-90 seconds) and let Jay choose where to drill down.</w:t>
      </w:r>
    </w:p>
    <w:p>
      <w:pPr>
        <w:spacing w:after="28"/>
        <w:ind w:left="259" w:hanging="144"/>
      </w:pPr>
      <w:r>
        <w:rPr>
          <w:b/>
          <w:color w:val="00A35C"/>
        </w:rPr>
        <w:t xml:space="preserve">• </w:t>
      </w:r>
      <w:r>
        <w:t>Show judgment: there is rarely one universally correct database design.</w:t>
      </w:r>
    </w:p>
    <w:p>
      <w:pPr>
        <w:spacing w:after="28"/>
        <w:ind w:left="259" w:hanging="144"/>
      </w:pPr>
      <w:r>
        <w:rPr>
          <w:b/>
          <w:color w:val="00A35C"/>
        </w:rPr>
        <w:t xml:space="preserve">• </w:t>
      </w:r>
      <w:r>
        <w:t>Say how you would validate a recommendation: workload evidence, query profiles, tests, metrics, migration rehearsals.</w:t>
      </w:r>
    </w:p>
    <w:p>
      <w:pPr>
        <w:spacing w:after="28"/>
        <w:ind w:left="259" w:hanging="144"/>
      </w:pPr>
      <w:r>
        <w:rPr>
          <w:b/>
          <w:color w:val="00A35C"/>
        </w:rPr>
        <w:t xml:space="preserve">• </w:t>
      </w:r>
      <w:r>
        <w:t>Show commercial awareness without sounding salesy: scope, risk, time-to-value, adoption and knowledge transfer matter.</w:t>
      </w:r>
    </w:p>
    <w:p>
      <w:pPr>
        <w:spacing w:after="28"/>
        <w:ind w:left="259" w:hanging="144"/>
      </w:pPr>
      <w:r>
        <w:rPr>
          <w:b/>
          <w:color w:val="00A35C"/>
        </w:rPr>
        <w:t xml:space="preserve">• </w:t>
      </w:r>
      <w:r>
        <w:t>When you do not know, state your current understanding and your validation path.</w:t>
      </w:r>
    </w:p>
    <w:p>
      <w:pPr>
        <w:pStyle w:val="Heading1"/>
      </w:pPr>
      <w:r>
        <w:t>7. Motivation Answers You Need Ready</w:t>
      </w:r>
    </w:p>
    <w:p>
      <w:pPr>
        <w:pStyle w:val="Heading2"/>
      </w:pPr>
      <w:r>
        <w:t>Why MongoDB?</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STRONG ANSWER</w:t>
            </w:r>
          </w:p>
          <w:p>
            <w:pPr>
              <w:spacing w:after="0" w:line="240" w:lineRule="auto"/>
            </w:pPr>
            <w:r>
              <w:rPr>
                <w:color w:val="1E252B"/>
                <w:sz w:val="16"/>
              </w:rPr>
              <w:t>“MongoDB appeals to me for two reasons. Technically, databases sit at the centre of almost every platform I’ve built, and MongoDB is operating at the intersection of application modernisation, cloud and increasingly AI-oriented workloads. Professionally, the Consulting Engineering role is unusually aligned with how I like to work: deep technical problem solving, variety, direct customer impact and continuous learning. I’ve spent much of my career translating between engineers, data teams and business users, and I like the idea of building deep database expertise while helping customers make better architecture decisions.”</w:t>
            </w:r>
          </w:p>
        </w:tc>
      </w:tr>
    </w:tbl>
    <w:p>
      <w:pPr>
        <w:spacing w:after="10"/>
      </w:pPr>
    </w:p>
    <w:p>
      <w:pPr>
        <w:pStyle w:val="Heading2"/>
      </w:pPr>
      <w:r>
        <w:t>Why Consulting Engineering rather than another Data/Quant Engineering job?</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STRONG ANSWER</w:t>
            </w:r>
          </w:p>
          <w:p>
            <w:pPr>
              <w:spacing w:after="0" w:line="240" w:lineRule="auto"/>
            </w:pPr>
            <w:r>
              <w:rPr>
                <w:color w:val="1E252B"/>
                <w:sz w:val="16"/>
              </w:rPr>
              <w:t>“I still want to engineer, but I do not need to own one codebase for years to feel successful. I get a lot of energy from understanding a difficult problem quickly, working across a stack, helping people make the right technical decision and seeing the solution adopted. Earlier in my career I worked directly in Professional Services, and in later roles I’ve continued doing many of the same things internally: architecture, stakeholder discovery, troubleshooting, mentoring and technical leadership. Consulting Engineering brings that combination together explicitly.”</w:t>
            </w:r>
          </w:p>
        </w:tc>
      </w:tr>
    </w:tbl>
    <w:p>
      <w:pPr>
        <w:spacing w:after="10"/>
      </w:pPr>
    </w:p>
    <w:p>
      <w:pPr>
        <w:pStyle w:val="Heading2"/>
      </w:pPr>
      <w:r>
        <w:t>Why are you looking while at Brevan Howard?</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SAFE ANSWER</w:t>
            </w:r>
          </w:p>
          <w:p>
            <w:pPr>
              <w:spacing w:after="0" w:line="240" w:lineRule="auto"/>
            </w:pPr>
            <w:r>
              <w:rPr>
                <w:color w:val="1E252B"/>
                <w:sz w:val="16"/>
              </w:rPr>
              <w:t>“I’m not looking because of a negative experience. I’m being selective about roles that are materially different from what I’m doing today. MongoDB is interesting because it offers a path toward deep platform expertise and customer-facing technical consulting across many industries, rather than another similar front-office engineering role. That is a genuine long-term direction for me.”</w:t>
            </w:r>
          </w:p>
        </w:tc>
      </w:tr>
    </w:tbl>
    <w:p>
      <w:pPr>
        <w:spacing w:after="10"/>
      </w:pPr>
    </w:p>
    <w:p>
      <w:pPr>
        <w:pStyle w:val="Heading2"/>
      </w:pPr>
      <w:r>
        <w:t>What do you want from your next manager?</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STRONG ANSWER</w:t>
            </w:r>
          </w:p>
          <w:p>
            <w:pPr>
              <w:spacing w:after="0" w:line="240" w:lineRule="auto"/>
            </w:pPr>
            <w:r>
              <w:rPr>
                <w:color w:val="1E252B"/>
                <w:sz w:val="16"/>
              </w:rPr>
              <w:t>“Clear context and high standards, candid feedback, and enough trust to let experienced engineers own outcomes. I value managers who are available when escalation or coaching is needed but do not prescribe every technical step. I also want a manager who creates opportunities to stretch technically and with customers, because continuous learning is a major reason this role interests me.”</w:t>
            </w:r>
          </w:p>
        </w:tc>
      </w:tr>
    </w:tbl>
    <w:p>
      <w:pPr>
        <w:spacing w:after="10"/>
      </w:pPr>
    </w:p>
    <w:p>
      <w:pPr>
        <w:pStyle w:val="Heading2"/>
      </w:pPr>
      <w:r>
        <w:t>What do you want from your next job?</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STRONG ANSWER</w:t>
            </w:r>
          </w:p>
          <w:p>
            <w:pPr>
              <w:spacing w:after="0" w:line="240" w:lineRule="auto"/>
            </w:pPr>
            <w:r>
              <w:rPr>
                <w:color w:val="1E252B"/>
                <w:sz w:val="16"/>
              </w:rPr>
              <w:t>“Three things: difficult technical problems, direct customer impact and a steep learning curve. I want to remain hands-on, but I also want my experience to be useful beyond one implementation — through architecture guidance, mentoring, training and reusable best practices.”</w:t>
            </w:r>
          </w:p>
        </w:tc>
      </w:tr>
    </w:tbl>
    <w:p>
      <w:pPr>
        <w:spacing w:after="10"/>
      </w:pPr>
    </w:p>
    <w:p>
      <w:pPr>
        <w:pStyle w:val="Heading1"/>
      </w:pPr>
      <w:r>
        <w:t>8. Story Bank - Seven Examples to Reuse</w:t>
      </w:r>
    </w:p>
    <w:tbl>
      <w:tblPr>
        <w:tblW w:type="auto" w:w="0"/>
        <w:jc w:val="center"/>
        <w:tblLayout w:type="fixed"/>
        <w:tblLook w:firstColumn="1" w:firstRow="1" w:lastColumn="0" w:lastRow="0" w:noHBand="0" w:noVBand="1" w:val="04A0"/>
      </w:tblPr>
      <w:tblGrid>
        <w:gridCol w:w="3552"/>
        <w:gridCol w:w="3552"/>
        <w:gridCol w:w="3552"/>
      </w:tblGrid>
      <w:tr>
        <w:trPr>
          <w:cantSplit/>
          <w:tblHeader w:val="true"/>
          <w:cantSplit/>
        </w:trPr>
        <w:tc>
          <w:tcPr>
            <w:tcW w:type="dxa" w:w="2232"/>
            <w:vAlign w:val="top"/>
            <w:tcMar>
              <w:top w:w="60" w:type="dxa"/>
              <w:start w:w="70" w:type="dxa"/>
              <w:bottom w:w="60" w:type="dxa"/>
              <w:end w:w="70" w:type="dxa"/>
            </w:tcMar>
            <w:shd w:fill="00A35C"/>
          </w:tcPr>
          <w:p>
            <w:pPr>
              <w:spacing w:after="0" w:line="240" w:lineRule="auto"/>
            </w:pPr>
            <w:r>
              <w:rPr>
                <w:rFonts w:ascii="Aptos" w:hAnsi="Aptos"/>
                <w:b/>
                <w:color w:val="FFFFFF"/>
                <w:sz w:val="13"/>
              </w:rPr>
              <w:t>Story</w:t>
            </w:r>
          </w:p>
        </w:tc>
        <w:tc>
          <w:tcPr>
            <w:tcW w:type="dxa" w:w="4680"/>
            <w:vAlign w:val="top"/>
            <w:tcMar>
              <w:top w:w="60" w:type="dxa"/>
              <w:start w:w="70" w:type="dxa"/>
              <w:bottom w:w="60" w:type="dxa"/>
              <w:end w:w="70" w:type="dxa"/>
            </w:tcMar>
            <w:shd w:fill="00A35C"/>
          </w:tcPr>
          <w:p>
            <w:pPr>
              <w:spacing w:after="0" w:line="240" w:lineRule="auto"/>
            </w:pPr>
            <w:r>
              <w:rPr>
                <w:rFonts w:ascii="Aptos" w:hAnsi="Aptos"/>
                <w:b/>
                <w:color w:val="FFFFFF"/>
                <w:sz w:val="13"/>
              </w:rPr>
              <w:t>Situation / evidence</w:t>
            </w:r>
          </w:p>
        </w:tc>
        <w:tc>
          <w:tcPr>
            <w:tcW w:type="dxa" w:w="3744"/>
            <w:vAlign w:val="top"/>
            <w:tcMar>
              <w:top w:w="60" w:type="dxa"/>
              <w:start w:w="70" w:type="dxa"/>
              <w:bottom w:w="60" w:type="dxa"/>
              <w:end w:w="70" w:type="dxa"/>
            </w:tcMar>
            <w:shd w:fill="00A35C"/>
          </w:tcPr>
          <w:p>
            <w:pPr>
              <w:spacing w:after="0" w:line="240" w:lineRule="auto"/>
            </w:pPr>
            <w:r>
              <w:rPr>
                <w:rFonts w:ascii="Aptos" w:hAnsi="Aptos"/>
                <w:b/>
                <w:color w:val="FFFFFF"/>
                <w:sz w:val="13"/>
              </w:rPr>
              <w:t>Use for</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GoldenSource - client cloud migration</w:t>
            </w:r>
          </w:p>
        </w:tc>
        <w:tc>
          <w:tcPr>
            <w:tcW w:type="dxa" w:w="4680"/>
            <w:vAlign w:val="top"/>
            <w:tcMar>
              <w:top w:w="60" w:type="dxa"/>
              <w:start w:w="70" w:type="dxa"/>
              <w:bottom w:w="60" w:type="dxa"/>
              <w:end w:w="70" w:type="dxa"/>
            </w:tcMar>
          </w:tcPr>
          <w:p>
            <w:pPr>
              <w:spacing w:after="0" w:line="240" w:lineRule="auto"/>
            </w:pPr>
            <w:r>
              <w:rPr>
                <w:rFonts w:ascii="Aptos" w:hAnsi="Aptos"/>
                <w:color w:val="1E252B"/>
                <w:sz w:val="13"/>
              </w:rPr>
              <w:t>Professional Services technical SME/project manager; five-person team; cloud-hosted migration; Security Master/Pricing upgrade; requirements, architecture documentation, stakeholder communication.</w:t>
            </w:r>
          </w:p>
        </w:tc>
        <w:tc>
          <w:tcPr>
            <w:tcW w:type="dxa" w:w="3744"/>
            <w:vAlign w:val="top"/>
            <w:tcMar>
              <w:top w:w="60" w:type="dxa"/>
              <w:start w:w="70" w:type="dxa"/>
              <w:bottom w:w="60" w:type="dxa"/>
              <w:end w:w="70" w:type="dxa"/>
            </w:tcMar>
          </w:tcPr>
          <w:p>
            <w:pPr>
              <w:spacing w:after="0" w:line="240" w:lineRule="auto"/>
            </w:pPr>
            <w:r>
              <w:rPr>
                <w:rFonts w:ascii="Aptos" w:hAnsi="Aptos"/>
                <w:color w:val="1E252B"/>
                <w:sz w:val="13"/>
              </w:rPr>
              <w:t>Consulting, difficult stakeholder, scope, trusted advisor, migration, customer ownership.</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illio - build data function/platform</w:t>
            </w:r>
          </w:p>
        </w:tc>
        <w:tc>
          <w:tcPr>
            <w:tcW w:type="dxa" w:w="4680"/>
            <w:vAlign w:val="top"/>
            <w:tcMar>
              <w:top w:w="60" w:type="dxa"/>
              <w:start w:w="70" w:type="dxa"/>
              <w:bottom w:w="60" w:type="dxa"/>
              <w:end w:w="70" w:type="dxa"/>
            </w:tcMar>
          </w:tcPr>
          <w:p>
            <w:pPr>
              <w:spacing w:after="0" w:line="240" w:lineRule="auto"/>
            </w:pPr>
            <w:r>
              <w:rPr>
                <w:rFonts w:ascii="Aptos" w:hAnsi="Aptos"/>
                <w:color w:val="1E252B"/>
                <w:sz w:val="13"/>
              </w:rPr>
              <w:t>Designed AWS ETL/analytics platform; S3, Glue, Airflow, Lambda/API Gateway, PostgreSQL, Kubernetes, CDK; hired/mentored engineer + data scientist.</w:t>
            </w:r>
          </w:p>
        </w:tc>
        <w:tc>
          <w:tcPr>
            <w:tcW w:type="dxa" w:w="3744"/>
            <w:vAlign w:val="top"/>
            <w:tcMar>
              <w:top w:w="60" w:type="dxa"/>
              <w:start w:w="70" w:type="dxa"/>
              <w:bottom w:w="60" w:type="dxa"/>
              <w:end w:w="70" w:type="dxa"/>
            </w:tcMar>
          </w:tcPr>
          <w:p>
            <w:pPr>
              <w:spacing w:after="0" w:line="240" w:lineRule="auto"/>
            </w:pPr>
            <w:r>
              <w:rPr>
                <w:rFonts w:ascii="Aptos" w:hAnsi="Aptos"/>
                <w:color w:val="1E252B"/>
                <w:sz w:val="13"/>
              </w:rPr>
              <w:t>Think Big, architecture, technical curiosity, ownership, mentoring.</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Pemberton - replace ~20 Excel models</w:t>
            </w:r>
          </w:p>
        </w:tc>
        <w:tc>
          <w:tcPr>
            <w:tcW w:type="dxa" w:w="4680"/>
            <w:vAlign w:val="top"/>
            <w:tcMar>
              <w:top w:w="60" w:type="dxa"/>
              <w:start w:w="70" w:type="dxa"/>
              <w:bottom w:w="60" w:type="dxa"/>
              <w:end w:w="70" w:type="dxa"/>
            </w:tcMar>
          </w:tcPr>
          <w:p>
            <w:pPr>
              <w:spacing w:after="0" w:line="240" w:lineRule="auto"/>
            </w:pPr>
            <w:r>
              <w:rPr>
                <w:rFonts w:ascii="Aptos" w:hAnsi="Aptos"/>
                <w:color w:val="1E252B"/>
                <w:sz w:val="13"/>
              </w:rPr>
              <w:t>Architected FastAPI + SQL Server + Dash fund platform; translated business modelling workflows into governed software.</w:t>
            </w:r>
          </w:p>
        </w:tc>
        <w:tc>
          <w:tcPr>
            <w:tcW w:type="dxa" w:w="3744"/>
            <w:vAlign w:val="top"/>
            <w:tcMar>
              <w:top w:w="60" w:type="dxa"/>
              <w:start w:w="70" w:type="dxa"/>
              <w:bottom w:w="60" w:type="dxa"/>
              <w:end w:w="70" w:type="dxa"/>
            </w:tcMar>
          </w:tcPr>
          <w:p>
            <w:pPr>
              <w:spacing w:after="0" w:line="240" w:lineRule="auto"/>
            </w:pPr>
            <w:r>
              <w:rPr>
                <w:rFonts w:ascii="Aptos" w:hAnsi="Aptos"/>
                <w:color w:val="1E252B"/>
                <w:sz w:val="13"/>
              </w:rPr>
              <w:t>Make it Matter, requirements, application modernisation, stakeholder empathy.</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BlackRock - lead + cross-team delivery</w:t>
            </w:r>
          </w:p>
        </w:tc>
        <w:tc>
          <w:tcPr>
            <w:tcW w:type="dxa" w:w="4680"/>
            <w:vAlign w:val="top"/>
            <w:tcMar>
              <w:top w:w="60" w:type="dxa"/>
              <w:start w:w="70" w:type="dxa"/>
              <w:bottom w:w="60" w:type="dxa"/>
              <w:end w:w="70" w:type="dxa"/>
            </w:tcMar>
          </w:tcPr>
          <w:p>
            <w:pPr>
              <w:spacing w:after="0" w:line="240" w:lineRule="auto"/>
            </w:pPr>
            <w:r>
              <w:rPr>
                <w:rFonts w:ascii="Aptos" w:hAnsi="Aptos"/>
                <w:color w:val="1E252B"/>
                <w:sz w:val="13"/>
              </w:rPr>
              <w:t>Led 3 senior quant developers; multi-asset model implementations; Snowflake integration; security upgrade across six applications.</w:t>
            </w:r>
          </w:p>
        </w:tc>
        <w:tc>
          <w:tcPr>
            <w:tcW w:type="dxa" w:w="3744"/>
            <w:vAlign w:val="top"/>
            <w:tcMar>
              <w:top w:w="60" w:type="dxa"/>
              <w:start w:w="70" w:type="dxa"/>
              <w:bottom w:w="60" w:type="dxa"/>
              <w:end w:w="70" w:type="dxa"/>
            </w:tcMar>
          </w:tcPr>
          <w:p>
            <w:pPr>
              <w:spacing w:after="0" w:line="240" w:lineRule="auto"/>
            </w:pPr>
            <w:r>
              <w:rPr>
                <w:rFonts w:ascii="Aptos" w:hAnsi="Aptos"/>
                <w:color w:val="1E252B"/>
                <w:sz w:val="13"/>
              </w:rPr>
              <w:t>Leadership, collaboration, challenge/feedback, scale, security.</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EDF Trading - production data reliability</w:t>
            </w:r>
          </w:p>
        </w:tc>
        <w:tc>
          <w:tcPr>
            <w:tcW w:type="dxa" w:w="4680"/>
            <w:vAlign w:val="top"/>
            <w:tcMar>
              <w:top w:w="60" w:type="dxa"/>
              <w:start w:w="70" w:type="dxa"/>
              <w:bottom w:w="60" w:type="dxa"/>
              <w:end w:w="70" w:type="dxa"/>
            </w:tcMar>
          </w:tcPr>
          <w:p>
            <w:pPr>
              <w:spacing w:after="0" w:line="240" w:lineRule="auto"/>
            </w:pPr>
            <w:r>
              <w:rPr>
                <w:rFonts w:ascii="Aptos" w:hAnsi="Aptos"/>
                <w:color w:val="1E252B"/>
                <w:sz w:val="13"/>
              </w:rPr>
              <w:t>Python/SQL/Dagster pipelines for Gas/Power/LNG; time-series data and operational support.</w:t>
            </w:r>
          </w:p>
        </w:tc>
        <w:tc>
          <w:tcPr>
            <w:tcW w:type="dxa" w:w="3744"/>
            <w:vAlign w:val="top"/>
            <w:tcMar>
              <w:top w:w="60" w:type="dxa"/>
              <w:start w:w="70" w:type="dxa"/>
              <w:bottom w:w="60" w:type="dxa"/>
              <w:end w:w="70" w:type="dxa"/>
            </w:tcMar>
          </w:tcPr>
          <w:p>
            <w:pPr>
              <w:spacing w:after="0" w:line="240" w:lineRule="auto"/>
            </w:pPr>
            <w:r>
              <w:rPr>
                <w:rFonts w:ascii="Aptos" w:hAnsi="Aptos"/>
                <w:color w:val="1E252B"/>
                <w:sz w:val="13"/>
              </w:rPr>
              <w:t>Incident/RCA, ownership, ambiguity, orchestration, data correctness.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ESA - software + user training</w:t>
            </w:r>
          </w:p>
        </w:tc>
        <w:tc>
          <w:tcPr>
            <w:tcW w:type="dxa" w:w="4680"/>
            <w:vAlign w:val="top"/>
            <w:tcMar>
              <w:top w:w="60" w:type="dxa"/>
              <w:start w:w="70" w:type="dxa"/>
              <w:bottom w:w="60" w:type="dxa"/>
              <w:end w:w="70" w:type="dxa"/>
            </w:tcMar>
          </w:tcPr>
          <w:p>
            <w:pPr>
              <w:spacing w:after="0" w:line="240" w:lineRule="auto"/>
            </w:pPr>
            <w:r>
              <w:rPr>
                <w:rFonts w:ascii="Aptos" w:hAnsi="Aptos"/>
                <w:color w:val="1E252B"/>
                <w:sz w:val="13"/>
              </w:rPr>
              <w:t>Java/Spring Boot + React/JSF application; cloud environment; user training and issue resolution; common-environment migration.</w:t>
            </w:r>
          </w:p>
        </w:tc>
        <w:tc>
          <w:tcPr>
            <w:tcW w:type="dxa" w:w="3744"/>
            <w:vAlign w:val="top"/>
            <w:tcMar>
              <w:top w:w="60" w:type="dxa"/>
              <w:start w:w="70" w:type="dxa"/>
              <w:bottom w:w="60" w:type="dxa"/>
              <w:end w:w="70" w:type="dxa"/>
            </w:tcMar>
          </w:tcPr>
          <w:p>
            <w:pPr>
              <w:spacing w:after="0" w:line="240" w:lineRule="auto"/>
            </w:pPr>
            <w:r>
              <w:rPr>
                <w:rFonts w:ascii="Aptos" w:hAnsi="Aptos"/>
                <w:color w:val="1E252B"/>
                <w:sz w:val="13"/>
              </w:rPr>
              <w:t>Teaching, varied audiences, cross-industry adaptability.</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3"/>
              </w:rPr>
              <w:t>Rapid Addition / ICAP - low latency</w:t>
            </w:r>
          </w:p>
        </w:tc>
        <w:tc>
          <w:tcPr>
            <w:tcW w:type="dxa" w:w="4680"/>
            <w:vAlign w:val="top"/>
            <w:tcMar>
              <w:top w:w="60" w:type="dxa"/>
              <w:start w:w="70" w:type="dxa"/>
              <w:bottom w:w="60" w:type="dxa"/>
              <w:end w:w="70" w:type="dxa"/>
            </w:tcMar>
          </w:tcPr>
          <w:p>
            <w:pPr>
              <w:spacing w:after="0" w:line="240" w:lineRule="auto"/>
            </w:pPr>
            <w:r>
              <w:rPr>
                <w:rFonts w:ascii="Aptos" w:hAnsi="Aptos"/>
                <w:color w:val="1E252B"/>
                <w:sz w:val="13"/>
              </w:rPr>
              <w:t>Java/C# FIX engines; high-frequency market data connectors and CEP engines.</w:t>
            </w:r>
          </w:p>
        </w:tc>
        <w:tc>
          <w:tcPr>
            <w:tcW w:type="dxa" w:w="3744"/>
            <w:vAlign w:val="top"/>
            <w:tcMar>
              <w:top w:w="60" w:type="dxa"/>
              <w:start w:w="70" w:type="dxa"/>
              <w:bottom w:w="60" w:type="dxa"/>
              <w:end w:w="70" w:type="dxa"/>
            </w:tcMar>
          </w:tcPr>
          <w:p>
            <w:pPr>
              <w:spacing w:after="0" w:line="240" w:lineRule="auto"/>
            </w:pPr>
            <w:r>
              <w:rPr>
                <w:rFonts w:ascii="Aptos" w:hAnsi="Aptos"/>
                <w:color w:val="1E252B"/>
                <w:sz w:val="13"/>
              </w:rPr>
              <w:t>Systems thinking, latency, networking/streaming, technical depth.</w:t>
            </w:r>
          </w:p>
        </w:tc>
      </w:tr>
    </w:tbl>
    <w:p>
      <w:pPr>
        <w:spacing w:after="10"/>
      </w:pPr>
    </w:p>
    <w:p>
      <w:pPr>
        <w:pStyle w:val="SmallNote"/>
      </w:pPr>
      <w:r>
        <w:t>For behavioural answers, use Situation -&gt; Task -&gt; Action -&gt; Result -&gt; Learning. Keep the result factual. If you do not have a measured number, describe the operational/business outcome rather than inventing one.</w:t>
      </w:r>
    </w:p>
    <w:p>
      <w:pPr>
        <w:pStyle w:val="Heading1"/>
      </w:pPr>
      <w:r>
        <w:t>9. Consulting Skills - The Framework to Use</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CONSULTING LOOP</w:t>
            </w:r>
          </w:p>
          <w:p>
            <w:pPr>
              <w:spacing w:after="0" w:line="240" w:lineRule="auto"/>
            </w:pPr>
            <w:r>
              <w:rPr>
                <w:color w:val="1E252B"/>
                <w:sz w:val="16"/>
              </w:rPr>
              <w:t>DISCOVER -&gt; DEFINE -&gt; DIAGNOSE -&gt; OPTIONS -&gt; RECOMMEND -&gt; IMPLEMENT -&gt; VALIDATE -&gt; TRANSFER KNOWLEDGE -&gt; DOCUMENT / FOLLOW UP</w:t>
            </w:r>
          </w:p>
        </w:tc>
      </w:tr>
    </w:tbl>
    <w:p>
      <w:pPr>
        <w:spacing w:after="10"/>
      </w:pPr>
    </w:p>
    <w:tbl>
      <w:tblPr>
        <w:tblW w:type="auto" w:w="0"/>
        <w:jc w:val="center"/>
        <w:tblLayout w:type="fixed"/>
        <w:tblLook w:firstColumn="1" w:firstRow="1" w:lastColumn="0" w:lastRow="0" w:noHBand="0" w:noVBand="1" w:val="04A0"/>
      </w:tblPr>
      <w:tblGrid>
        <w:gridCol w:w="5328"/>
        <w:gridCol w:w="5328"/>
      </w:tblGrid>
      <w:tr>
        <w:trPr>
          <w:cantSplit/>
          <w:tblHeader w:val="true"/>
          <w:cantSplit/>
        </w:trPr>
        <w:tc>
          <w:tcPr>
            <w:tcW w:type="dxa" w:w="1728"/>
            <w:vAlign w:val="top"/>
            <w:tcMar>
              <w:top w:w="60" w:type="dxa"/>
              <w:start w:w="70" w:type="dxa"/>
              <w:bottom w:w="60" w:type="dxa"/>
              <w:end w:w="70" w:type="dxa"/>
            </w:tcMar>
            <w:shd w:fill="00A35C"/>
          </w:tcPr>
          <w:p>
            <w:pPr>
              <w:spacing w:after="0" w:line="240" w:lineRule="auto"/>
            </w:pPr>
            <w:r>
              <w:rPr>
                <w:rFonts w:ascii="Aptos" w:hAnsi="Aptos"/>
                <w:b/>
                <w:color w:val="FFFFFF"/>
                <w:sz w:val="14"/>
              </w:rPr>
              <w:t>Stage</w:t>
            </w:r>
          </w:p>
        </w:tc>
        <w:tc>
          <w:tcPr>
            <w:tcW w:type="dxa" w:w="8928"/>
            <w:vAlign w:val="top"/>
            <w:tcMar>
              <w:top w:w="60" w:type="dxa"/>
              <w:start w:w="70" w:type="dxa"/>
              <w:bottom w:w="60" w:type="dxa"/>
              <w:end w:w="70" w:type="dxa"/>
            </w:tcMar>
            <w:shd w:fill="00A35C"/>
          </w:tcPr>
          <w:p>
            <w:pPr>
              <w:spacing w:after="0" w:line="240" w:lineRule="auto"/>
            </w:pPr>
            <w:r>
              <w:rPr>
                <w:rFonts w:ascii="Aptos" w:hAnsi="Aptos"/>
                <w:b/>
                <w:color w:val="FFFFFF"/>
                <w:sz w:val="14"/>
              </w:rPr>
              <w:t>What a strong Consulting Engineer does</w:t>
            </w:r>
          </w:p>
        </w:tc>
      </w:tr>
      <w:tr>
        <w:trPr>
          <w:cantSplit/>
          <w:cantSplit/>
        </w:trPr>
        <w:tc>
          <w:tcPr>
            <w:tcW w:type="dxa" w:w="1728"/>
            <w:vAlign w:val="top"/>
            <w:tcMar>
              <w:top w:w="60" w:type="dxa"/>
              <w:start w:w="70" w:type="dxa"/>
              <w:bottom w:w="60" w:type="dxa"/>
              <w:end w:w="70" w:type="dxa"/>
            </w:tcMar>
            <w:shd w:fill="F3FAF6"/>
          </w:tcPr>
          <w:p>
            <w:pPr>
              <w:spacing w:after="0" w:line="240" w:lineRule="auto"/>
            </w:pPr>
            <w:r>
              <w:rPr>
                <w:rFonts w:ascii="Aptos" w:hAnsi="Aptos"/>
                <w:b/>
                <w:color w:val="001E2B"/>
                <w:sz w:val="14"/>
              </w:rPr>
              <w:t>Discover</w:t>
            </w:r>
          </w:p>
        </w:tc>
        <w:tc>
          <w:tcPr>
            <w:tcW w:type="dxa" w:w="8928"/>
            <w:vAlign w:val="top"/>
            <w:tcMar>
              <w:top w:w="60" w:type="dxa"/>
              <w:start w:w="70" w:type="dxa"/>
              <w:bottom w:w="60" w:type="dxa"/>
              <w:end w:w="70" w:type="dxa"/>
            </w:tcMar>
          </w:tcPr>
          <w:p>
            <w:pPr>
              <w:spacing w:after="0" w:line="240" w:lineRule="auto"/>
            </w:pPr>
            <w:r>
              <w:rPr>
                <w:rFonts w:ascii="Aptos" w:hAnsi="Aptos"/>
                <w:color w:val="1E252B"/>
                <w:sz w:val="14"/>
              </w:rPr>
              <w:t>Understand business outcome, users, current architecture, pain, constraints, timeline and who owns decisions.</w:t>
            </w:r>
          </w:p>
        </w:tc>
      </w:tr>
      <w:tr>
        <w:trPr>
          <w:cantSplit/>
          <w:cantSplit/>
        </w:trPr>
        <w:tc>
          <w:tcPr>
            <w:tcW w:type="dxa" w:w="1728"/>
            <w:vAlign w:val="top"/>
            <w:tcMar>
              <w:top w:w="60" w:type="dxa"/>
              <w:start w:w="70" w:type="dxa"/>
              <w:bottom w:w="60" w:type="dxa"/>
              <w:end w:w="70" w:type="dxa"/>
            </w:tcMar>
            <w:shd w:fill="F3FAF6"/>
          </w:tcPr>
          <w:p>
            <w:pPr>
              <w:spacing w:after="0" w:line="240" w:lineRule="auto"/>
            </w:pPr>
            <w:r>
              <w:rPr>
                <w:rFonts w:ascii="Aptos" w:hAnsi="Aptos"/>
                <w:b/>
                <w:color w:val="001E2B"/>
                <w:sz w:val="14"/>
              </w:rPr>
              <w:t>Define</w:t>
            </w:r>
          </w:p>
        </w:tc>
        <w:tc>
          <w:tcPr>
            <w:tcW w:type="dxa" w:w="8928"/>
            <w:vAlign w:val="top"/>
            <w:tcMar>
              <w:top w:w="60" w:type="dxa"/>
              <w:start w:w="70" w:type="dxa"/>
              <w:bottom w:w="60" w:type="dxa"/>
              <w:end w:w="70" w:type="dxa"/>
            </w:tcMar>
          </w:tcPr>
          <w:p>
            <w:pPr>
              <w:spacing w:after="0" w:line="240" w:lineRule="auto"/>
            </w:pPr>
            <w:r>
              <w:rPr>
                <w:rFonts w:ascii="Aptos" w:hAnsi="Aptos"/>
                <w:color w:val="1E252B"/>
                <w:sz w:val="14"/>
              </w:rPr>
              <w:t>Turn “MongoDB is slow” into a measurable problem: query, latency percentile, workload, data volume, topology, change point and acceptable SLA.</w:t>
            </w:r>
          </w:p>
        </w:tc>
      </w:tr>
      <w:tr>
        <w:trPr>
          <w:cantSplit/>
          <w:cantSplit/>
        </w:trPr>
        <w:tc>
          <w:tcPr>
            <w:tcW w:type="dxa" w:w="1728"/>
            <w:vAlign w:val="top"/>
            <w:tcMar>
              <w:top w:w="60" w:type="dxa"/>
              <w:start w:w="70" w:type="dxa"/>
              <w:bottom w:w="60" w:type="dxa"/>
              <w:end w:w="70" w:type="dxa"/>
            </w:tcMar>
            <w:shd w:fill="F3FAF6"/>
          </w:tcPr>
          <w:p>
            <w:pPr>
              <w:spacing w:after="0" w:line="240" w:lineRule="auto"/>
            </w:pPr>
            <w:r>
              <w:rPr>
                <w:rFonts w:ascii="Aptos" w:hAnsi="Aptos"/>
                <w:b/>
                <w:color w:val="001E2B"/>
                <w:sz w:val="14"/>
              </w:rPr>
              <w:t>Diagnose</w:t>
            </w:r>
          </w:p>
        </w:tc>
        <w:tc>
          <w:tcPr>
            <w:tcW w:type="dxa" w:w="8928"/>
            <w:vAlign w:val="top"/>
            <w:tcMar>
              <w:top w:w="60" w:type="dxa"/>
              <w:start w:w="70" w:type="dxa"/>
              <w:bottom w:w="60" w:type="dxa"/>
              <w:end w:w="70" w:type="dxa"/>
            </w:tcMar>
          </w:tcPr>
          <w:p>
            <w:pPr>
              <w:spacing w:after="0" w:line="240" w:lineRule="auto"/>
            </w:pPr>
            <w:r>
              <w:rPr>
                <w:rFonts w:ascii="Aptos" w:hAnsi="Aptos"/>
                <w:color w:val="1E252B"/>
                <w:sz w:val="14"/>
              </w:rPr>
              <w:t>Collect evidence before proposing a fix: explain plans, metrics, logs, schema, indexes, network, resource saturation, replication/sharding state.</w:t>
            </w:r>
          </w:p>
        </w:tc>
      </w:tr>
      <w:tr>
        <w:trPr>
          <w:cantSplit/>
          <w:cantSplit/>
        </w:trPr>
        <w:tc>
          <w:tcPr>
            <w:tcW w:type="dxa" w:w="1728"/>
            <w:vAlign w:val="top"/>
            <w:tcMar>
              <w:top w:w="60" w:type="dxa"/>
              <w:start w:w="70" w:type="dxa"/>
              <w:bottom w:w="60" w:type="dxa"/>
              <w:end w:w="70" w:type="dxa"/>
            </w:tcMar>
            <w:shd w:fill="F3FAF6"/>
          </w:tcPr>
          <w:p>
            <w:pPr>
              <w:spacing w:after="0" w:line="240" w:lineRule="auto"/>
            </w:pPr>
            <w:r>
              <w:rPr>
                <w:rFonts w:ascii="Aptos" w:hAnsi="Aptos"/>
                <w:b/>
                <w:color w:val="001E2B"/>
                <w:sz w:val="14"/>
              </w:rPr>
              <w:t>Options</w:t>
            </w:r>
          </w:p>
        </w:tc>
        <w:tc>
          <w:tcPr>
            <w:tcW w:type="dxa" w:w="8928"/>
            <w:vAlign w:val="top"/>
            <w:tcMar>
              <w:top w:w="60" w:type="dxa"/>
              <w:start w:w="70" w:type="dxa"/>
              <w:bottom w:w="60" w:type="dxa"/>
              <w:end w:w="70" w:type="dxa"/>
            </w:tcMar>
          </w:tcPr>
          <w:p>
            <w:pPr>
              <w:spacing w:after="0" w:line="240" w:lineRule="auto"/>
            </w:pPr>
            <w:r>
              <w:rPr>
                <w:rFonts w:ascii="Aptos" w:hAnsi="Aptos"/>
                <w:color w:val="1E252B"/>
                <w:sz w:val="14"/>
              </w:rPr>
              <w:t>Explain at least two viable approaches when meaningful, including complexity, risk, cost and operational impact.</w:t>
            </w:r>
          </w:p>
        </w:tc>
      </w:tr>
      <w:tr>
        <w:trPr>
          <w:cantSplit/>
          <w:cantSplit/>
        </w:trPr>
        <w:tc>
          <w:tcPr>
            <w:tcW w:type="dxa" w:w="1728"/>
            <w:vAlign w:val="top"/>
            <w:tcMar>
              <w:top w:w="60" w:type="dxa"/>
              <w:start w:w="70" w:type="dxa"/>
              <w:bottom w:w="60" w:type="dxa"/>
              <w:end w:w="70" w:type="dxa"/>
            </w:tcMar>
            <w:shd w:fill="F3FAF6"/>
          </w:tcPr>
          <w:p>
            <w:pPr>
              <w:spacing w:after="0" w:line="240" w:lineRule="auto"/>
            </w:pPr>
            <w:r>
              <w:rPr>
                <w:rFonts w:ascii="Aptos" w:hAnsi="Aptos"/>
                <w:b/>
                <w:color w:val="001E2B"/>
                <w:sz w:val="14"/>
              </w:rPr>
              <w:t>Recommend</w:t>
            </w:r>
          </w:p>
        </w:tc>
        <w:tc>
          <w:tcPr>
            <w:tcW w:type="dxa" w:w="8928"/>
            <w:vAlign w:val="top"/>
            <w:tcMar>
              <w:top w:w="60" w:type="dxa"/>
              <w:start w:w="70" w:type="dxa"/>
              <w:bottom w:w="60" w:type="dxa"/>
              <w:end w:w="70" w:type="dxa"/>
            </w:tcMar>
          </w:tcPr>
          <w:p>
            <w:pPr>
              <w:spacing w:after="0" w:line="240" w:lineRule="auto"/>
            </w:pPr>
            <w:r>
              <w:rPr>
                <w:rFonts w:ascii="Aptos" w:hAnsi="Aptos"/>
                <w:color w:val="1E252B"/>
                <w:sz w:val="14"/>
              </w:rPr>
              <w:t>Make a clear recommendation. A consultant who only lists possibilities pushes the decision back onto the customer.</w:t>
            </w:r>
          </w:p>
        </w:tc>
      </w:tr>
      <w:tr>
        <w:trPr>
          <w:cantSplit/>
          <w:cantSplit/>
        </w:trPr>
        <w:tc>
          <w:tcPr>
            <w:tcW w:type="dxa" w:w="1728"/>
            <w:vAlign w:val="top"/>
            <w:tcMar>
              <w:top w:w="60" w:type="dxa"/>
              <w:start w:w="70" w:type="dxa"/>
              <w:bottom w:w="60" w:type="dxa"/>
              <w:end w:w="70" w:type="dxa"/>
            </w:tcMar>
            <w:shd w:fill="F3FAF6"/>
          </w:tcPr>
          <w:p>
            <w:pPr>
              <w:spacing w:after="0" w:line="240" w:lineRule="auto"/>
            </w:pPr>
            <w:r>
              <w:rPr>
                <w:rFonts w:ascii="Aptos" w:hAnsi="Aptos"/>
                <w:b/>
                <w:color w:val="001E2B"/>
                <w:sz w:val="14"/>
              </w:rPr>
              <w:t>Implement</w:t>
            </w:r>
          </w:p>
        </w:tc>
        <w:tc>
          <w:tcPr>
            <w:tcW w:type="dxa" w:w="8928"/>
            <w:vAlign w:val="top"/>
            <w:tcMar>
              <w:top w:w="60" w:type="dxa"/>
              <w:start w:w="70" w:type="dxa"/>
              <w:bottom w:w="60" w:type="dxa"/>
              <w:end w:w="70" w:type="dxa"/>
            </w:tcMar>
          </w:tcPr>
          <w:p>
            <w:pPr>
              <w:spacing w:after="0" w:line="240" w:lineRule="auto"/>
            </w:pPr>
            <w:r>
              <w:rPr>
                <w:rFonts w:ascii="Aptos" w:hAnsi="Aptos"/>
                <w:color w:val="1E252B"/>
                <w:sz w:val="14"/>
              </w:rPr>
              <w:t>Use small, reversible steps; version control; non-prod validation; runbook; rollback path.</w:t>
            </w:r>
          </w:p>
        </w:tc>
      </w:tr>
      <w:tr>
        <w:trPr>
          <w:cantSplit/>
          <w:cantSplit/>
        </w:trPr>
        <w:tc>
          <w:tcPr>
            <w:tcW w:type="dxa" w:w="1728"/>
            <w:vAlign w:val="top"/>
            <w:tcMar>
              <w:top w:w="60" w:type="dxa"/>
              <w:start w:w="70" w:type="dxa"/>
              <w:bottom w:w="60" w:type="dxa"/>
              <w:end w:w="70" w:type="dxa"/>
            </w:tcMar>
            <w:shd w:fill="F3FAF6"/>
          </w:tcPr>
          <w:p>
            <w:pPr>
              <w:spacing w:after="0" w:line="240" w:lineRule="auto"/>
            </w:pPr>
            <w:r>
              <w:rPr>
                <w:rFonts w:ascii="Aptos" w:hAnsi="Aptos"/>
                <w:b/>
                <w:color w:val="001E2B"/>
                <w:sz w:val="14"/>
              </w:rPr>
              <w:t>Validate</w:t>
            </w:r>
          </w:p>
        </w:tc>
        <w:tc>
          <w:tcPr>
            <w:tcW w:type="dxa" w:w="8928"/>
            <w:vAlign w:val="top"/>
            <w:tcMar>
              <w:top w:w="60" w:type="dxa"/>
              <w:start w:w="70" w:type="dxa"/>
              <w:bottom w:w="60" w:type="dxa"/>
              <w:end w:w="70" w:type="dxa"/>
            </w:tcMar>
          </w:tcPr>
          <w:p>
            <w:pPr>
              <w:spacing w:after="0" w:line="240" w:lineRule="auto"/>
            </w:pPr>
            <w:r>
              <w:rPr>
                <w:rFonts w:ascii="Aptos" w:hAnsi="Aptos"/>
                <w:color w:val="1E252B"/>
                <w:sz w:val="14"/>
              </w:rPr>
              <w:t>Measure against the original success criteria; do not declare victory because a command succeeded.</w:t>
            </w:r>
          </w:p>
        </w:tc>
      </w:tr>
      <w:tr>
        <w:trPr>
          <w:cantSplit/>
          <w:cantSplit/>
        </w:trPr>
        <w:tc>
          <w:tcPr>
            <w:tcW w:type="dxa" w:w="1728"/>
            <w:vAlign w:val="top"/>
            <w:tcMar>
              <w:top w:w="60" w:type="dxa"/>
              <w:start w:w="70" w:type="dxa"/>
              <w:bottom w:w="60" w:type="dxa"/>
              <w:end w:w="70" w:type="dxa"/>
            </w:tcMar>
            <w:shd w:fill="F3FAF6"/>
          </w:tcPr>
          <w:p>
            <w:pPr>
              <w:spacing w:after="0" w:line="240" w:lineRule="auto"/>
            </w:pPr>
            <w:r>
              <w:rPr>
                <w:rFonts w:ascii="Aptos" w:hAnsi="Aptos"/>
                <w:b/>
                <w:color w:val="001E2B"/>
                <w:sz w:val="14"/>
              </w:rPr>
              <w:t>Transfer</w:t>
            </w:r>
          </w:p>
        </w:tc>
        <w:tc>
          <w:tcPr>
            <w:tcW w:type="dxa" w:w="8928"/>
            <w:vAlign w:val="top"/>
            <w:tcMar>
              <w:top w:w="60" w:type="dxa"/>
              <w:start w:w="70" w:type="dxa"/>
              <w:bottom w:w="60" w:type="dxa"/>
              <w:end w:w="70" w:type="dxa"/>
            </w:tcMar>
          </w:tcPr>
          <w:p>
            <w:pPr>
              <w:spacing w:after="0" w:line="240" w:lineRule="auto"/>
            </w:pPr>
            <w:r>
              <w:rPr>
                <w:rFonts w:ascii="Aptos" w:hAnsi="Aptos"/>
                <w:color w:val="1E252B"/>
                <w:sz w:val="14"/>
              </w:rPr>
              <w:t>Teach the customer why the solution works so they can operate it after the engagement.</w:t>
            </w:r>
          </w:p>
        </w:tc>
      </w:tr>
      <w:tr>
        <w:trPr>
          <w:cantSplit/>
          <w:cantSplit/>
        </w:trPr>
        <w:tc>
          <w:tcPr>
            <w:tcW w:type="dxa" w:w="1728"/>
            <w:vAlign w:val="top"/>
            <w:tcMar>
              <w:top w:w="60" w:type="dxa"/>
              <w:start w:w="70" w:type="dxa"/>
              <w:bottom w:w="60" w:type="dxa"/>
              <w:end w:w="70" w:type="dxa"/>
            </w:tcMar>
            <w:shd w:fill="F3FAF6"/>
          </w:tcPr>
          <w:p>
            <w:pPr>
              <w:spacing w:after="0" w:line="240" w:lineRule="auto"/>
            </w:pPr>
            <w:r>
              <w:rPr>
                <w:rFonts w:ascii="Aptos" w:hAnsi="Aptos"/>
                <w:b/>
                <w:color w:val="001E2B"/>
                <w:sz w:val="14"/>
              </w:rPr>
              <w:t>Document</w:t>
            </w:r>
          </w:p>
        </w:tc>
        <w:tc>
          <w:tcPr>
            <w:tcW w:type="dxa" w:w="8928"/>
            <w:vAlign w:val="top"/>
            <w:tcMar>
              <w:top w:w="60" w:type="dxa"/>
              <w:start w:w="70" w:type="dxa"/>
              <w:bottom w:w="60" w:type="dxa"/>
              <w:end w:w="70" w:type="dxa"/>
            </w:tcMar>
          </w:tcPr>
          <w:p>
            <w:pPr>
              <w:spacing w:after="0" w:line="240" w:lineRule="auto"/>
            </w:pPr>
            <w:r>
              <w:rPr>
                <w:rFonts w:ascii="Aptos" w:hAnsi="Aptos"/>
                <w:color w:val="1E252B"/>
                <w:sz w:val="14"/>
              </w:rPr>
              <w:t>Leave concise decisions, evidence, commands/configuration, risks, follow-ups and ownership.</w:t>
            </w:r>
          </w:p>
        </w:tc>
      </w:tr>
    </w:tbl>
    <w:p>
      <w:pPr>
        <w:spacing w:after="10"/>
      </w:pPr>
    </w:p>
    <w:p>
      <w:pPr>
        <w:pStyle w:val="Heading1"/>
      </w:pPr>
      <w:r>
        <w:t>10. Customer Discovery Questions - Memorise the Categories, Not the Script</w:t>
      </w:r>
    </w:p>
    <w:p>
      <w:pPr>
        <w:spacing w:after="28"/>
        <w:ind w:left="259" w:hanging="144"/>
      </w:pPr>
      <w:r>
        <w:rPr>
          <w:b/>
          <w:color w:val="00A35C"/>
        </w:rPr>
        <w:t xml:space="preserve">• </w:t>
      </w:r>
      <w:r>
        <w:t>Outcome: What is the application trying to achieve? Which customer/business action is failing or too slow?</w:t>
      </w:r>
    </w:p>
    <w:p>
      <w:pPr>
        <w:spacing w:after="28"/>
        <w:ind w:left="259" w:hanging="144"/>
      </w:pPr>
      <w:r>
        <w:rPr>
          <w:b/>
          <w:color w:val="00A35C"/>
        </w:rPr>
        <w:t xml:space="preserve">• </w:t>
      </w:r>
      <w:r>
        <w:t>Workload: read/write ratio, peak throughput, p50/p95/p99 latency, query shapes, concurrency, batch vs interactive.</w:t>
      </w:r>
    </w:p>
    <w:p>
      <w:pPr>
        <w:spacing w:after="28"/>
        <w:ind w:left="259" w:hanging="144"/>
      </w:pPr>
      <w:r>
        <w:rPr>
          <w:b/>
          <w:color w:val="00A35C"/>
        </w:rPr>
        <w:t xml:space="preserve">• </w:t>
      </w:r>
      <w:r>
        <w:t>Data: size, growth, document shape, relationships, cardinality, update patterns, retention, hot/cold data.</w:t>
      </w:r>
    </w:p>
    <w:p>
      <w:pPr>
        <w:spacing w:after="28"/>
        <w:ind w:left="259" w:hanging="144"/>
      </w:pPr>
      <w:r>
        <w:rPr>
          <w:b/>
          <w:color w:val="00A35C"/>
        </w:rPr>
        <w:t xml:space="preserve">• </w:t>
      </w:r>
      <w:r>
        <w:t>Topology: Atlas or self-managed? version? replica set or sharded? regions? cloud? network path?</w:t>
      </w:r>
    </w:p>
    <w:p>
      <w:pPr>
        <w:spacing w:after="28"/>
        <w:ind w:left="259" w:hanging="144"/>
      </w:pPr>
      <w:r>
        <w:rPr>
          <w:b/>
          <w:color w:val="00A35C"/>
        </w:rPr>
        <w:t xml:space="preserve">• </w:t>
      </w:r>
      <w:r>
        <w:t>Correctness: consistency/durability requirements, read/write concerns, transactions, ordering guarantees.</w:t>
      </w:r>
    </w:p>
    <w:p>
      <w:pPr>
        <w:spacing w:after="28"/>
        <w:ind w:left="259" w:hanging="144"/>
      </w:pPr>
      <w:r>
        <w:rPr>
          <w:b/>
          <w:color w:val="00A35C"/>
        </w:rPr>
        <w:t xml:space="preserve">• </w:t>
      </w:r>
      <w:r>
        <w:t>Operations: backup/RTO/RPO, monitoring, on-call, maintenance windows, deployment process.</w:t>
      </w:r>
    </w:p>
    <w:p>
      <w:pPr>
        <w:spacing w:after="28"/>
        <w:ind w:left="259" w:hanging="144"/>
      </w:pPr>
      <w:r>
        <w:rPr>
          <w:b/>
          <w:color w:val="00A35C"/>
        </w:rPr>
        <w:t xml:space="preserve">• </w:t>
      </w:r>
      <w:r>
        <w:t>Security: authentication, RBAC, encryption, private networking, regulatory/data residency requirements.</w:t>
      </w:r>
    </w:p>
    <w:p>
      <w:pPr>
        <w:spacing w:after="28"/>
        <w:ind w:left="259" w:hanging="144"/>
      </w:pPr>
      <w:r>
        <w:rPr>
          <w:b/>
          <w:color w:val="00A35C"/>
        </w:rPr>
        <w:t xml:space="preserve">• </w:t>
      </w:r>
      <w:r>
        <w:t>Migration: source system, downtime tolerance, data validation, dual-run/rollback, cutover criteria.</w:t>
      </w:r>
    </w:p>
    <w:p>
      <w:pPr>
        <w:spacing w:after="28"/>
        <w:ind w:left="259" w:hanging="144"/>
      </w:pPr>
      <w:r>
        <w:rPr>
          <w:b/>
          <w:color w:val="00A35C"/>
        </w:rPr>
        <w:t xml:space="preserve">• </w:t>
      </w:r>
      <w:r>
        <w:t>People: who owns application code, database operations, cloud/networking and the final decision?</w:t>
      </w:r>
    </w:p>
    <w:p>
      <w:pPr>
        <w:spacing w:after="28"/>
        <w:ind w:left="259" w:hanging="144"/>
      </w:pPr>
      <w:r>
        <w:rPr>
          <w:b/>
          <w:color w:val="00A35C"/>
        </w:rPr>
        <w:t xml:space="preserve">• </w:t>
      </w:r>
      <w:r>
        <w:t>Success: what measurable result should be true when the engagement is finished?</w:t>
      </w:r>
    </w:p>
    <w:p>
      <w:pPr>
        <w:pStyle w:val="Heading1"/>
      </w:pPr>
      <w:r>
        <w:t>11. High-Probability Consulting Scenarios</w:t>
      </w:r>
    </w:p>
    <w:p>
      <w:pPr>
        <w:pStyle w:val="Heading2"/>
      </w:pPr>
      <w:r>
        <w:t>Customer insists MongoDB is the problem, but evidence is unclear</w:t>
      </w:r>
    </w:p>
    <w:p>
      <w:pPr>
        <w:spacing w:after="28"/>
        <w:ind w:left="259" w:hanging="259"/>
      </w:pPr>
      <w:r>
        <w:rPr>
          <w:b/>
          <w:color w:val="00A35C"/>
        </w:rPr>
        <w:t xml:space="preserve">1. </w:t>
      </w:r>
      <w:r>
        <w:t>Acknowledge the impact and define the symptom precisely.</w:t>
      </w:r>
    </w:p>
    <w:p>
      <w:pPr>
        <w:spacing w:after="28"/>
        <w:ind w:left="259" w:hanging="259"/>
      </w:pPr>
      <w:r>
        <w:rPr>
          <w:b/>
          <w:color w:val="00A35C"/>
        </w:rPr>
        <w:t xml:space="preserve">2. </w:t>
      </w:r>
      <w:r>
        <w:t>Establish baseline: specific endpoints/queries, p95/p99 latency, when it started, affected users.</w:t>
      </w:r>
    </w:p>
    <w:p>
      <w:pPr>
        <w:spacing w:after="28"/>
        <w:ind w:left="259" w:hanging="259"/>
      </w:pPr>
      <w:r>
        <w:rPr>
          <w:b/>
          <w:color w:val="00A35C"/>
        </w:rPr>
        <w:t xml:space="preserve">3. </w:t>
      </w:r>
      <w:r>
        <w:t>Trace end-to-end: application connection pool -&gt; network -&gt; query plan -&gt; index/schema -&gt; cluster resource/replication state.</w:t>
      </w:r>
    </w:p>
    <w:p>
      <w:pPr>
        <w:spacing w:after="28"/>
        <w:ind w:left="259" w:hanging="259"/>
      </w:pPr>
      <w:r>
        <w:rPr>
          <w:b/>
          <w:color w:val="00A35C"/>
        </w:rPr>
        <w:t xml:space="preserve">4. </w:t>
      </w:r>
      <w:r>
        <w:t>Share evidence in plain language; separate facts from hypotheses.</w:t>
      </w:r>
    </w:p>
    <w:p>
      <w:pPr>
        <w:spacing w:after="28"/>
        <w:ind w:left="259" w:hanging="259"/>
      </w:pPr>
      <w:r>
        <w:rPr>
          <w:b/>
          <w:color w:val="00A35C"/>
        </w:rPr>
        <w:t xml:space="preserve">5. </w:t>
      </w:r>
      <w:r>
        <w:t>Recommend the smallest change that tests the leading hypothesis.</w:t>
      </w:r>
    </w:p>
    <w:p>
      <w:pPr>
        <w:spacing w:after="28"/>
        <w:ind w:left="259" w:hanging="259"/>
      </w:pPr>
      <w:r>
        <w:rPr>
          <w:b/>
          <w:color w:val="00A35C"/>
        </w:rPr>
        <w:t xml:space="preserve">6. </w:t>
      </w:r>
      <w:r>
        <w:t>Measure after the change and document what was learned.</w:t>
      </w:r>
    </w:p>
    <w:p>
      <w:pPr>
        <w:pStyle w:val="Heading2"/>
      </w:pPr>
      <w:r>
        <w:t>Customer wants to copy a relational schema table-for-table into MongoDB</w:t>
      </w:r>
    </w:p>
    <w:p>
      <w:pPr/>
      <w:r>
        <w:t>Do not say “that is wrong”. Explain that MongoDB schema design is workload-driven. Start from access patterns and aggregate boundaries. Ask which data is read/updated together, cardinality and growth. Use embedding where it improves locality and atomicity; use references where data changes independently, relationships are many-to-many/large, or embedding causes harmful duplication/unbounded growth. Prototype representative queries and measure.</w:t>
      </w:r>
    </w:p>
    <w:p>
      <w:pPr>
        <w:pStyle w:val="Heading2"/>
      </w:pPr>
      <w:r>
        <w:t>Customer disagrees with your recommendation</w:t>
      </w:r>
    </w:p>
    <w:p>
      <w:pPr/>
      <w:r>
        <w:t>Clarify the decision criteria, show the evidence and trade-offs, and invite missing context. If their option is safe but not your preference, support the customer’s decision and document it. Escalate only when there is material reliability/security/data-integrity risk. “Trusted advisor” does not mean “always wins the argument”.</w:t>
      </w:r>
    </w:p>
    <w:p>
      <w:pPr>
        <w:pStyle w:val="Heading2"/>
      </w:pPr>
      <w:r>
        <w:t>Engagement is running out of time</w:t>
      </w:r>
    </w:p>
    <w:p>
      <w:pPr/>
      <w:r>
        <w:t>Reconfirm desired outcome, separate must-have from nice-to-have, make progress and risk visible, and agree a revised scope. Deliver a safe, validated core plus a clear follow-up plan rather than a half-finished broad solution. Surface scope risk early, not on the final day.</w:t>
      </w:r>
    </w:p>
    <w:p>
      <w:pPr>
        <w:pStyle w:val="Heading1"/>
      </w:pPr>
      <w:r>
        <w:t>12. Technical Curiosity - How to Demonstrate It</w:t>
      </w:r>
    </w:p>
    <w:p>
      <w:pPr>
        <w:pStyle w:val="Heading2"/>
      </w:pPr>
      <w:r>
        <w:t>How do you learn an unfamiliar technology quickly?</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ANSWER STRUCTURE</w:t>
            </w:r>
          </w:p>
          <w:p>
            <w:pPr>
              <w:spacing w:after="0" w:line="240" w:lineRule="auto"/>
            </w:pPr>
            <w:r>
              <w:rPr>
                <w:color w:val="1E252B"/>
                <w:sz w:val="16"/>
              </w:rPr>
              <w:t>“I start with the mental model and failure modes rather than memorising commands. I read the official architecture/docs, build a small representative example, inspect what the system actually does, then deliberately break or stress the areas I need to understand. Once I can explain the trade-offs to someone else, I know I’m becoming useful. That is how I’ve repeatedly moved between orchestration frameworks, clouds, databases and languages throughout my career.”</w:t>
            </w:r>
          </w:p>
        </w:tc>
      </w:tr>
    </w:tbl>
    <w:p>
      <w:pPr>
        <w:spacing w:after="10"/>
      </w:pPr>
    </w:p>
    <w:p>
      <w:pPr>
        <w:pStyle w:val="Heading2"/>
      </w:pPr>
      <w:r>
        <w:t>Examples from your career</w:t>
      </w:r>
    </w:p>
    <w:p>
      <w:pPr>
        <w:spacing w:after="28"/>
        <w:ind w:left="259" w:hanging="144"/>
      </w:pPr>
      <w:r>
        <w:rPr>
          <w:b/>
          <w:color w:val="00A35C"/>
        </w:rPr>
        <w:t xml:space="preserve">• </w:t>
      </w:r>
      <w:r>
        <w:t>Moved across Java/C#/Python and different application stacks rather than remaining language-bound.</w:t>
      </w:r>
    </w:p>
    <w:p>
      <w:pPr>
        <w:spacing w:after="28"/>
        <w:ind w:left="259" w:hanging="144"/>
      </w:pPr>
      <w:r>
        <w:rPr>
          <w:b/>
          <w:color w:val="00A35C"/>
        </w:rPr>
        <w:t xml:space="preserve">• </w:t>
      </w:r>
      <w:r>
        <w:t>Shifted from low-latency trading software into large-scale data engineering and then cloud-native platforms.</w:t>
      </w:r>
    </w:p>
    <w:p>
      <w:pPr>
        <w:spacing w:after="28"/>
        <w:ind w:left="259" w:hanging="144"/>
      </w:pPr>
      <w:r>
        <w:rPr>
          <w:b/>
          <w:color w:val="00A35C"/>
        </w:rPr>
        <w:t xml:space="preserve">• </w:t>
      </w:r>
      <w:r>
        <w:t>Used Airflow, Dagster and Prefect in different environments — evidence you learn concepts, not just one tool.</w:t>
      </w:r>
    </w:p>
    <w:p>
      <w:pPr>
        <w:spacing w:after="28"/>
        <w:ind w:left="259" w:hanging="144"/>
      </w:pPr>
      <w:r>
        <w:rPr>
          <w:b/>
          <w:color w:val="00A35C"/>
        </w:rPr>
        <w:t xml:space="preserve">• </w:t>
      </w:r>
      <w:r>
        <w:t>Worked across SQL Server/PostgreSQL/Snowflake/MongoDB/NoSQL and domain-specific EDM platforms.</w:t>
      </w:r>
    </w:p>
    <w:p>
      <w:pPr>
        <w:spacing w:after="28"/>
        <w:ind w:left="259" w:hanging="144"/>
      </w:pPr>
      <w:r>
        <w:rPr>
          <w:b/>
          <w:color w:val="00A35C"/>
        </w:rPr>
        <w:t xml:space="preserve">• </w:t>
      </w:r>
      <w:r>
        <w:t>Current role gives you a genuine reason to discuss MongoDB as part of a production stack, while remaining honest about depth.</w:t>
      </w:r>
    </w:p>
    <w:p>
      <w:pPr>
        <w:pStyle w:val="Heading2"/>
      </w:pPr>
      <w:r>
        <w:t>If Jay asks “What have you learned about MongoDB recently?”</w:t>
      </w:r>
    </w:p>
    <w:p>
      <w:pPr/>
      <w:r>
        <w:t>Talk about schema design around access patterns, embedding vs referencing, compound index ordering, explain plans, replica-set read/write semantics, shard-key quality and change streams. Pick two or three and explain what surprised you rather than listing features.</w:t>
      </w:r>
    </w:p>
    <w:p>
      <w:pPr>
        <w:pStyle w:val="Heading1"/>
      </w:pPr>
      <w:r>
        <w:t>13. MongoDB Core Mental Model - 15-Minute Version</w:t>
      </w:r>
    </w:p>
    <w:tbl>
      <w:tblPr>
        <w:tblW w:type="auto" w:w="0"/>
        <w:jc w:val="center"/>
        <w:tblLayout w:type="fixed"/>
        <w:tblLook w:firstColumn="1" w:firstRow="1" w:lastColumn="0" w:lastRow="0" w:noHBand="0" w:noVBand="1" w:val="04A0"/>
      </w:tblPr>
      <w:tblGrid>
        <w:gridCol w:w="5328"/>
        <w:gridCol w:w="5328"/>
      </w:tblGrid>
      <w:tr>
        <w:trPr>
          <w:cantSplit/>
          <w:tblHeader w:val="true"/>
          <w:cantSplit/>
        </w:trPr>
        <w:tc>
          <w:tcPr>
            <w:tcW w:type="dxa" w:w="2232"/>
            <w:vAlign w:val="top"/>
            <w:tcMar>
              <w:top w:w="60" w:type="dxa"/>
              <w:start w:w="70" w:type="dxa"/>
              <w:bottom w:w="60" w:type="dxa"/>
              <w:end w:w="70" w:type="dxa"/>
            </w:tcMar>
            <w:shd w:fill="00A35C"/>
          </w:tcPr>
          <w:p>
            <w:pPr>
              <w:spacing w:after="0" w:line="240" w:lineRule="auto"/>
            </w:pPr>
            <w:r>
              <w:rPr>
                <w:rFonts w:ascii="Aptos" w:hAnsi="Aptos"/>
                <w:b/>
                <w:color w:val="FFFFFF"/>
                <w:sz w:val="14"/>
              </w:rPr>
              <w:t>Concept</w:t>
            </w:r>
          </w:p>
        </w:tc>
        <w:tc>
          <w:tcPr>
            <w:tcW w:type="dxa" w:w="8424"/>
            <w:vAlign w:val="top"/>
            <w:tcMar>
              <w:top w:w="60" w:type="dxa"/>
              <w:start w:w="70" w:type="dxa"/>
              <w:bottom w:w="60" w:type="dxa"/>
              <w:end w:w="70" w:type="dxa"/>
            </w:tcMar>
            <w:shd w:fill="00A35C"/>
          </w:tcPr>
          <w:p>
            <w:pPr>
              <w:spacing w:after="0" w:line="240" w:lineRule="auto"/>
            </w:pPr>
            <w:r>
              <w:rPr>
                <w:rFonts w:ascii="Aptos" w:hAnsi="Aptos"/>
                <w:b/>
                <w:color w:val="FFFFFF"/>
                <w:sz w:val="14"/>
              </w:rPr>
              <w:t>Interview explanation</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Document database</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Stores BSON documents in collections. Documents can contain nested objects and arrays, allowing application-shaped data rather than forcing every relationship into separate tables.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BSON</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Binary JSON-like representation with richer native types. MongoDB documents have a 16 MiB maximum document size.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Collection</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Roughly analogous to a table, but documents in a collection can be flexible in shape; schema validation can still enforce contracts.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_id / ObjectId</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Every document has a unique _id. ObjectId is a common generated identifier, but _id can be another supported unique value.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Single-document atomicity</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A write affecting one document is atomic. Good schema design can keep strongly related data in one aggregate when appropriate.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Multi-document transactions</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Supported across documents/collections/databases/shards when required; use them deliberately rather than modelling everything relationally by default.</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Aggregation pipeline</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Composable server-side data processing stages such as $match, $project, $group, $sort, $lookup, $unwind, $set and $merge.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Replica set</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Primary + secondaries for redundancy/high availability. Elections choose a new primary after failure.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Sharding</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Horizontal partitioning across shards using a shard key, routed through mongos; config servers store cluster metadata.</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Atlas</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MongoDB’s managed multi-cloud platform, including database deployment plus operational, security, search/vector and other services.</w:t>
            </w:r>
          </w:p>
        </w:tc>
      </w:tr>
    </w:tbl>
    <w:p>
      <w:pPr>
        <w:spacing w:after="10"/>
      </w:pPr>
    </w:p>
    <w:p>
      <w:pPr>
        <w:pStyle w:val="Heading1"/>
      </w:pPr>
      <w:r>
        <w:t>14. Schema Design - The Most Important MongoDB Topic</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RULE</w:t>
            </w:r>
          </w:p>
          <w:p>
            <w:pPr>
              <w:spacing w:after="0" w:line="240" w:lineRule="auto"/>
            </w:pPr>
            <w:r>
              <w:rPr>
                <w:color w:val="1E252B"/>
                <w:sz w:val="16"/>
              </w:rPr>
              <w:t>Model for the application workload and access patterns, not by mechanically translating an ER diagram.</w:t>
            </w:r>
          </w:p>
        </w:tc>
      </w:tr>
    </w:tbl>
    <w:p>
      <w:pPr>
        <w:spacing w:after="10"/>
      </w:pPr>
    </w:p>
    <w:p>
      <w:pPr>
        <w:spacing w:after="28"/>
        <w:ind w:left="259" w:hanging="259"/>
      </w:pPr>
      <w:r>
        <w:rPr>
          <w:b/>
          <w:color w:val="00A35C"/>
        </w:rPr>
        <w:t xml:space="preserve">1. </w:t>
      </w:r>
      <w:r>
        <w:t>Identify the most important read/write operations and latency/throughput requirements.</w:t>
      </w:r>
    </w:p>
    <w:p>
      <w:pPr>
        <w:spacing w:after="28"/>
        <w:ind w:left="259" w:hanging="259"/>
      </w:pPr>
      <w:r>
        <w:rPr>
          <w:b/>
          <w:color w:val="00A35C"/>
        </w:rPr>
        <w:t xml:space="preserve">2. </w:t>
      </w:r>
      <w:r>
        <w:t>Map relationships and lifecycle: what data belongs together, grows together and changes together?</w:t>
      </w:r>
    </w:p>
    <w:p>
      <w:pPr>
        <w:spacing w:after="28"/>
        <w:ind w:left="259" w:hanging="259"/>
      </w:pPr>
      <w:r>
        <w:rPr>
          <w:b/>
          <w:color w:val="00A35C"/>
        </w:rPr>
        <w:t xml:space="preserve">3. </w:t>
      </w:r>
      <w:r>
        <w:t>Choose embedding vs referencing based on access patterns, cardinality, update frequency, duplication and growth.</w:t>
      </w:r>
    </w:p>
    <w:p>
      <w:pPr>
        <w:spacing w:after="28"/>
        <w:ind w:left="259" w:hanging="259"/>
      </w:pPr>
      <w:r>
        <w:rPr>
          <w:b/>
          <w:color w:val="00A35C"/>
        </w:rPr>
        <w:t xml:space="preserve">4. </w:t>
      </w:r>
      <w:r>
        <w:t>Apply patterns only when they solve a measured need.</w:t>
      </w:r>
    </w:p>
    <w:p>
      <w:pPr>
        <w:spacing w:after="28"/>
        <w:ind w:left="259" w:hanging="259"/>
      </w:pPr>
      <w:r>
        <w:rPr>
          <w:b/>
          <w:color w:val="00A35C"/>
        </w:rPr>
        <w:t xml:space="preserve">5. </w:t>
      </w:r>
      <w:r>
        <w:t>Create indexes to support critical query shapes.</w:t>
      </w:r>
    </w:p>
    <w:p>
      <w:pPr>
        <w:spacing w:after="28"/>
        <w:ind w:left="259" w:hanging="259"/>
      </w:pPr>
      <w:r>
        <w:rPr>
          <w:b/>
          <w:color w:val="00A35C"/>
        </w:rPr>
        <w:t xml:space="preserve">6. </w:t>
      </w:r>
      <w:r>
        <w:t>Validate with representative data and production-like workloads.</w:t>
      </w:r>
    </w:p>
    <w:p>
      <w:pPr>
        <w:pStyle w:val="Heading2"/>
      </w:pPr>
      <w:r>
        <w:t>Embedding</w:t>
      </w:r>
    </w:p>
    <w:p>
      <w:pPr>
        <w:spacing w:after="28"/>
        <w:ind w:left="259" w:hanging="144"/>
      </w:pPr>
      <w:r>
        <w:rPr>
          <w:b/>
          <w:color w:val="00A35C"/>
        </w:rPr>
        <w:t xml:space="preserve">• </w:t>
      </w:r>
      <w:r>
        <w:t>Good when related data is usually read together and belongs to the same aggregate/lifecycle.</w:t>
      </w:r>
    </w:p>
    <w:p>
      <w:pPr>
        <w:spacing w:after="28"/>
        <w:ind w:left="259" w:hanging="144"/>
      </w:pPr>
      <w:r>
        <w:rPr>
          <w:b/>
          <w:color w:val="00A35C"/>
        </w:rPr>
        <w:t xml:space="preserve">• </w:t>
      </w:r>
      <w:r>
        <w:t>Can reduce joins/network round trips and makes related updates atomic within one document.</w:t>
      </w:r>
    </w:p>
    <w:p>
      <w:pPr>
        <w:spacing w:after="28"/>
        <w:ind w:left="259" w:hanging="144"/>
      </w:pPr>
      <w:r>
        <w:rPr>
          <w:b/>
          <w:color w:val="00A35C"/>
        </w:rPr>
        <w:t xml:space="preserve">• </w:t>
      </w:r>
      <w:r>
        <w:t>Watch for unbounded arrays, large documents, duplicated frequently-changing data and the 16 MiB limit.</w:t>
      </w:r>
    </w:p>
    <w:p>
      <w:pPr>
        <w:pStyle w:val="Heading2"/>
      </w:pPr>
      <w:r>
        <w:t>Referencing</w:t>
      </w:r>
    </w:p>
    <w:p>
      <w:pPr>
        <w:spacing w:after="28"/>
        <w:ind w:left="259" w:hanging="144"/>
      </w:pPr>
      <w:r>
        <w:rPr>
          <w:b/>
          <w:color w:val="00A35C"/>
        </w:rPr>
        <w:t xml:space="preserve">• </w:t>
      </w:r>
      <w:r>
        <w:t>Good for complex many-to-many relationships, independently changing entities, large hierarchies or data shared across many parents.</w:t>
      </w:r>
    </w:p>
    <w:p>
      <w:pPr>
        <w:spacing w:after="28"/>
        <w:ind w:left="259" w:hanging="144"/>
      </w:pPr>
      <w:r>
        <w:rPr>
          <w:b/>
          <w:color w:val="00A35C"/>
        </w:rPr>
        <w:t xml:space="preserve">• </w:t>
      </w:r>
      <w:r>
        <w:t>May require multiple queries or $lookup, so the trade-off is application simplicity/consistency versus read locality.</w:t>
      </w:r>
    </w:p>
    <w:p>
      <w:pPr>
        <w:pStyle w:val="Heading1"/>
      </w:pPr>
      <w:r>
        <w:t>15. Indexing and Query Performance - Know This Cold</w:t>
      </w:r>
    </w:p>
    <w:tbl>
      <w:tblPr>
        <w:tblW w:type="auto" w:w="0"/>
        <w:jc w:val="center"/>
        <w:tblLayout w:type="fixed"/>
        <w:tblLook w:firstColumn="1" w:firstRow="1" w:lastColumn="0" w:lastRow="0" w:noHBand="0" w:noVBand="1" w:val="04A0"/>
      </w:tblPr>
      <w:tblGrid>
        <w:gridCol w:w="5328"/>
        <w:gridCol w:w="5328"/>
      </w:tblGrid>
      <w:tr>
        <w:trPr>
          <w:cantSplit/>
          <w:tblHeader w:val="true"/>
          <w:cantSplit/>
        </w:trPr>
        <w:tc>
          <w:tcPr>
            <w:tcW w:type="dxa" w:w="2232"/>
            <w:vAlign w:val="top"/>
            <w:tcMar>
              <w:top w:w="60" w:type="dxa"/>
              <w:start w:w="70" w:type="dxa"/>
              <w:bottom w:w="60" w:type="dxa"/>
              <w:end w:w="70" w:type="dxa"/>
            </w:tcMar>
            <w:shd w:fill="00A35C"/>
          </w:tcPr>
          <w:p>
            <w:pPr>
              <w:spacing w:after="0" w:line="240" w:lineRule="auto"/>
            </w:pPr>
            <w:r>
              <w:rPr>
                <w:rFonts w:ascii="Aptos" w:hAnsi="Aptos"/>
                <w:b/>
                <w:color w:val="FFFFFF"/>
                <w:sz w:val="14"/>
              </w:rPr>
              <w:t>Concept</w:t>
            </w:r>
          </w:p>
        </w:tc>
        <w:tc>
          <w:tcPr>
            <w:tcW w:type="dxa" w:w="8424"/>
            <w:vAlign w:val="top"/>
            <w:tcMar>
              <w:top w:w="60" w:type="dxa"/>
              <w:start w:w="70" w:type="dxa"/>
              <w:bottom w:w="60" w:type="dxa"/>
              <w:end w:w="70" w:type="dxa"/>
            </w:tcMar>
            <w:shd w:fill="00A35C"/>
          </w:tcPr>
          <w:p>
            <w:pPr>
              <w:spacing w:after="0" w:line="240" w:lineRule="auto"/>
            </w:pPr>
            <w:r>
              <w:rPr>
                <w:rFonts w:ascii="Aptos" w:hAnsi="Aptos"/>
                <w:b/>
                <w:color w:val="FFFFFF"/>
                <w:sz w:val="14"/>
              </w:rPr>
              <w:t>What to say</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Compound index</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Index over multiple fields. Field order matters and should reflect actual query predicates and sort patterns.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ESR guideline</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A useful default for compound key order: Equality fields first, then Sort, then Range; highly selective range cases may justify ERS.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Covered query</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Query can be satisfied from index keys without fetching full documents, when projection/query conditions allow it.</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Multikey index</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Index on array values. Powerful, but arrays and compound multikey constraints require care.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Unique index</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Enforces uniqueness; useful for genuine business keys, not just performance.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Partial index</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Indexes only documents matching a filter; can reduce size/maintenance for targeted workloads.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TTL index</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Automatically expires documents based on a date field; useful for time-limited operational data.</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Index cost</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Indexes consume storage/memory and add write maintenance. Do not index every field.</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explain</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Use explain("executionStats") to inspect plan, nReturned, docs/keys examined, stage choices and whether a sort/collection scan is occurring.</w:t>
            </w:r>
          </w:p>
        </w:tc>
      </w:tr>
    </w:tbl>
    <w:p>
      <w:pPr>
        <w:spacing w:after="10"/>
      </w:pP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F6F8FA"/>
            <w:tcMar>
              <w:top w:w="60" w:type="dxa"/>
              <w:start w:w="70" w:type="dxa"/>
              <w:bottom w:w="60" w:type="dxa"/>
              <w:end w:w="70" w:type="dxa"/>
            </w:tcMar>
          </w:tcPr>
          <w:p>
            <w:pPr>
              <w:pStyle w:val="CodeBlock"/>
              <w:spacing w:after="0" w:line="240" w:lineRule="auto"/>
            </w:pPr>
            <w:r>
              <w:t>db.orders.createIndex({ customerId: 1, status: 1, createdAt: -1 })</w:t>
              <w:br/>
              <w:br/>
              <w:t>db.orders.find({ customerId: 42, status: "OPEN" })</w:t>
              <w:br/>
              <w:t xml:space="preserve">         .sort({ createdAt: -1 })</w:t>
              <w:br/>
              <w:t xml:space="preserve">         .explain("executionStats")</w:t>
            </w:r>
          </w:p>
        </w:tc>
      </w:tr>
    </w:tbl>
    <w:p>
      <w:pPr>
        <w:spacing w:after="10"/>
      </w:pP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PERFORMANCE LINE</w:t>
            </w:r>
          </w:p>
          <w:p>
            <w:pPr>
              <w:spacing w:after="0" w:line="240" w:lineRule="auto"/>
            </w:pPr>
            <w:r>
              <w:rPr>
                <w:color w:val="1E252B"/>
                <w:sz w:val="16"/>
              </w:rPr>
              <w:t>“I would not add an index from intuition alone. I’d start with the real query shape and explain plan, compare keys/documents examined to rows returned, check sort and selectivity, then validate the index under representative read and write load.”</w:t>
            </w:r>
          </w:p>
        </w:tc>
      </w:tr>
    </w:tbl>
    <w:p>
      <w:pPr>
        <w:spacing w:after="10"/>
      </w:pPr>
    </w:p>
    <w:p>
      <w:pPr>
        <w:pStyle w:val="Heading1"/>
      </w:pPr>
      <w:r>
        <w:t>16. Aggregation Pipeline - Enough for a Senior Interview</w:t>
      </w:r>
    </w:p>
    <w:tbl>
      <w:tblPr>
        <w:tblW w:type="auto" w:w="0"/>
        <w:jc w:val="center"/>
        <w:tblLayout w:type="fixed"/>
        <w:tblLook w:firstColumn="1" w:firstRow="1" w:lastColumn="0" w:lastRow="0" w:noHBand="0" w:noVBand="1" w:val="04A0"/>
      </w:tblPr>
      <w:tblGrid>
        <w:gridCol w:w="5328"/>
        <w:gridCol w:w="5328"/>
      </w:tblGrid>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$match</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Filter; push selective predicates early where possible so indexes can help.</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$project</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Shape fields; include/exclude or compute output.</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$set / $addFields</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Add or replace computed fields.</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$unwind</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Expand array elements into pipeline documents.</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$group</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Aggregate by key; sums/counts/accumulators.</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$sort</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Sort; can be expensive without index support or after large cardinality expansion.</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$lookup</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Join-like operation across collections; useful but not a reason to recreate every relational join pattern.</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$facet</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Run multiple sub-pipelines over the same input.</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$merge / $out</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Persist aggregation results to collections.</w:t>
            </w:r>
          </w:p>
        </w:tc>
      </w:tr>
    </w:tbl>
    <w:p>
      <w:pPr>
        <w:spacing w:after="10"/>
      </w:pP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F6F8FA"/>
            <w:tcMar>
              <w:top w:w="60" w:type="dxa"/>
              <w:start w:w="70" w:type="dxa"/>
              <w:bottom w:w="60" w:type="dxa"/>
              <w:end w:w="70" w:type="dxa"/>
            </w:tcMar>
          </w:tcPr>
          <w:p>
            <w:pPr>
              <w:pStyle w:val="CodeBlock"/>
              <w:spacing w:after="0" w:line="240" w:lineRule="auto"/>
            </w:pPr>
            <w:r>
              <w:t>db.trades.aggregate([</w:t>
              <w:br/>
              <w:t xml:space="preserve">  { $match: { portfolio: "P1", tradeDate: { $gte: ISODate("2026-09-01") } } },</w:t>
              <w:br/>
              <w:t xml:space="preserve">  { $group: { _id: "$currency", notional: { $sum: "$notional" }, count: { $sum: 1 } } },</w:t>
              <w:br/>
              <w:t xml:space="preserve">  { $sort: { notional: -1 } }</w:t>
              <w:br/>
              <w:t>])</w:t>
            </w:r>
          </w:p>
        </w:tc>
      </w:tr>
    </w:tbl>
    <w:p>
      <w:pPr>
        <w:spacing w:after="10"/>
      </w:pPr>
    </w:p>
    <w:p>
      <w:pPr>
        <w:pStyle w:val="Heading1"/>
      </w:pPr>
      <w:r>
        <w:t>17. Replica Sets, Read/Write Concern and High Availability</w:t>
      </w:r>
    </w:p>
    <w:tbl>
      <w:tblPr>
        <w:tblW w:type="auto" w:w="0"/>
        <w:jc w:val="center"/>
        <w:tblLayout w:type="fixed"/>
        <w:tblLook w:firstColumn="1" w:firstRow="1" w:lastColumn="0" w:lastRow="0" w:noHBand="0" w:noVBand="1" w:val="04A0"/>
      </w:tblPr>
      <w:tblGrid>
        <w:gridCol w:w="5328"/>
        <w:gridCol w:w="5328"/>
      </w:tblGrid>
      <w:tr>
        <w:trPr>
          <w:cantSplit/>
          <w:tblHeader w:val="true"/>
          <w:cantSplit/>
        </w:trPr>
        <w:tc>
          <w:tcPr>
            <w:tcW w:type="dxa" w:w="2088"/>
            <w:vAlign w:val="top"/>
            <w:tcMar>
              <w:top w:w="60" w:type="dxa"/>
              <w:start w:w="70" w:type="dxa"/>
              <w:bottom w:w="60" w:type="dxa"/>
              <w:end w:w="70" w:type="dxa"/>
            </w:tcMar>
            <w:shd w:fill="00A35C"/>
          </w:tcPr>
          <w:p>
            <w:pPr>
              <w:spacing w:after="0" w:line="240" w:lineRule="auto"/>
            </w:pPr>
            <w:r>
              <w:rPr>
                <w:rFonts w:ascii="Aptos" w:hAnsi="Aptos"/>
                <w:b/>
                <w:color w:val="FFFFFF"/>
                <w:sz w:val="14"/>
              </w:rPr>
              <w:t>Concept</w:t>
            </w:r>
          </w:p>
        </w:tc>
        <w:tc>
          <w:tcPr>
            <w:tcW w:type="dxa" w:w="8568"/>
            <w:vAlign w:val="top"/>
            <w:tcMar>
              <w:top w:w="60" w:type="dxa"/>
              <w:start w:w="70" w:type="dxa"/>
              <w:bottom w:w="60" w:type="dxa"/>
              <w:end w:w="70" w:type="dxa"/>
            </w:tcMar>
            <w:shd w:fill="00A35C"/>
          </w:tcPr>
          <w:p>
            <w:pPr>
              <w:spacing w:after="0" w:line="240" w:lineRule="auto"/>
            </w:pPr>
            <w:r>
              <w:rPr>
                <w:rFonts w:ascii="Aptos" w:hAnsi="Aptos"/>
                <w:b/>
                <w:color w:val="FFFFFF"/>
                <w:sz w:val="14"/>
              </w:rPr>
              <w:t>Strong explanation</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4"/>
              </w:rPr>
              <w:t>Primary</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4"/>
              </w:rPr>
              <w:t>Receives writes by default; replica set elects a new primary on failure.</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4"/>
              </w:rPr>
              <w:t>Secondaries</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4"/>
              </w:rPr>
              <w:t>Replicate operations and can serve reads depending on read preference.</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4"/>
              </w:rPr>
              <w:t>Oplog</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4"/>
              </w:rPr>
              <w:t>Replication operation log used by secondaries to replicate changes.</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4"/>
              </w:rPr>
              <w:t>Election</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4"/>
              </w:rPr>
              <w:t>If the primary is unavailable, eligible voting members elect a new primary; application drivers discover topology changes.</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4"/>
              </w:rPr>
              <w:t>Write concern</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4"/>
              </w:rPr>
              <w:t>Controls how much acknowledgement/durability a write requires. w:"majority" provides stronger durability than w:1 but may add latency.</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4"/>
              </w:rPr>
              <w:t>Read preference</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4"/>
              </w:rPr>
              <w:t>Controls which members may serve reads: primary, primaryPreferred, secondary, secondaryPreferred, nearest.</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4"/>
              </w:rPr>
              <w:t>Read concern</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4"/>
              </w:rPr>
              <w:t>Controls consistency/isolation level of reads. Do not confuse it with read preference.</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4"/>
              </w:rPr>
              <w:t>Replication lag</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4"/>
              </w:rPr>
              <w:t>Secondaries can fall behind; investigate disk, long operations, load, network, oplog window and resource saturation.</w:t>
            </w:r>
          </w:p>
        </w:tc>
      </w:tr>
    </w:tbl>
    <w:p>
      <w:pPr>
        <w:spacing w:after="10"/>
      </w:pP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TRADE-OFF LINE</w:t>
            </w:r>
          </w:p>
          <w:p>
            <w:pPr>
              <w:spacing w:after="0" w:line="240" w:lineRule="auto"/>
            </w:pPr>
            <w:r>
              <w:rPr>
                <w:color w:val="1E252B"/>
                <w:sz w:val="16"/>
              </w:rPr>
              <w:t>“I’d choose read/write semantics from the application’s correctness requirements. Stronger durability or consistency can cost latency/availability, so the right setting is a business requirement, not a universal default.”</w:t>
            </w:r>
          </w:p>
        </w:tc>
      </w:tr>
    </w:tbl>
    <w:p>
      <w:pPr>
        <w:spacing w:after="10"/>
      </w:pPr>
    </w:p>
    <w:p>
      <w:pPr>
        <w:pStyle w:val="Heading1"/>
      </w:pPr>
      <w:r>
        <w:t>18. Sharding - What You Need to Explain</w:t>
      </w:r>
    </w:p>
    <w:tbl>
      <w:tblPr>
        <w:tblW w:type="auto" w:w="0"/>
        <w:jc w:val="center"/>
        <w:tblLayout w:type="fixed"/>
        <w:tblLook w:firstColumn="1" w:firstRow="1" w:lastColumn="0" w:lastRow="0" w:noHBand="0" w:noVBand="1" w:val="04A0"/>
      </w:tblPr>
      <w:tblGrid>
        <w:gridCol w:w="5328"/>
        <w:gridCol w:w="5328"/>
      </w:tblGrid>
      <w:tr>
        <w:trPr>
          <w:cantSplit/>
          <w:tblHeader w:val="true"/>
          <w:cantSplit/>
        </w:trPr>
        <w:tc>
          <w:tcPr>
            <w:tcW w:type="dxa" w:w="2232"/>
            <w:vAlign w:val="top"/>
            <w:tcMar>
              <w:top w:w="60" w:type="dxa"/>
              <w:start w:w="70" w:type="dxa"/>
              <w:bottom w:w="60" w:type="dxa"/>
              <w:end w:w="70" w:type="dxa"/>
            </w:tcMar>
            <w:shd w:fill="00A35C"/>
          </w:tcPr>
          <w:p>
            <w:pPr>
              <w:spacing w:after="0" w:line="240" w:lineRule="auto"/>
            </w:pPr>
            <w:r>
              <w:rPr>
                <w:rFonts w:ascii="Aptos" w:hAnsi="Aptos"/>
                <w:b/>
                <w:color w:val="FFFFFF"/>
                <w:sz w:val="14"/>
              </w:rPr>
              <w:t>Component</w:t>
            </w:r>
          </w:p>
        </w:tc>
        <w:tc>
          <w:tcPr>
            <w:tcW w:type="dxa" w:w="8424"/>
            <w:vAlign w:val="top"/>
            <w:tcMar>
              <w:top w:w="60" w:type="dxa"/>
              <w:start w:w="70" w:type="dxa"/>
              <w:bottom w:w="60" w:type="dxa"/>
              <w:end w:w="70" w:type="dxa"/>
            </w:tcMar>
            <w:shd w:fill="00A35C"/>
          </w:tcPr>
          <w:p>
            <w:pPr>
              <w:spacing w:after="0" w:line="240" w:lineRule="auto"/>
            </w:pPr>
            <w:r>
              <w:rPr>
                <w:rFonts w:ascii="Aptos" w:hAnsi="Aptos"/>
                <w:b/>
                <w:color w:val="FFFFFF"/>
                <w:sz w:val="14"/>
              </w:rPr>
              <w:t>Purpose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Shard</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Stores a subset of sharded data; production shards are typically replica sets.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mongos</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Query router that directs operations to the appropriate shard(s).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Config server replica set</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Stores sharded-cluster metadata/configuration.</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Shard key</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Field(s) that determine data distribution and query targeting. Choice is fundamental to scale.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Balancer</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Moves data ranges between shards to maintain distribution, subject to zones and cluster state.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Zones</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Constrain ranges to particular shards/regions for locality/residency patterns.</w:t>
            </w:r>
          </w:p>
        </w:tc>
      </w:tr>
    </w:tbl>
    <w:p>
      <w:pPr>
        <w:spacing w:after="10"/>
      </w:pPr>
    </w:p>
    <w:p>
      <w:pPr>
        <w:pStyle w:val="Heading2"/>
      </w:pPr>
      <w:r>
        <w:t>What makes a good shard key?</w:t>
      </w:r>
    </w:p>
    <w:p>
      <w:pPr>
        <w:spacing w:after="28"/>
        <w:ind w:left="259" w:hanging="144"/>
      </w:pPr>
      <w:r>
        <w:rPr>
          <w:b/>
          <w:color w:val="00A35C"/>
        </w:rPr>
        <w:t xml:space="preserve">• </w:t>
      </w:r>
      <w:r>
        <w:t>Sufficient cardinality to distribute data.</w:t>
      </w:r>
    </w:p>
    <w:p>
      <w:pPr>
        <w:spacing w:after="28"/>
        <w:ind w:left="259" w:hanging="144"/>
      </w:pPr>
      <w:r>
        <w:rPr>
          <w:b/>
          <w:color w:val="00A35C"/>
        </w:rPr>
        <w:t xml:space="preserve">• </w:t>
      </w:r>
      <w:r>
        <w:t>Avoid pathological frequency/skew where a tiny number of values dominate.</w:t>
      </w:r>
    </w:p>
    <w:p>
      <w:pPr>
        <w:spacing w:after="28"/>
        <w:ind w:left="259" w:hanging="144"/>
      </w:pPr>
      <w:r>
        <w:rPr>
          <w:b/>
          <w:color w:val="00A35C"/>
        </w:rPr>
        <w:t xml:space="preserve">• </w:t>
      </w:r>
      <w:r>
        <w:t>Avoid monotonic hotspotting unless the strategy accounts for it.</w:t>
      </w:r>
    </w:p>
    <w:p>
      <w:pPr>
        <w:spacing w:after="28"/>
        <w:ind w:left="259" w:hanging="144"/>
      </w:pPr>
      <w:r>
        <w:rPr>
          <w:b/>
          <w:color w:val="00A35C"/>
        </w:rPr>
        <w:t xml:space="preserve">• </w:t>
      </w:r>
      <w:r>
        <w:t>Align with common query routing so operations can target shards rather than scatter/gather.</w:t>
      </w:r>
    </w:p>
    <w:p>
      <w:pPr>
        <w:spacing w:after="28"/>
        <w:ind w:left="259" w:hanging="144"/>
      </w:pPr>
      <w:r>
        <w:rPr>
          <w:b/>
          <w:color w:val="00A35C"/>
        </w:rPr>
        <w:t xml:space="preserve">• </w:t>
      </w:r>
      <w:r>
        <w:t>Consider ranged vs hashed distribution and future growth/locality requirements.</w:t>
      </w:r>
    </w:p>
    <w:p>
      <w:pPr>
        <w:pStyle w:val="Heading2"/>
      </w:pPr>
      <w:r>
        <w:t>Hashed vs ranged</w:t>
      </w:r>
    </w:p>
    <w:p>
      <w:pPr/>
      <w:r>
        <w:t>Hashed sharding tends to distribute inserts more evenly but is less friendly to range locality. Ranged sharding can support efficient range-targeted access but is more sensitive to key distribution and hotspots. Choose from workload evidence, not fashion.</w:t>
      </w:r>
    </w:p>
    <w:p>
      <w:pPr>
        <w:pStyle w:val="Heading1"/>
      </w:pPr>
      <w:r>
        <w:t>19. Transactions, Atomicity and Change Streams</w:t>
      </w:r>
    </w:p>
    <w:p>
      <w:pPr>
        <w:pStyle w:val="Heading2"/>
      </w:pPr>
      <w:r>
        <w:t>Transactions</w:t>
      </w:r>
    </w:p>
    <w:p>
      <w:pPr/>
      <w:r>
        <w:t>MongoDB supports multi-document transactions. But single-document operations are atomic, and document modelling can often keep related data in one aggregate. Use multi-document transactions when the business invariant genuinely spans documents/collections; understand their performance/operational cost rather than using them to recreate a relational model by default.</w:t>
      </w:r>
    </w:p>
    <w:p>
      <w:pPr>
        <w:pStyle w:val="Heading2"/>
      </w:pPr>
      <w:r>
        <w:t>Change streams</w:t>
      </w:r>
    </w:p>
    <w:p>
      <w:pPr/>
      <w:r>
        <w:t>Change streams let applications subscribe to real-time database changes on collections, databases or deployments without manually tailing the oplog. They are useful for reactive workflows, event propagation, caches, downstream processing and integrations. Consumers should still design for resume/retry/idempotency.</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F6F8FA"/>
            <w:tcMar>
              <w:top w:w="60" w:type="dxa"/>
              <w:start w:w="70" w:type="dxa"/>
              <w:bottom w:w="60" w:type="dxa"/>
              <w:end w:w="70" w:type="dxa"/>
            </w:tcMar>
          </w:tcPr>
          <w:p>
            <w:pPr>
              <w:pStyle w:val="CodeBlock"/>
              <w:spacing w:after="0" w:line="240" w:lineRule="auto"/>
            </w:pPr>
            <w:r>
              <w:t>with collection.watch() as stream:</w:t>
              <w:br/>
              <w:t xml:space="preserve">    for change in stream:</w:t>
              <w:br/>
              <w:t xml:space="preserve">        handle_change_idempotently(change)</w:t>
            </w:r>
          </w:p>
        </w:tc>
      </w:tr>
    </w:tbl>
    <w:p>
      <w:pPr>
        <w:spacing w:after="10"/>
      </w:pPr>
    </w:p>
    <w:p>
      <w:pPr>
        <w:pStyle w:val="Heading1"/>
      </w:pPr>
      <w:r>
        <w:t>20. Atlas, Cloud, Security, Backup and Operations</w:t>
      </w:r>
    </w:p>
    <w:tbl>
      <w:tblPr>
        <w:tblW w:type="auto" w:w="0"/>
        <w:jc w:val="center"/>
        <w:tblLayout w:type="fixed"/>
        <w:tblLook w:firstColumn="1" w:firstRow="1" w:lastColumn="0" w:lastRow="0" w:noHBand="0" w:noVBand="1" w:val="04A0"/>
      </w:tblPr>
      <w:tblGrid>
        <w:gridCol w:w="5328"/>
        <w:gridCol w:w="5328"/>
      </w:tblGrid>
      <w:tr>
        <w:trPr>
          <w:cantSplit/>
          <w:tblHeader w:val="true"/>
          <w:cantSplit/>
        </w:trPr>
        <w:tc>
          <w:tcPr>
            <w:tcW w:type="dxa" w:w="2160"/>
            <w:vAlign w:val="top"/>
            <w:tcMar>
              <w:top w:w="60" w:type="dxa"/>
              <w:start w:w="70" w:type="dxa"/>
              <w:bottom w:w="60" w:type="dxa"/>
              <w:end w:w="70" w:type="dxa"/>
            </w:tcMar>
            <w:shd w:fill="00A35C"/>
          </w:tcPr>
          <w:p>
            <w:pPr>
              <w:spacing w:after="0" w:line="240" w:lineRule="auto"/>
            </w:pPr>
            <w:r>
              <w:rPr>
                <w:rFonts w:ascii="Aptos" w:hAnsi="Aptos"/>
                <w:b/>
                <w:color w:val="FFFFFF"/>
                <w:sz w:val="14"/>
              </w:rPr>
              <w:t>Area</w:t>
            </w:r>
          </w:p>
        </w:tc>
        <w:tc>
          <w:tcPr>
            <w:tcW w:type="dxa" w:w="8496"/>
            <w:vAlign w:val="top"/>
            <w:tcMar>
              <w:top w:w="60" w:type="dxa"/>
              <w:start w:w="70" w:type="dxa"/>
              <w:bottom w:w="60" w:type="dxa"/>
              <w:end w:w="70" w:type="dxa"/>
            </w:tcMar>
            <w:shd w:fill="00A35C"/>
          </w:tcPr>
          <w:p>
            <w:pPr>
              <w:spacing w:after="0" w:line="240" w:lineRule="auto"/>
            </w:pPr>
            <w:r>
              <w:rPr>
                <w:rFonts w:ascii="Aptos" w:hAnsi="Aptos"/>
                <w:b/>
                <w:color w:val="FFFFFF"/>
                <w:sz w:val="14"/>
              </w:rPr>
              <w:t>What to discuss</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Atlas</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Managed MongoDB platform across AWS/Azure/GCP; reduces undifferentiated operational burden while providing scaling, backup, monitoring and integrated services.</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Networking</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IP access lists / private connectivity patterns, VPC/VNet peering or private endpoints depending architecture; minimise public exposure.</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Authentication / RBAC</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Least privilege, separate human/service identities, controlled administrative roles.</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Encryption</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TLS in transit; encryption at rest; customer-managed key options when required.</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Backups</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Define RPO/RTO first; configure backups/PITR appropriately and test restores. A backup strategy is incomplete until restore is proven.</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Monitoring</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Latency, throughput, connections, cache/memory, CPU/disk, replication lag, query behaviour, alerts tied to user impact.</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Capacity</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Size for working set, storage growth, peak throughput and resilience; avoid sizing from average load only.</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4"/>
              </w:rPr>
              <w:t>DR</w:t>
            </w:r>
          </w:p>
        </w:tc>
        <w:tc>
          <w:tcPr>
            <w:tcW w:type="dxa" w:w="8496"/>
            <w:vAlign w:val="top"/>
            <w:tcMar>
              <w:top w:w="60" w:type="dxa"/>
              <w:start w:w="70" w:type="dxa"/>
              <w:bottom w:w="60" w:type="dxa"/>
              <w:end w:w="70" w:type="dxa"/>
            </w:tcMar>
          </w:tcPr>
          <w:p>
            <w:pPr>
              <w:spacing w:after="0" w:line="240" w:lineRule="auto"/>
            </w:pPr>
            <w:r>
              <w:rPr>
                <w:rFonts w:ascii="Aptos" w:hAnsi="Aptos"/>
                <w:color w:val="1E252B"/>
                <w:sz w:val="14"/>
              </w:rPr>
              <w:t>Region/topology choices depend on RPO/RTO, residency, latency and cost. Rehearse failover/cutover procedures.</w:t>
            </w:r>
          </w:p>
        </w:tc>
      </w:tr>
    </w:tbl>
    <w:p>
      <w:pPr>
        <w:spacing w:after="10"/>
      </w:pPr>
    </w:p>
    <w:p>
      <w:pPr>
        <w:pStyle w:val="Heading1"/>
      </w:pPr>
      <w:r>
        <w:t>21. Relational vs MongoDB - Avoid Religious Answers</w:t>
      </w:r>
    </w:p>
    <w:tbl>
      <w:tblPr>
        <w:tblW w:type="auto" w:w="0"/>
        <w:jc w:val="center"/>
        <w:tblLayout w:type="fixed"/>
        <w:tblLook w:firstColumn="1" w:firstRow="1" w:lastColumn="0" w:lastRow="0" w:noHBand="0" w:noVBand="1" w:val="04A0"/>
      </w:tblPr>
      <w:tblGrid>
        <w:gridCol w:w="3552"/>
        <w:gridCol w:w="3552"/>
        <w:gridCol w:w="3552"/>
      </w:tblGrid>
      <w:tr>
        <w:trPr>
          <w:cantSplit/>
          <w:tblHeader w:val="true"/>
          <w:cantSplit/>
        </w:trPr>
        <w:tc>
          <w:tcPr>
            <w:tcW w:type="dxa" w:w="1728"/>
            <w:vAlign w:val="top"/>
            <w:tcMar>
              <w:top w:w="60" w:type="dxa"/>
              <w:start w:w="70" w:type="dxa"/>
              <w:bottom w:w="60" w:type="dxa"/>
              <w:end w:w="70" w:type="dxa"/>
            </w:tcMar>
            <w:shd w:fill="00A35C"/>
          </w:tcPr>
          <w:p>
            <w:pPr>
              <w:spacing w:after="0" w:line="240" w:lineRule="auto"/>
            </w:pPr>
            <w:r>
              <w:rPr>
                <w:rFonts w:ascii="Aptos" w:hAnsi="Aptos"/>
                <w:b/>
                <w:color w:val="FFFFFF"/>
                <w:sz w:val="13"/>
              </w:rPr>
              <w:t>Dimension</w:t>
            </w:r>
          </w:p>
        </w:tc>
        <w:tc>
          <w:tcPr>
            <w:tcW w:type="dxa" w:w="3312"/>
            <w:vAlign w:val="top"/>
            <w:tcMar>
              <w:top w:w="60" w:type="dxa"/>
              <w:start w:w="70" w:type="dxa"/>
              <w:bottom w:w="60" w:type="dxa"/>
              <w:end w:w="70" w:type="dxa"/>
            </w:tcMar>
            <w:shd w:fill="00A35C"/>
          </w:tcPr>
          <w:p>
            <w:pPr>
              <w:spacing w:after="0" w:line="240" w:lineRule="auto"/>
            </w:pPr>
            <w:r>
              <w:rPr>
                <w:rFonts w:ascii="Aptos" w:hAnsi="Aptos"/>
                <w:b/>
                <w:color w:val="FFFFFF"/>
                <w:sz w:val="13"/>
              </w:rPr>
              <w:t>Relational tendency</w:t>
            </w:r>
          </w:p>
        </w:tc>
        <w:tc>
          <w:tcPr>
            <w:tcW w:type="dxa" w:w="5616"/>
            <w:vAlign w:val="top"/>
            <w:tcMar>
              <w:top w:w="60" w:type="dxa"/>
              <w:start w:w="70" w:type="dxa"/>
              <w:bottom w:w="60" w:type="dxa"/>
              <w:end w:w="70" w:type="dxa"/>
            </w:tcMar>
            <w:shd w:fill="00A35C"/>
          </w:tcPr>
          <w:p>
            <w:pPr>
              <w:spacing w:after="0" w:line="240" w:lineRule="auto"/>
            </w:pPr>
            <w:r>
              <w:rPr>
                <w:rFonts w:ascii="Aptos" w:hAnsi="Aptos"/>
                <w:b/>
                <w:color w:val="FFFFFF"/>
                <w:sz w:val="13"/>
              </w:rPr>
              <w:t>MongoDB tendency / nuance</w:t>
            </w:r>
          </w:p>
        </w:tc>
      </w:tr>
      <w:tr>
        <w:trPr>
          <w:cantSplit/>
          <w:cantSplit/>
        </w:trPr>
        <w:tc>
          <w:tcPr>
            <w:tcW w:type="dxa" w:w="1728"/>
            <w:vAlign w:val="top"/>
            <w:tcMar>
              <w:top w:w="60" w:type="dxa"/>
              <w:start w:w="70" w:type="dxa"/>
              <w:bottom w:w="60" w:type="dxa"/>
              <w:end w:w="70" w:type="dxa"/>
            </w:tcMar>
            <w:shd w:fill="F3FAF6"/>
          </w:tcPr>
          <w:p>
            <w:pPr>
              <w:spacing w:after="0" w:line="240" w:lineRule="auto"/>
            </w:pPr>
            <w:r>
              <w:rPr>
                <w:rFonts w:ascii="Aptos" w:hAnsi="Aptos"/>
                <w:b/>
                <w:color w:val="001E2B"/>
                <w:sz w:val="13"/>
              </w:rPr>
              <w:t>Data model</w:t>
            </w:r>
          </w:p>
        </w:tc>
        <w:tc>
          <w:tcPr>
            <w:tcW w:type="dxa" w:w="3312"/>
            <w:vAlign w:val="top"/>
            <w:tcMar>
              <w:top w:w="60" w:type="dxa"/>
              <w:start w:w="70" w:type="dxa"/>
              <w:bottom w:w="60" w:type="dxa"/>
              <w:end w:w="70" w:type="dxa"/>
            </w:tcMar>
          </w:tcPr>
          <w:p>
            <w:pPr>
              <w:spacing w:after="0" w:line="240" w:lineRule="auto"/>
            </w:pPr>
            <w:r>
              <w:rPr>
                <w:rFonts w:ascii="Aptos" w:hAnsi="Aptos"/>
                <w:color w:val="1E252B"/>
                <w:sz w:val="13"/>
              </w:rPr>
              <w:t>Normalised tables + relations</w:t>
            </w:r>
          </w:p>
        </w:tc>
        <w:tc>
          <w:tcPr>
            <w:tcW w:type="dxa" w:w="5616"/>
            <w:vAlign w:val="top"/>
            <w:tcMar>
              <w:top w:w="60" w:type="dxa"/>
              <w:start w:w="70" w:type="dxa"/>
              <w:bottom w:w="60" w:type="dxa"/>
              <w:end w:w="70" w:type="dxa"/>
            </w:tcMar>
          </w:tcPr>
          <w:p>
            <w:pPr>
              <w:spacing w:after="0" w:line="240" w:lineRule="auto"/>
            </w:pPr>
            <w:r>
              <w:rPr>
                <w:rFonts w:ascii="Aptos" w:hAnsi="Aptos"/>
                <w:color w:val="1E252B"/>
                <w:sz w:val="13"/>
              </w:rPr>
              <w:t>Application-shaped documents; embed/reference based on workload.</w:t>
            </w:r>
          </w:p>
        </w:tc>
      </w:tr>
      <w:tr>
        <w:trPr>
          <w:cantSplit/>
          <w:cantSplit/>
        </w:trPr>
        <w:tc>
          <w:tcPr>
            <w:tcW w:type="dxa" w:w="1728"/>
            <w:vAlign w:val="top"/>
            <w:tcMar>
              <w:top w:w="60" w:type="dxa"/>
              <w:start w:w="70" w:type="dxa"/>
              <w:bottom w:w="60" w:type="dxa"/>
              <w:end w:w="70" w:type="dxa"/>
            </w:tcMar>
            <w:shd w:fill="F3FAF6"/>
          </w:tcPr>
          <w:p>
            <w:pPr>
              <w:spacing w:after="0" w:line="240" w:lineRule="auto"/>
            </w:pPr>
            <w:r>
              <w:rPr>
                <w:rFonts w:ascii="Aptos" w:hAnsi="Aptos"/>
                <w:b/>
                <w:color w:val="001E2B"/>
                <w:sz w:val="13"/>
              </w:rPr>
              <w:t>Schema</w:t>
            </w:r>
          </w:p>
        </w:tc>
        <w:tc>
          <w:tcPr>
            <w:tcW w:type="dxa" w:w="3312"/>
            <w:vAlign w:val="top"/>
            <w:tcMar>
              <w:top w:w="60" w:type="dxa"/>
              <w:start w:w="70" w:type="dxa"/>
              <w:bottom w:w="60" w:type="dxa"/>
              <w:end w:w="70" w:type="dxa"/>
            </w:tcMar>
          </w:tcPr>
          <w:p>
            <w:pPr>
              <w:spacing w:after="0" w:line="240" w:lineRule="auto"/>
            </w:pPr>
            <w:r>
              <w:rPr>
                <w:rFonts w:ascii="Aptos" w:hAnsi="Aptos"/>
                <w:color w:val="1E252B"/>
                <w:sz w:val="13"/>
              </w:rPr>
              <w:t>Explicit schema central to DB design</w:t>
            </w:r>
          </w:p>
        </w:tc>
        <w:tc>
          <w:tcPr>
            <w:tcW w:type="dxa" w:w="5616"/>
            <w:vAlign w:val="top"/>
            <w:tcMar>
              <w:top w:w="60" w:type="dxa"/>
              <w:start w:w="70" w:type="dxa"/>
              <w:bottom w:w="60" w:type="dxa"/>
              <w:end w:w="70" w:type="dxa"/>
            </w:tcMar>
          </w:tcPr>
          <w:p>
            <w:pPr>
              <w:spacing w:after="0" w:line="240" w:lineRule="auto"/>
            </w:pPr>
            <w:r>
              <w:rPr>
                <w:rFonts w:ascii="Aptos" w:hAnsi="Aptos"/>
                <w:color w:val="1E252B"/>
                <w:sz w:val="13"/>
              </w:rPr>
              <w:t>Flexible schema, but validation/contracts still valuable in production.</w:t>
            </w:r>
          </w:p>
        </w:tc>
      </w:tr>
      <w:tr>
        <w:trPr>
          <w:cantSplit/>
          <w:cantSplit/>
        </w:trPr>
        <w:tc>
          <w:tcPr>
            <w:tcW w:type="dxa" w:w="1728"/>
            <w:vAlign w:val="top"/>
            <w:tcMar>
              <w:top w:w="60" w:type="dxa"/>
              <w:start w:w="70" w:type="dxa"/>
              <w:bottom w:w="60" w:type="dxa"/>
              <w:end w:w="70" w:type="dxa"/>
            </w:tcMar>
            <w:shd w:fill="F3FAF6"/>
          </w:tcPr>
          <w:p>
            <w:pPr>
              <w:spacing w:after="0" w:line="240" w:lineRule="auto"/>
            </w:pPr>
            <w:r>
              <w:rPr>
                <w:rFonts w:ascii="Aptos" w:hAnsi="Aptos"/>
                <w:b/>
                <w:color w:val="001E2B"/>
                <w:sz w:val="13"/>
              </w:rPr>
              <w:t>Joins</w:t>
            </w:r>
          </w:p>
        </w:tc>
        <w:tc>
          <w:tcPr>
            <w:tcW w:type="dxa" w:w="3312"/>
            <w:vAlign w:val="top"/>
            <w:tcMar>
              <w:top w:w="60" w:type="dxa"/>
              <w:start w:w="70" w:type="dxa"/>
              <w:bottom w:w="60" w:type="dxa"/>
              <w:end w:w="70" w:type="dxa"/>
            </w:tcMar>
          </w:tcPr>
          <w:p>
            <w:pPr>
              <w:spacing w:after="0" w:line="240" w:lineRule="auto"/>
            </w:pPr>
            <w:r>
              <w:rPr>
                <w:rFonts w:ascii="Aptos" w:hAnsi="Aptos"/>
                <w:color w:val="1E252B"/>
                <w:sz w:val="13"/>
              </w:rPr>
              <w:t>Core model via SQL joins</w:t>
            </w:r>
          </w:p>
        </w:tc>
        <w:tc>
          <w:tcPr>
            <w:tcW w:type="dxa" w:w="5616"/>
            <w:vAlign w:val="top"/>
            <w:tcMar>
              <w:top w:w="60" w:type="dxa"/>
              <w:start w:w="70" w:type="dxa"/>
              <w:bottom w:w="60" w:type="dxa"/>
              <w:end w:w="70" w:type="dxa"/>
            </w:tcMar>
          </w:tcPr>
          <w:p>
            <w:pPr>
              <w:spacing w:after="0" w:line="240" w:lineRule="auto"/>
            </w:pPr>
            <w:r>
              <w:rPr>
                <w:rFonts w:ascii="Aptos" w:hAnsi="Aptos"/>
                <w:color w:val="1E252B"/>
                <w:sz w:val="13"/>
              </w:rPr>
              <w:t>Can use $lookup, but frequent joins may signal a different document boundary.</w:t>
            </w:r>
          </w:p>
        </w:tc>
      </w:tr>
      <w:tr>
        <w:trPr>
          <w:cantSplit/>
          <w:cantSplit/>
        </w:trPr>
        <w:tc>
          <w:tcPr>
            <w:tcW w:type="dxa" w:w="1728"/>
            <w:vAlign w:val="top"/>
            <w:tcMar>
              <w:top w:w="60" w:type="dxa"/>
              <w:start w:w="70" w:type="dxa"/>
              <w:bottom w:w="60" w:type="dxa"/>
              <w:end w:w="70" w:type="dxa"/>
            </w:tcMar>
            <w:shd w:fill="F3FAF6"/>
          </w:tcPr>
          <w:p>
            <w:pPr>
              <w:spacing w:after="0" w:line="240" w:lineRule="auto"/>
            </w:pPr>
            <w:r>
              <w:rPr>
                <w:rFonts w:ascii="Aptos" w:hAnsi="Aptos"/>
                <w:b/>
                <w:color w:val="001E2B"/>
                <w:sz w:val="13"/>
              </w:rPr>
              <w:t>Transactions</w:t>
            </w:r>
          </w:p>
        </w:tc>
        <w:tc>
          <w:tcPr>
            <w:tcW w:type="dxa" w:w="3312"/>
            <w:vAlign w:val="top"/>
            <w:tcMar>
              <w:top w:w="60" w:type="dxa"/>
              <w:start w:w="70" w:type="dxa"/>
              <w:bottom w:w="60" w:type="dxa"/>
              <w:end w:w="70" w:type="dxa"/>
            </w:tcMar>
          </w:tcPr>
          <w:p>
            <w:pPr>
              <w:spacing w:after="0" w:line="240" w:lineRule="auto"/>
            </w:pPr>
            <w:r>
              <w:rPr>
                <w:rFonts w:ascii="Aptos" w:hAnsi="Aptos"/>
                <w:color w:val="1E252B"/>
                <w:sz w:val="13"/>
              </w:rPr>
              <w:t>Mature multi-table ACID model</w:t>
            </w:r>
          </w:p>
        </w:tc>
        <w:tc>
          <w:tcPr>
            <w:tcW w:type="dxa" w:w="5616"/>
            <w:vAlign w:val="top"/>
            <w:tcMar>
              <w:top w:w="60" w:type="dxa"/>
              <w:start w:w="70" w:type="dxa"/>
              <w:bottom w:w="60" w:type="dxa"/>
              <w:end w:w="70" w:type="dxa"/>
            </w:tcMar>
          </w:tcPr>
          <w:p>
            <w:pPr>
              <w:spacing w:after="0" w:line="240" w:lineRule="auto"/>
            </w:pPr>
            <w:r>
              <w:rPr>
                <w:rFonts w:ascii="Aptos" w:hAnsi="Aptos"/>
                <w:color w:val="1E252B"/>
                <w:sz w:val="13"/>
              </w:rPr>
              <w:t>Multi-document ACID supported; single-document atomicity often exploited by schema design.</w:t>
            </w:r>
          </w:p>
        </w:tc>
      </w:tr>
      <w:tr>
        <w:trPr>
          <w:cantSplit/>
          <w:cantSplit/>
        </w:trPr>
        <w:tc>
          <w:tcPr>
            <w:tcW w:type="dxa" w:w="1728"/>
            <w:vAlign w:val="top"/>
            <w:tcMar>
              <w:top w:w="60" w:type="dxa"/>
              <w:start w:w="70" w:type="dxa"/>
              <w:bottom w:w="60" w:type="dxa"/>
              <w:end w:w="70" w:type="dxa"/>
            </w:tcMar>
            <w:shd w:fill="F3FAF6"/>
          </w:tcPr>
          <w:p>
            <w:pPr>
              <w:spacing w:after="0" w:line="240" w:lineRule="auto"/>
            </w:pPr>
            <w:r>
              <w:rPr>
                <w:rFonts w:ascii="Aptos" w:hAnsi="Aptos"/>
                <w:b/>
                <w:color w:val="001E2B"/>
                <w:sz w:val="13"/>
              </w:rPr>
              <w:t>Scale</w:t>
            </w:r>
          </w:p>
        </w:tc>
        <w:tc>
          <w:tcPr>
            <w:tcW w:type="dxa" w:w="3312"/>
            <w:vAlign w:val="top"/>
            <w:tcMar>
              <w:top w:w="60" w:type="dxa"/>
              <w:start w:w="70" w:type="dxa"/>
              <w:bottom w:w="60" w:type="dxa"/>
              <w:end w:w="70" w:type="dxa"/>
            </w:tcMar>
          </w:tcPr>
          <w:p>
            <w:pPr>
              <w:spacing w:after="0" w:line="240" w:lineRule="auto"/>
            </w:pPr>
            <w:r>
              <w:rPr>
                <w:rFonts w:ascii="Aptos" w:hAnsi="Aptos"/>
                <w:color w:val="1E252B"/>
                <w:sz w:val="13"/>
              </w:rPr>
              <w:t>Vertical + replicas/partitioning depending engine</w:t>
            </w:r>
          </w:p>
        </w:tc>
        <w:tc>
          <w:tcPr>
            <w:tcW w:type="dxa" w:w="5616"/>
            <w:vAlign w:val="top"/>
            <w:tcMar>
              <w:top w:w="60" w:type="dxa"/>
              <w:start w:w="70" w:type="dxa"/>
              <w:bottom w:w="60" w:type="dxa"/>
              <w:end w:w="70" w:type="dxa"/>
            </w:tcMar>
          </w:tcPr>
          <w:p>
            <w:pPr>
              <w:spacing w:after="0" w:line="240" w:lineRule="auto"/>
            </w:pPr>
            <w:r>
              <w:rPr>
                <w:rFonts w:ascii="Aptos" w:hAnsi="Aptos"/>
                <w:color w:val="1E252B"/>
                <w:sz w:val="13"/>
              </w:rPr>
              <w:t>Replica sets + native sharding for horizontal distribution.</w:t>
            </w:r>
          </w:p>
        </w:tc>
      </w:tr>
      <w:tr>
        <w:trPr>
          <w:cantSplit/>
          <w:cantSplit/>
        </w:trPr>
        <w:tc>
          <w:tcPr>
            <w:tcW w:type="dxa" w:w="1728"/>
            <w:vAlign w:val="top"/>
            <w:tcMar>
              <w:top w:w="60" w:type="dxa"/>
              <w:start w:w="70" w:type="dxa"/>
              <w:bottom w:w="60" w:type="dxa"/>
              <w:end w:w="70" w:type="dxa"/>
            </w:tcMar>
            <w:shd w:fill="F3FAF6"/>
          </w:tcPr>
          <w:p>
            <w:pPr>
              <w:spacing w:after="0" w:line="240" w:lineRule="auto"/>
            </w:pPr>
            <w:r>
              <w:rPr>
                <w:rFonts w:ascii="Aptos" w:hAnsi="Aptos"/>
                <w:b/>
                <w:color w:val="001E2B"/>
                <w:sz w:val="13"/>
              </w:rPr>
              <w:t>Best fit</w:t>
            </w:r>
          </w:p>
        </w:tc>
        <w:tc>
          <w:tcPr>
            <w:tcW w:type="dxa" w:w="3312"/>
            <w:vAlign w:val="top"/>
            <w:tcMar>
              <w:top w:w="60" w:type="dxa"/>
              <w:start w:w="70" w:type="dxa"/>
              <w:bottom w:w="60" w:type="dxa"/>
              <w:end w:w="70" w:type="dxa"/>
            </w:tcMar>
          </w:tcPr>
          <w:p>
            <w:pPr>
              <w:spacing w:after="0" w:line="240" w:lineRule="auto"/>
            </w:pPr>
            <w:r>
              <w:rPr>
                <w:rFonts w:ascii="Aptos" w:hAnsi="Aptos"/>
                <w:color w:val="1E252B"/>
                <w:sz w:val="13"/>
              </w:rPr>
              <w:t>Complex relational/ad-hoc joins and established relational workloads can be excellent fits</w:t>
            </w:r>
          </w:p>
        </w:tc>
        <w:tc>
          <w:tcPr>
            <w:tcW w:type="dxa" w:w="5616"/>
            <w:vAlign w:val="top"/>
            <w:tcMar>
              <w:top w:w="60" w:type="dxa"/>
              <w:start w:w="70" w:type="dxa"/>
              <w:bottom w:w="60" w:type="dxa"/>
              <w:end w:w="70" w:type="dxa"/>
            </w:tcMar>
          </w:tcPr>
          <w:p>
            <w:pPr>
              <w:spacing w:after="0" w:line="240" w:lineRule="auto"/>
            </w:pPr>
            <w:r>
              <w:rPr>
                <w:rFonts w:ascii="Aptos" w:hAnsi="Aptos"/>
                <w:color w:val="1E252B"/>
                <w:sz w:val="13"/>
              </w:rPr>
              <w:t>Evolving application data, hierarchical aggregates, high-scale operational workloads and rapid development can be excellent fits.</w:t>
            </w:r>
          </w:p>
        </w:tc>
      </w:tr>
    </w:tbl>
    <w:p>
      <w:pPr>
        <w:spacing w:after="10"/>
      </w:pP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FCE8E6"/>
            <w:tcMar>
              <w:top w:w="60" w:type="dxa"/>
              <w:start w:w="70" w:type="dxa"/>
              <w:bottom w:w="60" w:type="dxa"/>
              <w:end w:w="70" w:type="dxa"/>
            </w:tcMar>
          </w:tcPr>
          <w:p>
            <w:pPr>
              <w:spacing w:after="0" w:line="240" w:lineRule="auto"/>
            </w:pPr>
            <w:r>
              <w:rPr>
                <w:b/>
                <w:color w:val="B42318"/>
                <w:sz w:val="16"/>
              </w:rPr>
              <w:t>NEVER SAY</w:t>
            </w:r>
          </w:p>
          <w:p>
            <w:pPr>
              <w:spacing w:after="0" w:line="240" w:lineRule="auto"/>
            </w:pPr>
            <w:r>
              <w:rPr>
                <w:color w:val="1E252B"/>
                <w:sz w:val="16"/>
              </w:rPr>
              <w:t>“NoSQL is schema-less” or “MongoDB is always faster than SQL.” Senior answers start with workload, correctness, operations and team constraints.</w:t>
            </w:r>
          </w:p>
        </w:tc>
      </w:tr>
    </w:tbl>
    <w:p>
      <w:pPr>
        <w:spacing w:after="10"/>
      </w:pPr>
    </w:p>
    <w:p>
      <w:pPr>
        <w:pStyle w:val="Heading1"/>
      </w:pPr>
      <w:r>
        <w:t>22. Migration / Modernisation Scenario - SQL Server to MongoDB Atlas</w:t>
      </w:r>
    </w:p>
    <w:p>
      <w:pPr>
        <w:spacing w:after="28"/>
        <w:ind w:left="259" w:hanging="259"/>
      </w:pPr>
      <w:r>
        <w:rPr>
          <w:b/>
          <w:color w:val="00A35C"/>
        </w:rPr>
        <w:t xml:space="preserve">1. </w:t>
      </w:r>
      <w:r>
        <w:t>Clarify why migrate: scale, agility, cloud, developer velocity, operational cost? If the reason is vague, success will be vague.</w:t>
      </w:r>
    </w:p>
    <w:p>
      <w:pPr>
        <w:spacing w:after="28"/>
        <w:ind w:left="259" w:hanging="259"/>
      </w:pPr>
      <w:r>
        <w:rPr>
          <w:b/>
          <w:color w:val="00A35C"/>
        </w:rPr>
        <w:t xml:space="preserve">2. </w:t>
      </w:r>
      <w:r>
        <w:t>Inventory applications, queries, data relationships, SLAs, transactions, stored procedures, reporting dependencies and data volume.</w:t>
      </w:r>
    </w:p>
    <w:p>
      <w:pPr>
        <w:spacing w:after="28"/>
        <w:ind w:left="259" w:hanging="259"/>
      </w:pPr>
      <w:r>
        <w:rPr>
          <w:b/>
          <w:color w:val="00A35C"/>
        </w:rPr>
        <w:t xml:space="preserve">3. </w:t>
      </w:r>
      <w:r>
        <w:t>Do not map tables 1:1. Redesign around application access patterns and aggregate boundaries.</w:t>
      </w:r>
    </w:p>
    <w:p>
      <w:pPr>
        <w:spacing w:after="28"/>
        <w:ind w:left="259" w:hanging="259"/>
      </w:pPr>
      <w:r>
        <w:rPr>
          <w:b/>
          <w:color w:val="00A35C"/>
        </w:rPr>
        <w:t xml:space="preserve">4. </w:t>
      </w:r>
      <w:r>
        <w:t>Choose target Atlas topology, regions, security/networking, backup and operational model.</w:t>
      </w:r>
    </w:p>
    <w:p>
      <w:pPr>
        <w:spacing w:after="28"/>
        <w:ind w:left="259" w:hanging="259"/>
      </w:pPr>
      <w:r>
        <w:rPr>
          <w:b/>
          <w:color w:val="00A35C"/>
        </w:rPr>
        <w:t xml:space="preserve">5. </w:t>
      </w:r>
      <w:r>
        <w:t>Build representative schema + indexes; run workload/performance tests early.</w:t>
      </w:r>
    </w:p>
    <w:p>
      <w:pPr>
        <w:spacing w:after="28"/>
        <w:ind w:left="259" w:hanging="259"/>
      </w:pPr>
      <w:r>
        <w:rPr>
          <w:b/>
          <w:color w:val="00A35C"/>
        </w:rPr>
        <w:t xml:space="preserve">6. </w:t>
      </w:r>
      <w:r>
        <w:t>Design migration mechanism (bulk load + CDC/dual-write depending downtime requirement).</w:t>
      </w:r>
    </w:p>
    <w:p>
      <w:pPr>
        <w:spacing w:after="28"/>
        <w:ind w:left="259" w:hanging="259"/>
      </w:pPr>
      <w:r>
        <w:rPr>
          <w:b/>
          <w:color w:val="00A35C"/>
        </w:rPr>
        <w:t xml:space="preserve">7. </w:t>
      </w:r>
      <w:r>
        <w:t>Validate row/document counts plus business invariants and query results, not only migration-tool success.</w:t>
      </w:r>
    </w:p>
    <w:p>
      <w:pPr>
        <w:spacing w:after="28"/>
        <w:ind w:left="259" w:hanging="259"/>
      </w:pPr>
      <w:r>
        <w:rPr>
          <w:b/>
          <w:color w:val="00A35C"/>
        </w:rPr>
        <w:t xml:space="preserve">8. </w:t>
      </w:r>
      <w:r>
        <w:t>Rehearse cutover and rollback. Freeze/change-control where required.</w:t>
      </w:r>
    </w:p>
    <w:p>
      <w:pPr>
        <w:spacing w:after="28"/>
        <w:ind w:left="259" w:hanging="259"/>
      </w:pPr>
      <w:r>
        <w:rPr>
          <w:b/>
          <w:color w:val="00A35C"/>
        </w:rPr>
        <w:t xml:space="preserve">9. </w:t>
      </w:r>
      <w:r>
        <w:t>Monitor after cutover and transfer operational knowledge/runbooks to customer teams.</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CONSULTING DIFFERENTIATOR</w:t>
            </w:r>
          </w:p>
          <w:p>
            <w:pPr>
              <w:spacing w:after="0" w:line="240" w:lineRule="auto"/>
            </w:pPr>
            <w:r>
              <w:rPr>
                <w:color w:val="1E252B"/>
                <w:sz w:val="16"/>
              </w:rPr>
              <w:t>Always connect technical migration choices to downtime tolerance, RPO/RTO, customer risk and operational ownership.</w:t>
            </w:r>
          </w:p>
        </w:tc>
      </w:tr>
    </w:tbl>
    <w:p>
      <w:pPr>
        <w:spacing w:after="10"/>
      </w:pPr>
    </w:p>
    <w:p>
      <w:pPr>
        <w:pStyle w:val="Heading1"/>
      </w:pPr>
      <w:r>
        <w:t>23. Troubleshooting Playbook - Slow MongoDB Application</w:t>
      </w:r>
    </w:p>
    <w:p>
      <w:pPr>
        <w:spacing w:after="28"/>
        <w:ind w:left="259" w:hanging="259"/>
      </w:pPr>
      <w:r>
        <w:rPr>
          <w:b/>
          <w:color w:val="00A35C"/>
        </w:rPr>
        <w:t xml:space="preserve">1. </w:t>
      </w:r>
      <w:r>
        <w:t>Define symptom and scope: one query/endpoint or whole cluster? latency percentile? read/write? when did it change?</w:t>
      </w:r>
    </w:p>
    <w:p>
      <w:pPr>
        <w:spacing w:after="28"/>
        <w:ind w:left="259" w:hanging="259"/>
      </w:pPr>
      <w:r>
        <w:rPr>
          <w:b/>
          <w:color w:val="00A35C"/>
        </w:rPr>
        <w:t xml:space="preserve">2. </w:t>
      </w:r>
      <w:r>
        <w:t>Check application side: connection pool exhaustion, retries, N+1 query patterns, serialization, network path.</w:t>
      </w:r>
    </w:p>
    <w:p>
      <w:pPr>
        <w:spacing w:after="28"/>
        <w:ind w:left="259" w:hanging="259"/>
      </w:pPr>
      <w:r>
        <w:rPr>
          <w:b/>
          <w:color w:val="00A35C"/>
        </w:rPr>
        <w:t xml:space="preserve">3. </w:t>
      </w:r>
      <w:r>
        <w:t>Inspect slow query and explain("executionStats"): COLLSCAN, poor selectivity, keys/docs examined, blocking sort, cardinality explosion.</w:t>
      </w:r>
    </w:p>
    <w:p>
      <w:pPr>
        <w:spacing w:after="28"/>
        <w:ind w:left="259" w:hanging="259"/>
      </w:pPr>
      <w:r>
        <w:rPr>
          <w:b/>
          <w:color w:val="00A35C"/>
        </w:rPr>
        <w:t xml:space="preserve">4. </w:t>
      </w:r>
      <w:r>
        <w:t>Review schema and indexes against actual query shape; look for unbounded arrays / oversized documents / unnecessary $lookup or $unwind.</w:t>
      </w:r>
    </w:p>
    <w:p>
      <w:pPr>
        <w:spacing w:after="28"/>
        <w:ind w:left="259" w:hanging="259"/>
      </w:pPr>
      <w:r>
        <w:rPr>
          <w:b/>
          <w:color w:val="00A35C"/>
        </w:rPr>
        <w:t xml:space="preserve">5. </w:t>
      </w:r>
      <w:r>
        <w:t>Check cluster resources: CPU, memory/cache pressure, disk latency/IOPS, network, connections, queueing.</w:t>
      </w:r>
    </w:p>
    <w:p>
      <w:pPr>
        <w:spacing w:after="28"/>
        <w:ind w:left="259" w:hanging="259"/>
      </w:pPr>
      <w:r>
        <w:rPr>
          <w:b/>
          <w:color w:val="00A35C"/>
        </w:rPr>
        <w:t xml:space="preserve">6. </w:t>
      </w:r>
      <w:r>
        <w:t>Check replica/sharding state: replication lag, elections, chunk distribution, scatter/gather, migrations.</w:t>
      </w:r>
    </w:p>
    <w:p>
      <w:pPr>
        <w:spacing w:after="28"/>
        <w:ind w:left="259" w:hanging="259"/>
      </w:pPr>
      <w:r>
        <w:rPr>
          <w:b/>
          <w:color w:val="00A35C"/>
        </w:rPr>
        <w:t xml:space="preserve">7. </w:t>
      </w:r>
      <w:r>
        <w:t>Compare against a known-good baseline/change history: code release, data growth, index change, topology/config change.</w:t>
      </w:r>
    </w:p>
    <w:p>
      <w:pPr>
        <w:spacing w:after="28"/>
        <w:ind w:left="259" w:hanging="259"/>
      </w:pPr>
      <w:r>
        <w:rPr>
          <w:b/>
          <w:color w:val="00A35C"/>
        </w:rPr>
        <w:t xml:space="preserve">8. </w:t>
      </w:r>
      <w:r>
        <w:t>Test the leading fix safely, measure, then document root cause and prevention.</w:t>
      </w:r>
    </w:p>
    <w:p>
      <w:pPr>
        <w:pStyle w:val="Heading2"/>
      </w:pPr>
      <w:r>
        <w:t>Useful metrics / evidence</w:t>
      </w:r>
    </w:p>
    <w:p>
      <w:pPr>
        <w:spacing w:after="28"/>
        <w:ind w:left="259" w:hanging="144"/>
      </w:pPr>
      <w:r>
        <w:rPr>
          <w:b/>
          <w:color w:val="00A35C"/>
        </w:rPr>
        <w:t xml:space="preserve">• </w:t>
      </w:r>
      <w:r>
        <w:t>p50/p95/p99 latency and throughput, not only averages.</w:t>
      </w:r>
    </w:p>
    <w:p>
      <w:pPr>
        <w:spacing w:after="28"/>
        <w:ind w:left="259" w:hanging="144"/>
      </w:pPr>
      <w:r>
        <w:rPr>
          <w:b/>
          <w:color w:val="00A35C"/>
        </w:rPr>
        <w:t xml:space="preserve">• </w:t>
      </w:r>
      <w:r>
        <w:t>nReturned versus totalDocsExamined / totalKeysExamined.</w:t>
      </w:r>
    </w:p>
    <w:p>
      <w:pPr>
        <w:spacing w:after="28"/>
        <w:ind w:left="259" w:hanging="144"/>
      </w:pPr>
      <w:r>
        <w:rPr>
          <w:b/>
          <w:color w:val="00A35C"/>
        </w:rPr>
        <w:t xml:space="preserve">• </w:t>
      </w:r>
      <w:r>
        <w:t>Working-set/cache pressure and disk latency.</w:t>
      </w:r>
    </w:p>
    <w:p>
      <w:pPr>
        <w:spacing w:after="28"/>
        <w:ind w:left="259" w:hanging="144"/>
      </w:pPr>
      <w:r>
        <w:rPr>
          <w:b/>
          <w:color w:val="00A35C"/>
        </w:rPr>
        <w:t xml:space="preserve">• </w:t>
      </w:r>
      <w:r>
        <w:t>Connection pool usage and server connections.</w:t>
      </w:r>
    </w:p>
    <w:p>
      <w:pPr>
        <w:spacing w:after="28"/>
        <w:ind w:left="259" w:hanging="144"/>
      </w:pPr>
      <w:r>
        <w:rPr>
          <w:b/>
          <w:color w:val="00A35C"/>
        </w:rPr>
        <w:t xml:space="preserve">• </w:t>
      </w:r>
      <w:r>
        <w:t>Replication lag and oplog window.</w:t>
      </w:r>
    </w:p>
    <w:p>
      <w:pPr>
        <w:spacing w:after="28"/>
        <w:ind w:left="259" w:hanging="144"/>
      </w:pPr>
      <w:r>
        <w:rPr>
          <w:b/>
          <w:color w:val="00A35C"/>
        </w:rPr>
        <w:t xml:space="preserve">• </w:t>
      </w:r>
      <w:r>
        <w:t>Shard targeting versus scatter/gather; distribution/skew.</w:t>
      </w:r>
    </w:p>
    <w:p>
      <w:pPr>
        <w:spacing w:after="28"/>
        <w:ind w:left="259" w:hanging="144"/>
      </w:pPr>
      <w:r>
        <w:rPr>
          <w:b/>
          <w:color w:val="00A35C"/>
        </w:rPr>
        <w:t xml:space="preserve">• </w:t>
      </w:r>
      <w:r>
        <w:t>Error/retry rates and timeouts.</w:t>
      </w:r>
    </w:p>
    <w:p>
      <w:pPr>
        <w:pStyle w:val="Heading1"/>
      </w:pPr>
      <w:r>
        <w:t>24. Software Engineering, Linux and Networking Revision</w:t>
      </w:r>
    </w:p>
    <w:tbl>
      <w:tblPr>
        <w:tblW w:type="auto" w:w="0"/>
        <w:jc w:val="center"/>
        <w:tblLayout w:type="fixed"/>
        <w:tblLook w:firstColumn="1" w:firstRow="1" w:lastColumn="0" w:lastRow="0" w:noHBand="0" w:noVBand="1" w:val="04A0"/>
      </w:tblPr>
      <w:tblGrid>
        <w:gridCol w:w="5328"/>
        <w:gridCol w:w="5328"/>
      </w:tblGrid>
      <w:tr>
        <w:trPr>
          <w:cantSplit/>
          <w:tblHeader w:val="true"/>
          <w:cantSplit/>
        </w:trPr>
        <w:tc>
          <w:tcPr>
            <w:tcW w:type="dxa" w:w="2088"/>
            <w:vAlign w:val="top"/>
            <w:tcMar>
              <w:top w:w="60" w:type="dxa"/>
              <w:start w:w="70" w:type="dxa"/>
              <w:bottom w:w="60" w:type="dxa"/>
              <w:end w:w="70" w:type="dxa"/>
            </w:tcMar>
            <w:shd w:fill="00A35C"/>
          </w:tcPr>
          <w:p>
            <w:pPr>
              <w:spacing w:after="0" w:line="240" w:lineRule="auto"/>
            </w:pPr>
            <w:r>
              <w:rPr>
                <w:rFonts w:ascii="Aptos" w:hAnsi="Aptos"/>
                <w:b/>
                <w:color w:val="FFFFFF"/>
                <w:sz w:val="14"/>
              </w:rPr>
              <w:t>Topic</w:t>
            </w:r>
          </w:p>
        </w:tc>
        <w:tc>
          <w:tcPr>
            <w:tcW w:type="dxa" w:w="8568"/>
            <w:vAlign w:val="top"/>
            <w:tcMar>
              <w:top w:w="60" w:type="dxa"/>
              <w:start w:w="70" w:type="dxa"/>
              <w:bottom w:w="60" w:type="dxa"/>
              <w:end w:w="70" w:type="dxa"/>
            </w:tcMar>
            <w:shd w:fill="00A35C"/>
          </w:tcPr>
          <w:p>
            <w:pPr>
              <w:spacing w:after="0" w:line="240" w:lineRule="auto"/>
            </w:pPr>
            <w:r>
              <w:rPr>
                <w:rFonts w:ascii="Aptos" w:hAnsi="Aptos"/>
                <w:b/>
                <w:color w:val="FFFFFF"/>
                <w:sz w:val="14"/>
              </w:rPr>
              <w:t>Senior answer</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4"/>
              </w:rPr>
              <w:t>Connection pooling</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4"/>
              </w:rPr>
              <w:t>Reuse connections; size pools to workload, avoid connection storms, monitor wait queues/timeouts.</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4"/>
              </w:rPr>
              <w:t>Retries</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4"/>
              </w:rPr>
              <w:t>Retry transient failures with bounded backoff/jitter and idempotent semantics; do not blindly retry validation/auth errors.</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4"/>
              </w:rPr>
              <w:t>Timeouts</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4"/>
              </w:rPr>
              <w:t>Set connect/server-selection/socket/operation timeouts deliberately; infinite waits hide failure.</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4"/>
              </w:rPr>
              <w:t>DNS / TLS</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4"/>
              </w:rPr>
              <w:t>Connection problems can be DNS, certificate, proxy/firewall or routing issues before they are database issues.</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4"/>
              </w:rPr>
              <w:t>Linux diagnostics</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4"/>
              </w:rPr>
              <w:t>top/htop, vmstat, iostat, ss/netstat, df/du, logs; distinguish CPU, memory, disk and network bottlenecks.</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4"/>
              </w:rPr>
              <w:t>Containers/K8s</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4"/>
              </w:rPr>
              <w:t>Understand resource limits, persistent storage, probes, networking, secrets and operational ownership.</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4"/>
              </w:rPr>
              <w:t>CI/CD</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4"/>
              </w:rPr>
              <w:t>Version configuration/code, automated tests, staged rollout, repeatable deployment, rollback and observability.</w:t>
            </w:r>
          </w:p>
        </w:tc>
      </w:tr>
      <w:tr>
        <w:trPr>
          <w:cantSplit/>
          <w:cantSplit/>
        </w:trPr>
        <w:tc>
          <w:tcPr>
            <w:tcW w:type="dxa" w:w="2088"/>
            <w:vAlign w:val="top"/>
            <w:tcMar>
              <w:top w:w="60" w:type="dxa"/>
              <w:start w:w="70" w:type="dxa"/>
              <w:bottom w:w="60" w:type="dxa"/>
              <w:end w:w="70" w:type="dxa"/>
            </w:tcMar>
            <w:shd w:fill="F3FAF6"/>
          </w:tcPr>
          <w:p>
            <w:pPr>
              <w:spacing w:after="0" w:line="240" w:lineRule="auto"/>
            </w:pPr>
            <w:r>
              <w:rPr>
                <w:rFonts w:ascii="Aptos" w:hAnsi="Aptos"/>
                <w:b/>
                <w:color w:val="001E2B"/>
                <w:sz w:val="14"/>
              </w:rPr>
              <w:t>API design</w:t>
            </w:r>
          </w:p>
        </w:tc>
        <w:tc>
          <w:tcPr>
            <w:tcW w:type="dxa" w:w="8568"/>
            <w:vAlign w:val="top"/>
            <w:tcMar>
              <w:top w:w="60" w:type="dxa"/>
              <w:start w:w="70" w:type="dxa"/>
              <w:bottom w:w="60" w:type="dxa"/>
              <w:end w:w="70" w:type="dxa"/>
            </w:tcMar>
          </w:tcPr>
          <w:p>
            <w:pPr>
              <w:spacing w:after="0" w:line="240" w:lineRule="auto"/>
            </w:pPr>
            <w:r>
              <w:rPr>
                <w:rFonts w:ascii="Aptos" w:hAnsi="Aptos"/>
                <w:color w:val="1E252B"/>
                <w:sz w:val="14"/>
              </w:rPr>
              <w:t>Auth, rate limits, pagination, error contracts, idempotency, versioning and documentation.</w:t>
            </w:r>
          </w:p>
        </w:tc>
      </w:tr>
    </w:tbl>
    <w:p>
      <w:pPr>
        <w:spacing w:after="10"/>
      </w:pPr>
    </w:p>
    <w:p>
      <w:pPr>
        <w:pStyle w:val="Heading1"/>
      </w:pPr>
      <w:r>
        <w:t>25. Search, Vector Search and the AI Direction</w:t>
      </w:r>
    </w:p>
    <w:p>
      <w:pPr/>
      <w:r>
        <w:t>You do not need to make AI the centre of a Professional Services hiring-manager interview, but MongoDB increasingly positions itself as a data platform for modern/AI applications. Know the basic distinction.</w:t>
      </w:r>
    </w:p>
    <w:tbl>
      <w:tblPr>
        <w:tblW w:type="auto" w:w="0"/>
        <w:jc w:val="center"/>
        <w:tblLayout w:type="fixed"/>
        <w:tblLook w:firstColumn="1" w:firstRow="1" w:lastColumn="0" w:lastRow="0" w:noHBand="0" w:noVBand="1" w:val="04A0"/>
      </w:tblPr>
      <w:tblGrid>
        <w:gridCol w:w="5328"/>
        <w:gridCol w:w="5328"/>
      </w:tblGrid>
      <w:tr>
        <w:trPr>
          <w:cantSplit/>
          <w:tblHeader w:val="true"/>
          <w:cantSplit/>
        </w:trPr>
        <w:tc>
          <w:tcPr>
            <w:tcW w:type="dxa" w:w="2232"/>
            <w:vAlign w:val="top"/>
            <w:tcMar>
              <w:top w:w="60" w:type="dxa"/>
              <w:start w:w="70" w:type="dxa"/>
              <w:bottom w:w="60" w:type="dxa"/>
              <w:end w:w="70" w:type="dxa"/>
            </w:tcMar>
            <w:shd w:fill="00A35C"/>
          </w:tcPr>
          <w:p>
            <w:pPr>
              <w:spacing w:after="0" w:line="240" w:lineRule="auto"/>
            </w:pPr>
            <w:r>
              <w:rPr>
                <w:rFonts w:ascii="Aptos" w:hAnsi="Aptos"/>
                <w:b/>
                <w:color w:val="FFFFFF"/>
                <w:sz w:val="14"/>
              </w:rPr>
              <w:t>Capability</w:t>
            </w:r>
          </w:p>
        </w:tc>
        <w:tc>
          <w:tcPr>
            <w:tcW w:type="dxa" w:w="8424"/>
            <w:vAlign w:val="top"/>
            <w:tcMar>
              <w:top w:w="60" w:type="dxa"/>
              <w:start w:w="70" w:type="dxa"/>
              <w:bottom w:w="60" w:type="dxa"/>
              <w:end w:w="70" w:type="dxa"/>
            </w:tcMar>
            <w:shd w:fill="00A35C"/>
          </w:tcPr>
          <w:p>
            <w:pPr>
              <w:spacing w:after="0" w:line="240" w:lineRule="auto"/>
            </w:pPr>
            <w:r>
              <w:rPr>
                <w:rFonts w:ascii="Aptos" w:hAnsi="Aptos"/>
                <w:b/>
                <w:color w:val="FFFFFF"/>
                <w:sz w:val="14"/>
              </w:rPr>
              <w:t>What it is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Atlas Search / MongoDB Search</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Full-text search over MongoDB data with dedicated search indexes/analyzers.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Vector Search</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Indexes vector embeddings and supports semantic similarity search; can combine semantic retrieval with filters and hybrid/search patterns.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RAG relevance</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Operational/application data and embeddings can live near each other, reducing architectural fragmentation in some use cases.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Consulting question</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Do not recommend vectors because “AI”. Ask about retrieval quality, latency, filtering, update frequency, evaluation and operational constraints.</w:t>
            </w:r>
          </w:p>
        </w:tc>
      </w:tr>
    </w:tbl>
    <w:p>
      <w:pPr>
        <w:spacing w:after="10"/>
      </w:pPr>
    </w:p>
    <w:p>
      <w:pPr>
        <w:pStyle w:val="Heading1"/>
      </w:pPr>
      <w:r>
        <w:t>26. MongoDB Values - Prepare One Evidence Story for Each</w:t>
      </w:r>
    </w:p>
    <w:tbl>
      <w:tblPr>
        <w:tblW w:type="auto" w:w="0"/>
        <w:jc w:val="center"/>
        <w:tblLayout w:type="fixed"/>
        <w:tblLook w:firstColumn="1" w:firstRow="1" w:lastColumn="0" w:lastRow="0" w:noHBand="0" w:noVBand="1" w:val="04A0"/>
      </w:tblPr>
      <w:tblGrid>
        <w:gridCol w:w="3552"/>
        <w:gridCol w:w="3552"/>
        <w:gridCol w:w="3552"/>
      </w:tblGrid>
      <w:tr>
        <w:trPr>
          <w:cantSplit/>
          <w:tblHeader w:val="true"/>
          <w:cantSplit/>
        </w:trPr>
        <w:tc>
          <w:tcPr>
            <w:tcW w:type="dxa" w:w="2160"/>
            <w:vAlign w:val="top"/>
            <w:tcMar>
              <w:top w:w="60" w:type="dxa"/>
              <w:start w:w="70" w:type="dxa"/>
              <w:bottom w:w="60" w:type="dxa"/>
              <w:end w:w="70" w:type="dxa"/>
            </w:tcMar>
            <w:shd w:fill="00A35C"/>
          </w:tcPr>
          <w:p>
            <w:pPr>
              <w:spacing w:after="0" w:line="240" w:lineRule="auto"/>
            </w:pPr>
            <w:r>
              <w:rPr>
                <w:rFonts w:ascii="Aptos" w:hAnsi="Aptos"/>
                <w:b/>
                <w:color w:val="FFFFFF"/>
                <w:sz w:val="13"/>
              </w:rPr>
              <w:t>Value</w:t>
            </w:r>
          </w:p>
        </w:tc>
        <w:tc>
          <w:tcPr>
            <w:tcW w:type="dxa" w:w="3600"/>
            <w:vAlign w:val="top"/>
            <w:tcMar>
              <w:top w:w="60" w:type="dxa"/>
              <w:start w:w="70" w:type="dxa"/>
              <w:bottom w:w="60" w:type="dxa"/>
              <w:end w:w="70" w:type="dxa"/>
            </w:tcMar>
            <w:shd w:fill="00A35C"/>
          </w:tcPr>
          <w:p>
            <w:pPr>
              <w:spacing w:after="0" w:line="240" w:lineRule="auto"/>
            </w:pPr>
            <w:r>
              <w:rPr>
                <w:rFonts w:ascii="Aptos" w:hAnsi="Aptos"/>
                <w:b/>
                <w:color w:val="FFFFFF"/>
                <w:sz w:val="13"/>
              </w:rPr>
              <w:t>What it means in interview</w:t>
            </w:r>
          </w:p>
        </w:tc>
        <w:tc>
          <w:tcPr>
            <w:tcW w:type="dxa" w:w="4896"/>
            <w:vAlign w:val="top"/>
            <w:tcMar>
              <w:top w:w="60" w:type="dxa"/>
              <w:start w:w="70" w:type="dxa"/>
              <w:bottom w:w="60" w:type="dxa"/>
              <w:end w:w="70" w:type="dxa"/>
            </w:tcMar>
            <w:shd w:fill="00A35C"/>
          </w:tcPr>
          <w:p>
            <w:pPr>
              <w:spacing w:after="0" w:line="240" w:lineRule="auto"/>
            </w:pPr>
            <w:r>
              <w:rPr>
                <w:rFonts w:ascii="Aptos" w:hAnsi="Aptos"/>
                <w:b/>
                <w:color w:val="FFFFFF"/>
                <w:sz w:val="13"/>
              </w:rPr>
              <w:t>Your strongest evidence / angle</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3"/>
              </w:rPr>
              <w:t>Think Big, Go Far</w:t>
            </w:r>
          </w:p>
        </w:tc>
        <w:tc>
          <w:tcPr>
            <w:tcW w:type="dxa" w:w="3600"/>
            <w:vAlign w:val="top"/>
            <w:tcMar>
              <w:top w:w="60" w:type="dxa"/>
              <w:start w:w="70" w:type="dxa"/>
              <w:bottom w:w="60" w:type="dxa"/>
              <w:end w:w="70" w:type="dxa"/>
            </w:tcMar>
          </w:tcPr>
          <w:p>
            <w:pPr>
              <w:spacing w:after="0" w:line="240" w:lineRule="auto"/>
            </w:pPr>
            <w:r>
              <w:rPr>
                <w:rFonts w:ascii="Aptos" w:hAnsi="Aptos"/>
                <w:color w:val="1E252B"/>
                <w:sz w:val="13"/>
              </w:rPr>
              <w:t>Ambition, creativity, question status quo, smart risk</w:t>
            </w:r>
          </w:p>
        </w:tc>
        <w:tc>
          <w:tcPr>
            <w:tcW w:type="dxa" w:w="4896"/>
            <w:vAlign w:val="top"/>
            <w:tcMar>
              <w:top w:w="60" w:type="dxa"/>
              <w:start w:w="70" w:type="dxa"/>
              <w:bottom w:w="60" w:type="dxa"/>
              <w:end w:w="70" w:type="dxa"/>
            </w:tcMar>
          </w:tcPr>
          <w:p>
            <w:pPr>
              <w:spacing w:after="0" w:line="240" w:lineRule="auto"/>
            </w:pPr>
            <w:r>
              <w:rPr>
                <w:rFonts w:ascii="Aptos" w:hAnsi="Aptos"/>
                <w:color w:val="1E252B"/>
                <w:sz w:val="13"/>
              </w:rPr>
              <w:t>illio: build data function/platform from the ground up; Pemberton: replace fragmented Excel workflows.</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3"/>
              </w:rPr>
              <w:t>Build Together</w:t>
            </w:r>
          </w:p>
        </w:tc>
        <w:tc>
          <w:tcPr>
            <w:tcW w:type="dxa" w:w="3600"/>
            <w:vAlign w:val="top"/>
            <w:tcMar>
              <w:top w:w="60" w:type="dxa"/>
              <w:start w:w="70" w:type="dxa"/>
              <w:bottom w:w="60" w:type="dxa"/>
              <w:end w:w="70" w:type="dxa"/>
            </w:tcMar>
          </w:tcPr>
          <w:p>
            <w:pPr>
              <w:spacing w:after="0" w:line="240" w:lineRule="auto"/>
            </w:pPr>
            <w:r>
              <w:rPr>
                <w:rFonts w:ascii="Aptos" w:hAnsi="Aptos"/>
                <w:color w:val="1E252B"/>
                <w:sz w:val="13"/>
              </w:rPr>
              <w:t>Team success over ego; listen, discuss, commit</w:t>
            </w:r>
          </w:p>
        </w:tc>
        <w:tc>
          <w:tcPr>
            <w:tcW w:type="dxa" w:w="4896"/>
            <w:vAlign w:val="top"/>
            <w:tcMar>
              <w:top w:w="60" w:type="dxa"/>
              <w:start w:w="70" w:type="dxa"/>
              <w:bottom w:w="60" w:type="dxa"/>
              <w:end w:w="70" w:type="dxa"/>
            </w:tcMar>
          </w:tcPr>
          <w:p>
            <w:pPr>
              <w:spacing w:after="0" w:line="240" w:lineRule="auto"/>
            </w:pPr>
            <w:r>
              <w:rPr>
                <w:rFonts w:ascii="Aptos" w:hAnsi="Aptos"/>
                <w:color w:val="1E252B"/>
                <w:sz w:val="13"/>
              </w:rPr>
              <w:t>BlackRock cross-team delivery and mentoring; working with PMs/traders/analysts/engineers.</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3"/>
              </w:rPr>
              <w:t>Embrace the Power of Differences</w:t>
            </w:r>
          </w:p>
        </w:tc>
        <w:tc>
          <w:tcPr>
            <w:tcW w:type="dxa" w:w="3600"/>
            <w:vAlign w:val="top"/>
            <w:tcMar>
              <w:top w:w="60" w:type="dxa"/>
              <w:start w:w="70" w:type="dxa"/>
              <w:bottom w:w="60" w:type="dxa"/>
              <w:end w:w="70" w:type="dxa"/>
            </w:tcMar>
          </w:tcPr>
          <w:p>
            <w:pPr>
              <w:spacing w:after="0" w:line="240" w:lineRule="auto"/>
            </w:pPr>
            <w:r>
              <w:rPr>
                <w:rFonts w:ascii="Aptos" w:hAnsi="Aptos"/>
                <w:color w:val="1E252B"/>
                <w:sz w:val="13"/>
              </w:rPr>
              <w:t>Seek different perspectives and create space for them</w:t>
            </w:r>
          </w:p>
        </w:tc>
        <w:tc>
          <w:tcPr>
            <w:tcW w:type="dxa" w:w="4896"/>
            <w:vAlign w:val="top"/>
            <w:tcMar>
              <w:top w:w="60" w:type="dxa"/>
              <w:start w:w="70" w:type="dxa"/>
              <w:bottom w:w="60" w:type="dxa"/>
              <w:end w:w="70" w:type="dxa"/>
            </w:tcMar>
          </w:tcPr>
          <w:p>
            <w:pPr>
              <w:spacing w:after="0" w:line="240" w:lineRule="auto"/>
            </w:pPr>
            <w:r>
              <w:rPr>
                <w:rFonts w:ascii="Aptos" w:hAnsi="Aptos"/>
                <w:color w:val="1E252B"/>
                <w:sz w:val="13"/>
              </w:rPr>
              <w:t>Multi-disciplinary, multi-organisation work across ESA, client consulting and investment teams; ask for views before converging.</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3"/>
              </w:rPr>
              <w:t>Make it Matter</w:t>
            </w:r>
          </w:p>
        </w:tc>
        <w:tc>
          <w:tcPr>
            <w:tcW w:type="dxa" w:w="3600"/>
            <w:vAlign w:val="top"/>
            <w:tcMar>
              <w:top w:w="60" w:type="dxa"/>
              <w:start w:w="70" w:type="dxa"/>
              <w:bottom w:w="60" w:type="dxa"/>
              <w:end w:w="70" w:type="dxa"/>
            </w:tcMar>
          </w:tcPr>
          <w:p>
            <w:pPr>
              <w:spacing w:after="0" w:line="240" w:lineRule="auto"/>
            </w:pPr>
            <w:r>
              <w:rPr>
                <w:rFonts w:ascii="Aptos" w:hAnsi="Aptos"/>
                <w:color w:val="1E252B"/>
                <w:sz w:val="13"/>
              </w:rPr>
              <w:t>Focus on meaningful customer/business outcome</w:t>
            </w:r>
          </w:p>
        </w:tc>
        <w:tc>
          <w:tcPr>
            <w:tcW w:type="dxa" w:w="4896"/>
            <w:vAlign w:val="top"/>
            <w:tcMar>
              <w:top w:w="60" w:type="dxa"/>
              <w:start w:w="70" w:type="dxa"/>
              <w:bottom w:w="60" w:type="dxa"/>
              <w:end w:w="70" w:type="dxa"/>
            </w:tcMar>
          </w:tcPr>
          <w:p>
            <w:pPr>
              <w:spacing w:after="0" w:line="240" w:lineRule="auto"/>
            </w:pPr>
            <w:r>
              <w:rPr>
                <w:rFonts w:ascii="Aptos" w:hAnsi="Aptos"/>
                <w:color w:val="1E252B"/>
                <w:sz w:val="13"/>
              </w:rPr>
              <w:t>Pemberton governed fund model; front-office/energy analytics supporting decisions.</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3"/>
              </w:rPr>
              <w:t>Own What You Do</w:t>
            </w:r>
          </w:p>
        </w:tc>
        <w:tc>
          <w:tcPr>
            <w:tcW w:type="dxa" w:w="3600"/>
            <w:vAlign w:val="top"/>
            <w:tcMar>
              <w:top w:w="60" w:type="dxa"/>
              <w:start w:w="70" w:type="dxa"/>
              <w:bottom w:w="60" w:type="dxa"/>
              <w:end w:w="70" w:type="dxa"/>
            </w:tcMar>
          </w:tcPr>
          <w:p>
            <w:pPr>
              <w:spacing w:after="0" w:line="240" w:lineRule="auto"/>
            </w:pPr>
            <w:r>
              <w:rPr>
                <w:rFonts w:ascii="Aptos" w:hAnsi="Aptos"/>
                <w:color w:val="1E252B"/>
                <w:sz w:val="13"/>
              </w:rPr>
              <w:t>Accountability, transparency, follow through</w:t>
            </w:r>
          </w:p>
        </w:tc>
        <w:tc>
          <w:tcPr>
            <w:tcW w:type="dxa" w:w="4896"/>
            <w:vAlign w:val="top"/>
            <w:tcMar>
              <w:top w:w="60" w:type="dxa"/>
              <w:start w:w="70" w:type="dxa"/>
              <w:bottom w:w="60" w:type="dxa"/>
              <w:end w:w="70" w:type="dxa"/>
            </w:tcMar>
          </w:tcPr>
          <w:p>
            <w:pPr>
              <w:spacing w:after="0" w:line="240" w:lineRule="auto"/>
            </w:pPr>
            <w:r>
              <w:rPr>
                <w:rFonts w:ascii="Aptos" w:hAnsi="Aptos"/>
                <w:color w:val="1E252B"/>
                <w:sz w:val="13"/>
              </w:rPr>
              <w:t>illio architecture/team ownership; production support and delivery in contract roles.</w:t>
            </w:r>
          </w:p>
        </w:tc>
      </w:tr>
      <w:tr>
        <w:trPr>
          <w:cantSplit/>
          <w:cantSplit/>
        </w:trPr>
        <w:tc>
          <w:tcPr>
            <w:tcW w:type="dxa" w:w="2160"/>
            <w:vAlign w:val="top"/>
            <w:tcMar>
              <w:top w:w="60" w:type="dxa"/>
              <w:start w:w="70" w:type="dxa"/>
              <w:bottom w:w="60" w:type="dxa"/>
              <w:end w:w="70" w:type="dxa"/>
            </w:tcMar>
            <w:shd w:fill="F3FAF6"/>
          </w:tcPr>
          <w:p>
            <w:pPr>
              <w:spacing w:after="0" w:line="240" w:lineRule="auto"/>
            </w:pPr>
            <w:r>
              <w:rPr>
                <w:rFonts w:ascii="Aptos" w:hAnsi="Aptos"/>
                <w:b/>
                <w:color w:val="001E2B"/>
                <w:sz w:val="13"/>
              </w:rPr>
              <w:t>Be Intellectually Honest</w:t>
            </w:r>
          </w:p>
        </w:tc>
        <w:tc>
          <w:tcPr>
            <w:tcW w:type="dxa" w:w="3600"/>
            <w:vAlign w:val="top"/>
            <w:tcMar>
              <w:top w:w="60" w:type="dxa"/>
              <w:start w:w="70" w:type="dxa"/>
              <w:bottom w:w="60" w:type="dxa"/>
              <w:end w:w="70" w:type="dxa"/>
            </w:tcMar>
          </w:tcPr>
          <w:p>
            <w:pPr>
              <w:spacing w:after="0" w:line="240" w:lineRule="auto"/>
            </w:pPr>
            <w:r>
              <w:rPr>
                <w:rFonts w:ascii="Aptos" w:hAnsi="Aptos"/>
                <w:color w:val="1E252B"/>
                <w:sz w:val="13"/>
              </w:rPr>
              <w:t>Evidence over ego; acknowledge reality/unknowns</w:t>
            </w:r>
          </w:p>
        </w:tc>
        <w:tc>
          <w:tcPr>
            <w:tcW w:type="dxa" w:w="4896"/>
            <w:vAlign w:val="top"/>
            <w:tcMar>
              <w:top w:w="60" w:type="dxa"/>
              <w:start w:w="70" w:type="dxa"/>
              <w:bottom w:w="60" w:type="dxa"/>
              <w:end w:w="70" w:type="dxa"/>
            </w:tcMar>
          </w:tcPr>
          <w:p>
            <w:pPr>
              <w:spacing w:after="0" w:line="240" w:lineRule="auto"/>
            </w:pPr>
            <w:r>
              <w:rPr>
                <w:rFonts w:ascii="Aptos" w:hAnsi="Aptos"/>
                <w:color w:val="1E252B"/>
                <w:sz w:val="13"/>
              </w:rPr>
              <w:t>Your interview stance on MongoDB depth; production troubleshooting based on evidence; willingness to change recommendation when data contradicts hypothesis.</w:t>
            </w:r>
          </w:p>
        </w:tc>
      </w:tr>
    </w:tbl>
    <w:p>
      <w:pPr>
        <w:spacing w:after="10"/>
      </w:pPr>
    </w:p>
    <w:p>
      <w:pPr>
        <w:pStyle w:val="Heading1"/>
      </w:pPr>
      <w:r>
        <w:t>27. Behavioural Questions - STAR Directions</w:t>
      </w:r>
    </w:p>
    <w:tbl>
      <w:tblPr>
        <w:tblW w:type="auto" w:w="0"/>
        <w:jc w:val="center"/>
        <w:tblLayout w:type="fixed"/>
        <w:tblLook w:firstColumn="1" w:firstRow="1" w:lastColumn="0" w:lastRow="0" w:noHBand="0" w:noVBand="1" w:val="04A0"/>
      </w:tblPr>
      <w:tblGrid>
        <w:gridCol w:w="3552"/>
        <w:gridCol w:w="3552"/>
        <w:gridCol w:w="3552"/>
      </w:tblGrid>
      <w:tr>
        <w:trPr>
          <w:cantSplit/>
          <w:tblHeader w:val="true"/>
          <w:cantSplit/>
        </w:trPr>
        <w:tc>
          <w:tcPr>
            <w:tcW w:type="dxa" w:w="3024"/>
            <w:vAlign w:val="top"/>
            <w:tcMar>
              <w:top w:w="60" w:type="dxa"/>
              <w:start w:w="70" w:type="dxa"/>
              <w:bottom w:w="60" w:type="dxa"/>
              <w:end w:w="70" w:type="dxa"/>
            </w:tcMar>
            <w:shd w:fill="00A35C"/>
          </w:tcPr>
          <w:p>
            <w:pPr>
              <w:spacing w:after="0" w:line="240" w:lineRule="auto"/>
            </w:pPr>
            <w:r>
              <w:rPr>
                <w:rFonts w:ascii="Aptos" w:hAnsi="Aptos"/>
                <w:b/>
                <w:color w:val="FFFFFF"/>
                <w:sz w:val="13"/>
              </w:rPr>
              <w:t>Question</w:t>
            </w:r>
          </w:p>
        </w:tc>
        <w:tc>
          <w:tcPr>
            <w:tcW w:type="dxa" w:w="2304"/>
            <w:vAlign w:val="top"/>
            <w:tcMar>
              <w:top w:w="60" w:type="dxa"/>
              <w:start w:w="70" w:type="dxa"/>
              <w:bottom w:w="60" w:type="dxa"/>
              <w:end w:w="70" w:type="dxa"/>
            </w:tcMar>
            <w:shd w:fill="00A35C"/>
          </w:tcPr>
          <w:p>
            <w:pPr>
              <w:spacing w:after="0" w:line="240" w:lineRule="auto"/>
            </w:pPr>
            <w:r>
              <w:rPr>
                <w:rFonts w:ascii="Aptos" w:hAnsi="Aptos"/>
                <w:b/>
                <w:color w:val="FFFFFF"/>
                <w:sz w:val="13"/>
              </w:rPr>
              <w:t>Best story</w:t>
            </w:r>
          </w:p>
        </w:tc>
        <w:tc>
          <w:tcPr>
            <w:tcW w:type="dxa" w:w="5328"/>
            <w:vAlign w:val="top"/>
            <w:tcMar>
              <w:top w:w="60" w:type="dxa"/>
              <w:start w:w="70" w:type="dxa"/>
              <w:bottom w:w="60" w:type="dxa"/>
              <w:end w:w="70" w:type="dxa"/>
            </w:tcMar>
            <w:shd w:fill="00A35C"/>
          </w:tcPr>
          <w:p>
            <w:pPr>
              <w:spacing w:after="0" w:line="240" w:lineRule="auto"/>
            </w:pPr>
            <w:r>
              <w:rPr>
                <w:rFonts w:ascii="Aptos" w:hAnsi="Aptos"/>
                <w:b/>
                <w:color w:val="FFFFFF"/>
                <w:sz w:val="13"/>
              </w:rPr>
              <w:t>Emphasise</w:t>
            </w:r>
          </w:p>
        </w:tc>
      </w:tr>
      <w:tr>
        <w:trPr>
          <w:cantSplit/>
          <w:cantSplit/>
        </w:trPr>
        <w:tc>
          <w:tcPr>
            <w:tcW w:type="dxa" w:w="3024"/>
            <w:vAlign w:val="top"/>
            <w:tcMar>
              <w:top w:w="60" w:type="dxa"/>
              <w:start w:w="70" w:type="dxa"/>
              <w:bottom w:w="60" w:type="dxa"/>
              <w:end w:w="70" w:type="dxa"/>
            </w:tcMar>
            <w:shd w:fill="F3FAF6"/>
          </w:tcPr>
          <w:p>
            <w:pPr>
              <w:spacing w:after="0" w:line="240" w:lineRule="auto"/>
            </w:pPr>
            <w:r>
              <w:rPr>
                <w:rFonts w:ascii="Aptos" w:hAnsi="Aptos"/>
                <w:b/>
                <w:color w:val="001E2B"/>
                <w:sz w:val="13"/>
              </w:rPr>
              <w:t>Tell me about a time you owned a difficult outcome</w:t>
            </w:r>
          </w:p>
        </w:tc>
        <w:tc>
          <w:tcPr>
            <w:tcW w:type="dxa" w:w="2304"/>
            <w:vAlign w:val="top"/>
            <w:tcMar>
              <w:top w:w="60" w:type="dxa"/>
              <w:start w:w="70" w:type="dxa"/>
              <w:bottom w:w="60" w:type="dxa"/>
              <w:end w:w="70" w:type="dxa"/>
            </w:tcMar>
          </w:tcPr>
          <w:p>
            <w:pPr>
              <w:spacing w:after="0" w:line="240" w:lineRule="auto"/>
            </w:pPr>
            <w:r>
              <w:rPr>
                <w:rFonts w:ascii="Aptos" w:hAnsi="Aptos"/>
                <w:color w:val="1E252B"/>
                <w:sz w:val="13"/>
              </w:rPr>
              <w:t>illio / Pemberton</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You personally clarified, designed, delivered, and stayed accountable after launch.</w:t>
            </w:r>
          </w:p>
        </w:tc>
      </w:tr>
      <w:tr>
        <w:trPr>
          <w:cantSplit/>
          <w:cantSplit/>
        </w:trPr>
        <w:tc>
          <w:tcPr>
            <w:tcW w:type="dxa" w:w="3024"/>
            <w:vAlign w:val="top"/>
            <w:tcMar>
              <w:top w:w="60" w:type="dxa"/>
              <w:start w:w="70" w:type="dxa"/>
              <w:bottom w:w="60" w:type="dxa"/>
              <w:end w:w="70" w:type="dxa"/>
            </w:tcMar>
            <w:shd w:fill="F3FAF6"/>
          </w:tcPr>
          <w:p>
            <w:pPr>
              <w:spacing w:after="0" w:line="240" w:lineRule="auto"/>
            </w:pPr>
            <w:r>
              <w:rPr>
                <w:rFonts w:ascii="Aptos" w:hAnsi="Aptos"/>
                <w:b/>
                <w:color w:val="001E2B"/>
                <w:sz w:val="13"/>
              </w:rPr>
              <w:t>Tell me about conflict/disagreement</w:t>
            </w:r>
          </w:p>
        </w:tc>
        <w:tc>
          <w:tcPr>
            <w:tcW w:type="dxa" w:w="2304"/>
            <w:vAlign w:val="top"/>
            <w:tcMar>
              <w:top w:w="60" w:type="dxa"/>
              <w:start w:w="70" w:type="dxa"/>
              <w:bottom w:w="60" w:type="dxa"/>
              <w:end w:w="70" w:type="dxa"/>
            </w:tcMar>
          </w:tcPr>
          <w:p>
            <w:pPr>
              <w:spacing w:after="0" w:line="240" w:lineRule="auto"/>
            </w:pPr>
            <w:r>
              <w:rPr>
                <w:rFonts w:ascii="Aptos" w:hAnsi="Aptos"/>
                <w:color w:val="1E252B"/>
                <w:sz w:val="13"/>
              </w:rPr>
              <w:t>BlackRock / architecture decision</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Listen, decision criteria, evidence, no ego, commit after decision.</w:t>
            </w:r>
          </w:p>
        </w:tc>
      </w:tr>
      <w:tr>
        <w:trPr>
          <w:cantSplit/>
          <w:cantSplit/>
        </w:trPr>
        <w:tc>
          <w:tcPr>
            <w:tcW w:type="dxa" w:w="3024"/>
            <w:vAlign w:val="top"/>
            <w:tcMar>
              <w:top w:w="60" w:type="dxa"/>
              <w:start w:w="70" w:type="dxa"/>
              <w:bottom w:w="60" w:type="dxa"/>
              <w:end w:w="70" w:type="dxa"/>
            </w:tcMar>
            <w:shd w:fill="F3FAF6"/>
          </w:tcPr>
          <w:p>
            <w:pPr>
              <w:spacing w:after="0" w:line="240" w:lineRule="auto"/>
            </w:pPr>
            <w:r>
              <w:rPr>
                <w:rFonts w:ascii="Aptos" w:hAnsi="Aptos"/>
                <w:b/>
                <w:color w:val="001E2B"/>
                <w:sz w:val="13"/>
              </w:rPr>
              <w:t>Tell me about a difficult customer/stakeholder</w:t>
            </w:r>
          </w:p>
        </w:tc>
        <w:tc>
          <w:tcPr>
            <w:tcW w:type="dxa" w:w="2304"/>
            <w:vAlign w:val="top"/>
            <w:tcMar>
              <w:top w:w="60" w:type="dxa"/>
              <w:start w:w="70" w:type="dxa"/>
              <w:bottom w:w="60" w:type="dxa"/>
              <w:end w:w="70" w:type="dxa"/>
            </w:tcMar>
          </w:tcPr>
          <w:p>
            <w:pPr>
              <w:spacing w:after="0" w:line="240" w:lineRule="auto"/>
            </w:pPr>
            <w:r>
              <w:rPr>
                <w:rFonts w:ascii="Aptos" w:hAnsi="Aptos"/>
                <w:color w:val="1E252B"/>
                <w:sz w:val="13"/>
              </w:rPr>
              <w:t>GoldenSource</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Understand underlying concern, set expectations, options/trade-offs, communicate progress.</w:t>
            </w:r>
          </w:p>
        </w:tc>
      </w:tr>
      <w:tr>
        <w:trPr>
          <w:cantSplit/>
          <w:cantSplit/>
        </w:trPr>
        <w:tc>
          <w:tcPr>
            <w:tcW w:type="dxa" w:w="3024"/>
            <w:vAlign w:val="top"/>
            <w:tcMar>
              <w:top w:w="60" w:type="dxa"/>
              <w:start w:w="70" w:type="dxa"/>
              <w:bottom w:w="60" w:type="dxa"/>
              <w:end w:w="70" w:type="dxa"/>
            </w:tcMar>
            <w:shd w:fill="F3FAF6"/>
          </w:tcPr>
          <w:p>
            <w:pPr>
              <w:spacing w:after="0" w:line="240" w:lineRule="auto"/>
            </w:pPr>
            <w:r>
              <w:rPr>
                <w:rFonts w:ascii="Aptos" w:hAnsi="Aptos"/>
                <w:b/>
                <w:color w:val="001E2B"/>
                <w:sz w:val="13"/>
              </w:rPr>
              <w:t>Tell me about ambiguity</w:t>
            </w:r>
          </w:p>
        </w:tc>
        <w:tc>
          <w:tcPr>
            <w:tcW w:type="dxa" w:w="2304"/>
            <w:vAlign w:val="top"/>
            <w:tcMar>
              <w:top w:w="60" w:type="dxa"/>
              <w:start w:w="70" w:type="dxa"/>
              <w:bottom w:w="60" w:type="dxa"/>
              <w:end w:w="70" w:type="dxa"/>
            </w:tcMar>
          </w:tcPr>
          <w:p>
            <w:pPr>
              <w:spacing w:after="0" w:line="240" w:lineRule="auto"/>
            </w:pPr>
            <w:r>
              <w:rPr>
                <w:rFonts w:ascii="Aptos" w:hAnsi="Aptos"/>
                <w:color w:val="1E252B"/>
                <w:sz w:val="13"/>
              </w:rPr>
              <w:t>Pemberton</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Turn broad business workflow into concrete model/API/data requirements; iterate.</w:t>
            </w:r>
          </w:p>
        </w:tc>
      </w:tr>
      <w:tr>
        <w:trPr>
          <w:cantSplit/>
          <w:cantSplit/>
        </w:trPr>
        <w:tc>
          <w:tcPr>
            <w:tcW w:type="dxa" w:w="3024"/>
            <w:vAlign w:val="top"/>
            <w:tcMar>
              <w:top w:w="60" w:type="dxa"/>
              <w:start w:w="70" w:type="dxa"/>
              <w:bottom w:w="60" w:type="dxa"/>
              <w:end w:w="70" w:type="dxa"/>
            </w:tcMar>
            <w:shd w:fill="F3FAF6"/>
          </w:tcPr>
          <w:p>
            <w:pPr>
              <w:spacing w:after="0" w:line="240" w:lineRule="auto"/>
            </w:pPr>
            <w:r>
              <w:rPr>
                <w:rFonts w:ascii="Aptos" w:hAnsi="Aptos"/>
                <w:b/>
                <w:color w:val="001E2B"/>
                <w:sz w:val="13"/>
              </w:rPr>
              <w:t>Tell me about a mistake</w:t>
            </w:r>
          </w:p>
        </w:tc>
        <w:tc>
          <w:tcPr>
            <w:tcW w:type="dxa" w:w="2304"/>
            <w:vAlign w:val="top"/>
            <w:tcMar>
              <w:top w:w="60" w:type="dxa"/>
              <w:start w:w="70" w:type="dxa"/>
              <w:bottom w:w="60" w:type="dxa"/>
              <w:end w:w="70" w:type="dxa"/>
            </w:tcMar>
          </w:tcPr>
          <w:p>
            <w:pPr>
              <w:spacing w:after="0" w:line="240" w:lineRule="auto"/>
            </w:pPr>
            <w:r>
              <w:rPr>
                <w:rFonts w:ascii="Aptos" w:hAnsi="Aptos"/>
                <w:color w:val="1E252B"/>
                <w:sz w:val="13"/>
              </w:rPr>
              <w:t>Use a genuine manageable incident</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Own it; signal missed; fix; prevention. Do not invent metrics.</w:t>
            </w:r>
          </w:p>
        </w:tc>
      </w:tr>
      <w:tr>
        <w:trPr>
          <w:cantSplit/>
          <w:cantSplit/>
        </w:trPr>
        <w:tc>
          <w:tcPr>
            <w:tcW w:type="dxa" w:w="3024"/>
            <w:vAlign w:val="top"/>
            <w:tcMar>
              <w:top w:w="60" w:type="dxa"/>
              <w:start w:w="70" w:type="dxa"/>
              <w:bottom w:w="60" w:type="dxa"/>
              <w:end w:w="70" w:type="dxa"/>
            </w:tcMar>
            <w:shd w:fill="F3FAF6"/>
          </w:tcPr>
          <w:p>
            <w:pPr>
              <w:spacing w:after="0" w:line="240" w:lineRule="auto"/>
            </w:pPr>
            <w:r>
              <w:rPr>
                <w:rFonts w:ascii="Aptos" w:hAnsi="Aptos"/>
                <w:b/>
                <w:color w:val="001E2B"/>
                <w:sz w:val="13"/>
              </w:rPr>
              <w:t>Tell me about learning quickly</w:t>
            </w:r>
          </w:p>
        </w:tc>
        <w:tc>
          <w:tcPr>
            <w:tcW w:type="dxa" w:w="2304"/>
            <w:vAlign w:val="top"/>
            <w:tcMar>
              <w:top w:w="60" w:type="dxa"/>
              <w:start w:w="70" w:type="dxa"/>
              <w:bottom w:w="60" w:type="dxa"/>
              <w:end w:w="70" w:type="dxa"/>
            </w:tcMar>
          </w:tcPr>
          <w:p>
            <w:pPr>
              <w:spacing w:after="0" w:line="240" w:lineRule="auto"/>
            </w:pPr>
            <w:r>
              <w:rPr>
                <w:rFonts w:ascii="Aptos" w:hAnsi="Aptos"/>
                <w:color w:val="1E252B"/>
                <w:sz w:val="13"/>
              </w:rPr>
              <w:t>EDF/illio/Brevan tool changes</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Mental model -&gt; small experiment -&gt; production use -&gt; teach back.</w:t>
            </w:r>
          </w:p>
        </w:tc>
      </w:tr>
      <w:tr>
        <w:trPr>
          <w:cantSplit/>
          <w:cantSplit/>
        </w:trPr>
        <w:tc>
          <w:tcPr>
            <w:tcW w:type="dxa" w:w="3024"/>
            <w:vAlign w:val="top"/>
            <w:tcMar>
              <w:top w:w="60" w:type="dxa"/>
              <w:start w:w="70" w:type="dxa"/>
              <w:bottom w:w="60" w:type="dxa"/>
              <w:end w:w="70" w:type="dxa"/>
            </w:tcMar>
            <w:shd w:fill="F3FAF6"/>
          </w:tcPr>
          <w:p>
            <w:pPr>
              <w:spacing w:after="0" w:line="240" w:lineRule="auto"/>
            </w:pPr>
            <w:r>
              <w:rPr>
                <w:rFonts w:ascii="Aptos" w:hAnsi="Aptos"/>
                <w:b/>
                <w:color w:val="001E2B"/>
                <w:sz w:val="13"/>
              </w:rPr>
              <w:t>Tell me about mentoring</w:t>
            </w:r>
          </w:p>
        </w:tc>
        <w:tc>
          <w:tcPr>
            <w:tcW w:type="dxa" w:w="2304"/>
            <w:vAlign w:val="top"/>
            <w:tcMar>
              <w:top w:w="60" w:type="dxa"/>
              <w:start w:w="70" w:type="dxa"/>
              <w:bottom w:w="60" w:type="dxa"/>
              <w:end w:w="70" w:type="dxa"/>
            </w:tcMar>
          </w:tcPr>
          <w:p>
            <w:pPr>
              <w:spacing w:after="0" w:line="240" w:lineRule="auto"/>
            </w:pPr>
            <w:r>
              <w:rPr>
                <w:rFonts w:ascii="Aptos" w:hAnsi="Aptos"/>
                <w:color w:val="1E252B"/>
                <w:sz w:val="13"/>
              </w:rPr>
              <w:t>BlackRock / illio</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Context + pairing + ownership + feedback; increase autonomy.</w:t>
            </w:r>
          </w:p>
        </w:tc>
      </w:tr>
      <w:tr>
        <w:trPr>
          <w:cantSplit/>
          <w:cantSplit/>
        </w:trPr>
        <w:tc>
          <w:tcPr>
            <w:tcW w:type="dxa" w:w="3024"/>
            <w:vAlign w:val="top"/>
            <w:tcMar>
              <w:top w:w="60" w:type="dxa"/>
              <w:start w:w="70" w:type="dxa"/>
              <w:bottom w:w="60" w:type="dxa"/>
              <w:end w:w="70" w:type="dxa"/>
            </w:tcMar>
            <w:shd w:fill="F3FAF6"/>
          </w:tcPr>
          <w:p>
            <w:pPr>
              <w:spacing w:after="0" w:line="240" w:lineRule="auto"/>
            </w:pPr>
            <w:r>
              <w:rPr>
                <w:rFonts w:ascii="Aptos" w:hAnsi="Aptos"/>
                <w:b/>
                <w:color w:val="001E2B"/>
                <w:sz w:val="13"/>
              </w:rPr>
              <w:t>Tell me about challenging status quo</w:t>
            </w:r>
          </w:p>
        </w:tc>
        <w:tc>
          <w:tcPr>
            <w:tcW w:type="dxa" w:w="2304"/>
            <w:vAlign w:val="top"/>
            <w:tcMar>
              <w:top w:w="60" w:type="dxa"/>
              <w:start w:w="70" w:type="dxa"/>
              <w:bottom w:w="60" w:type="dxa"/>
              <w:end w:w="70" w:type="dxa"/>
            </w:tcMar>
          </w:tcPr>
          <w:p>
            <w:pPr>
              <w:spacing w:after="0" w:line="240" w:lineRule="auto"/>
            </w:pPr>
            <w:r>
              <w:rPr>
                <w:rFonts w:ascii="Aptos" w:hAnsi="Aptos"/>
                <w:color w:val="1E252B"/>
                <w:sz w:val="13"/>
              </w:rPr>
              <w:t>Pemberton / illio</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Problem with old process, pragmatic replacement, adoption.</w:t>
            </w:r>
          </w:p>
        </w:tc>
      </w:tr>
      <w:tr>
        <w:trPr>
          <w:cantSplit/>
          <w:cantSplit/>
        </w:trPr>
        <w:tc>
          <w:tcPr>
            <w:tcW w:type="dxa" w:w="3024"/>
            <w:vAlign w:val="top"/>
            <w:tcMar>
              <w:top w:w="60" w:type="dxa"/>
              <w:start w:w="70" w:type="dxa"/>
              <w:bottom w:w="60" w:type="dxa"/>
              <w:end w:w="70" w:type="dxa"/>
            </w:tcMar>
            <w:shd w:fill="F3FAF6"/>
          </w:tcPr>
          <w:p>
            <w:pPr>
              <w:spacing w:after="0" w:line="240" w:lineRule="auto"/>
            </w:pPr>
            <w:r>
              <w:rPr>
                <w:rFonts w:ascii="Aptos" w:hAnsi="Aptos"/>
                <w:b/>
                <w:color w:val="001E2B"/>
                <w:sz w:val="13"/>
              </w:rPr>
              <w:t>Tell me about giving bad news</w:t>
            </w:r>
          </w:p>
        </w:tc>
        <w:tc>
          <w:tcPr>
            <w:tcW w:type="dxa" w:w="2304"/>
            <w:vAlign w:val="top"/>
            <w:tcMar>
              <w:top w:w="60" w:type="dxa"/>
              <w:start w:w="70" w:type="dxa"/>
              <w:bottom w:w="60" w:type="dxa"/>
              <w:end w:w="70" w:type="dxa"/>
            </w:tcMar>
          </w:tcPr>
          <w:p>
            <w:pPr>
              <w:spacing w:after="0" w:line="240" w:lineRule="auto"/>
            </w:pPr>
            <w:r>
              <w:rPr>
                <w:rFonts w:ascii="Aptos" w:hAnsi="Aptos"/>
                <w:color w:val="1E252B"/>
                <w:sz w:val="13"/>
              </w:rPr>
              <w:t>Production incident / client migration</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Impact first, facts vs unknowns, recovery plan, next update.</w:t>
            </w:r>
          </w:p>
        </w:tc>
      </w:tr>
      <w:tr>
        <w:trPr>
          <w:cantSplit/>
          <w:cantSplit/>
        </w:trPr>
        <w:tc>
          <w:tcPr>
            <w:tcW w:type="dxa" w:w="3024"/>
            <w:vAlign w:val="top"/>
            <w:tcMar>
              <w:top w:w="60" w:type="dxa"/>
              <w:start w:w="70" w:type="dxa"/>
              <w:bottom w:w="60" w:type="dxa"/>
              <w:end w:w="70" w:type="dxa"/>
            </w:tcMar>
            <w:shd w:fill="F3FAF6"/>
          </w:tcPr>
          <w:p>
            <w:pPr>
              <w:spacing w:after="0" w:line="240" w:lineRule="auto"/>
            </w:pPr>
            <w:r>
              <w:rPr>
                <w:rFonts w:ascii="Aptos" w:hAnsi="Aptos"/>
                <w:b/>
                <w:color w:val="001E2B"/>
                <w:sz w:val="13"/>
              </w:rPr>
              <w:t>Tell me about cross-team collaboration</w:t>
            </w:r>
          </w:p>
        </w:tc>
        <w:tc>
          <w:tcPr>
            <w:tcW w:type="dxa" w:w="2304"/>
            <w:vAlign w:val="top"/>
            <w:tcMar>
              <w:top w:w="60" w:type="dxa"/>
              <w:start w:w="70" w:type="dxa"/>
              <w:bottom w:w="60" w:type="dxa"/>
              <w:end w:w="70" w:type="dxa"/>
            </w:tcMar>
          </w:tcPr>
          <w:p>
            <w:pPr>
              <w:spacing w:after="0" w:line="240" w:lineRule="auto"/>
            </w:pPr>
            <w:r>
              <w:rPr>
                <w:rFonts w:ascii="Aptos" w:hAnsi="Aptos"/>
                <w:color w:val="1E252B"/>
                <w:sz w:val="13"/>
              </w:rPr>
              <w:t>BlackRock</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Shared outcome, dependencies, communication cadence, ownership boundaries.</w:t>
            </w:r>
          </w:p>
        </w:tc>
      </w:tr>
    </w:tbl>
    <w:p>
      <w:pPr>
        <w:spacing w:after="10"/>
      </w:pPr>
    </w:p>
    <w:p>
      <w:pPr>
        <w:pStyle w:val="Heading1"/>
      </w:pPr>
      <w:r>
        <w:t>28. Model Behavioural Answer Structures</w:t>
      </w:r>
    </w:p>
    <w:p>
      <w:pPr>
        <w:pStyle w:val="Heading2"/>
      </w:pPr>
      <w:r>
        <w:t>Disagreement with a customer architect</w:t>
      </w:r>
    </w:p>
    <w:p>
      <w:pPr/>
      <w:r>
        <w:t>“First I would make sure I understand the constraint behind their preference. I’d agree the decision criteria — for example latency, operational simplicity, consistency, migration risk — then compare the options against those criteria using evidence. If we still disagree and both options are safe, I’d document the trade-off and support the customer’s decision. If there is a material reliability or security risk, I’d be explicit and escalate appropriately. The objective is a successful customer outcome, not winning an argument.”</w:t>
      </w:r>
    </w:p>
    <w:p>
      <w:pPr>
        <w:pStyle w:val="Heading2"/>
      </w:pPr>
      <w:r>
        <w:t>Production mistake</w:t>
      </w:r>
    </w:p>
    <w:p>
      <w:pPr/>
      <w:r>
        <w:t>Use a real example. A strong shape is: “I made/approved X assumption -&gt; signal Y showed it was wrong -&gt; I owned the diagnosis and remediation -&gt; communicated impact -&gt; added control/test/monitoring so the same class of failure is detected earlier.” Never use a fake weakness such as “I care too much.”</w:t>
      </w:r>
    </w:p>
    <w:p>
      <w:pPr>
        <w:pStyle w:val="Heading2"/>
      </w:pPr>
      <w:r>
        <w:t>Customer asks a question you cannot answer</w:t>
      </w:r>
    </w:p>
    <w:p>
      <w:pPr/>
      <w:r>
        <w:t>“I would not improvise a confident answer. I’d state what I know, clarify the exact question, and say I want to validate the uncertain part. I’d use the relevant documentation, lab/reproduction, or internal expert channel, then come back with a concise answer and evidence. Protecting trust is more important than appearing omniscient.”</w:t>
      </w:r>
    </w:p>
    <w:p>
      <w:pPr>
        <w:pStyle w:val="Heading1"/>
      </w:pPr>
      <w:r>
        <w:t>29. 70 High-Probability Questions</w:t>
      </w:r>
    </w:p>
    <w:tbl>
      <w:tblPr>
        <w:tblW w:type="auto" w:w="0"/>
        <w:jc w:val="center"/>
        <w:tblLayout w:type="fixed"/>
        <w:tblLook w:firstColumn="1" w:firstRow="1" w:lastColumn="0" w:lastRow="0" w:noHBand="0" w:noVBand="1" w:val="04A0"/>
      </w:tblPr>
      <w:tblGrid>
        <w:gridCol w:w="5328"/>
        <w:gridCol w:w="5328"/>
      </w:tblGrid>
      <w:tr>
        <w:trPr>
          <w:cantSplit/>
          <w:tblHeader w:val="true"/>
          <w:cantSplit/>
        </w:trPr>
        <w:tc>
          <w:tcPr>
            <w:tcW w:type="dxa" w:w="5328"/>
            <w:vAlign w:val="top"/>
            <w:tcMar>
              <w:top w:w="60" w:type="dxa"/>
              <w:start w:w="70" w:type="dxa"/>
              <w:bottom w:w="60" w:type="dxa"/>
              <w:end w:w="70" w:type="dxa"/>
            </w:tcMar>
            <w:shd w:fill="00A35C"/>
          </w:tcPr>
          <w:p>
            <w:pPr>
              <w:spacing w:after="0" w:line="240" w:lineRule="auto"/>
            </w:pPr>
            <w:r>
              <w:rPr>
                <w:rFonts w:ascii="Aptos" w:hAnsi="Aptos"/>
                <w:b/>
                <w:color w:val="FFFFFF"/>
                <w:sz w:val="13"/>
              </w:rPr>
              <w:t># / Question</w:t>
            </w:r>
          </w:p>
        </w:tc>
        <w:tc>
          <w:tcPr>
            <w:tcW w:type="dxa" w:w="5328"/>
            <w:vAlign w:val="top"/>
            <w:tcMar>
              <w:top w:w="60" w:type="dxa"/>
              <w:start w:w="70" w:type="dxa"/>
              <w:bottom w:w="60" w:type="dxa"/>
              <w:end w:w="70" w:type="dxa"/>
            </w:tcMar>
            <w:shd w:fill="00A35C"/>
          </w:tcPr>
          <w:p>
            <w:pPr>
              <w:spacing w:after="0" w:line="240" w:lineRule="auto"/>
            </w:pPr>
            <w:r>
              <w:rPr>
                <w:rFonts w:ascii="Aptos" w:hAnsi="Aptos"/>
                <w:b/>
                <w:color w:val="FFFFFF"/>
                <w:sz w:val="13"/>
              </w:rPr>
              <w:t># / Question</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1. Walk me through your background.</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36. What does “schema flexibility” mean?</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2. Why MongoDB?</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37. What is the 16 MiB document limit?</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3. Why Consulting Engineering?</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38. What is an aggregation pipeline?</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4. Why are you considering leaving Brevan Howard?</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39. When would you use $lookup?</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5. What do you want from your next role?</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40. What is a compound index?</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6. What do you want from your manager?</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41. Explain the ESR indexing guideline.</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7. Why are you a strong fit for Professional Services?</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42. How do you investigate a slow query?</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8. How customer-facing have you been?</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43. What does explain("executionStats") tell you?</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9. Tell me about your GoldenSource consulting experience.</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44. What is a replica set?</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10. How do you build trust with a new customer?</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45. What happens when the primary fails?</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11. Tell me about a difficult stakeholder.</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46. Read preference vs read concern?</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12. How do you manage scope on a consulting engagement?</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47. What is write concern?</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13. What do you do when a customer disagrees with you?</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48. w:1 vs w:"majority"?</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14. What if the customer asks something you do not know?</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49. What is replication lag?</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15. How do you present to both engineers and executives?</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50. What is the oplog?</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16. How do you deliver technical training?</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51. What is sharding?</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17. How do you balance billable work with learning?</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52. What does mongos do?</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18. How do you handle multiple customers/priorities?</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53. What are config servers?</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19. How do you write a useful consulting report?</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54. How do you choose a shard key?</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20. What does trusted advisor mean to you?</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55. Hashed vs ranged sharding?</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21. How strong are you in Python?</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56. What is scatter/gather?</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22. How strong are you in Java/C#?</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57. What does the balancer do?</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23. Describe a distributed system you built.</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58. When would you not shard?</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24. Describe a production incident you diagnosed.</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59. Are MongoDB transactions ACID?</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25. How do you troubleshoot an unfamiliar system?</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60. When would you use a multi-document transaction?</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26. How do you use logs/metrics/traces?</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61. What are change streams?</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27. What Linux tools do you use?</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62. What is Atlas?</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28. How do you diagnose a network vs database problem?</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63. How would you secure an Atlas deployment?</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29. What makes a production deployment safe?</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64. How would you design backups/DR?</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30. How do you handle retries/timeouts?</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65. How would you migrate SQL Server to MongoDB?</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31. What databases have you used?</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66. How would you validate a migration?</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32. Relational vs document database?</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67. How would you modernise a legacy application?</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33. What is MongoDB?</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68. Tell me about a time you learned a technology quickly.</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34. What is BSON?</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69. Which MongoDB value resonates with you and why?</w:t>
            </w:r>
          </w:p>
        </w:tc>
      </w:tr>
      <w:tr>
        <w:trPr>
          <w:cantSplit/>
          <w:cantSplit/>
        </w:trPr>
        <w:tc>
          <w:tcPr>
            <w:tcW w:type="dxa" w:w="5328"/>
            <w:vAlign w:val="top"/>
            <w:tcMar>
              <w:top w:w="60" w:type="dxa"/>
              <w:start w:w="70" w:type="dxa"/>
              <w:bottom w:w="60" w:type="dxa"/>
              <w:end w:w="70" w:type="dxa"/>
            </w:tcMar>
            <w:shd w:fill="F3FAF6"/>
          </w:tcPr>
          <w:p>
            <w:pPr>
              <w:spacing w:after="0" w:line="240" w:lineRule="auto"/>
            </w:pPr>
            <w:r>
              <w:rPr>
                <w:rFonts w:ascii="Aptos" w:hAnsi="Aptos"/>
                <w:b/>
                <w:color w:val="001E2B"/>
                <w:sz w:val="13"/>
              </w:rPr>
              <w:t>35. Embedding vs referencing?</w:t>
            </w:r>
          </w:p>
        </w:tc>
        <w:tc>
          <w:tcPr>
            <w:tcW w:type="dxa" w:w="5328"/>
            <w:vAlign w:val="top"/>
            <w:tcMar>
              <w:top w:w="60" w:type="dxa"/>
              <w:start w:w="70" w:type="dxa"/>
              <w:bottom w:w="60" w:type="dxa"/>
              <w:end w:w="70" w:type="dxa"/>
            </w:tcMar>
          </w:tcPr>
          <w:p>
            <w:pPr>
              <w:spacing w:after="0" w:line="240" w:lineRule="auto"/>
            </w:pPr>
            <w:r>
              <w:rPr>
                <w:rFonts w:ascii="Aptos" w:hAnsi="Aptos"/>
                <w:color w:val="1E252B"/>
                <w:sz w:val="13"/>
              </w:rPr>
              <w:t>70. What questions do you have for me?</w:t>
            </w:r>
          </w:p>
        </w:tc>
      </w:tr>
    </w:tbl>
    <w:p>
      <w:pPr>
        <w:spacing w:after="10"/>
      </w:pPr>
    </w:p>
    <w:p>
      <w:pPr>
        <w:pStyle w:val="Heading1"/>
      </w:pPr>
      <w:r>
        <w:t>30. Model Answers to Questions Most Likely to Decide the Interview</w:t>
      </w:r>
    </w:p>
    <w:p>
      <w:pPr>
        <w:pStyle w:val="Heading2"/>
      </w:pPr>
      <w:r>
        <w:t>What MongoDB experience do you have?</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ANSWER</w:t>
            </w:r>
          </w:p>
          <w:p>
            <w:pPr>
              <w:spacing w:after="0" w:line="240" w:lineRule="auto"/>
            </w:pPr>
            <w:r>
              <w:rPr>
                <w:color w:val="1E252B"/>
                <w:sz w:val="16"/>
              </w:rPr>
              <w:t>“MongoDB is part of my current production stack at Brevan Howard, where I work on front-office data and analytics alongside Python, AWS, Snowflake and other services. I would not present myself as someone who has spent years administering large MongoDB fleets. My deeper experience is broader: designing and operating data platforms, relational and NoSQL databases, distributed systems, APIs and cloud infrastructure. I’ve been deliberately deepening the MongoDB-specific areas — schema/access-pattern design, indexing/query plans, replication/read-write semantics, sharding and change streams — and I’m confident in the learning curve because I’ve repeatedly moved across technologies throughout my career.”</w:t>
            </w:r>
          </w:p>
        </w:tc>
      </w:tr>
    </w:tbl>
    <w:p>
      <w:pPr>
        <w:spacing w:after="10"/>
      </w:pPr>
    </w:p>
    <w:p>
      <w:pPr>
        <w:pStyle w:val="Heading2"/>
      </w:pPr>
      <w:r>
        <w:t>What makes you a good consultant?</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ANSWER</w:t>
            </w:r>
          </w:p>
          <w:p>
            <w:pPr>
              <w:spacing w:after="0" w:line="240" w:lineRule="auto"/>
            </w:pPr>
            <w:r>
              <w:rPr>
                <w:color w:val="1E252B"/>
                <w:sz w:val="16"/>
              </w:rPr>
              <w:t>“I combine technical depth with the discipline to understand the actual customer outcome before designing. In Professional Services at GoldenSource I had to translate business and technical requirements, advise on architecture, manage delivery and communicate with multiple stakeholders. In later engineering roles I’ve continued doing that internally. I’m comfortable challenging assumptions, but I’m not dogmatic: I explain evidence and trade-offs, make a recommendation, and stay accountable through implementation and validation.”</w:t>
            </w:r>
          </w:p>
        </w:tc>
      </w:tr>
    </w:tbl>
    <w:p>
      <w:pPr>
        <w:spacing w:after="10"/>
      </w:pPr>
    </w:p>
    <w:p>
      <w:pPr>
        <w:pStyle w:val="Heading2"/>
      </w:pPr>
      <w:r>
        <w:t>How do you troubleshoot something you have never seen before?</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ANSWER</w:t>
            </w:r>
          </w:p>
          <w:p>
            <w:pPr>
              <w:spacing w:after="0" w:line="240" w:lineRule="auto"/>
            </w:pPr>
            <w:r>
              <w:rPr>
                <w:color w:val="1E252B"/>
                <w:sz w:val="16"/>
              </w:rPr>
              <w:t>“I reduce the problem before I try to solve it. I define the symptom, establish what changed, create a known-good baseline, split the system into layers and collect evidence at each boundary. I form hypotheses and test the cheapest/highest-signal ones first. I also keep facts, assumptions and unknowns separate. If I need product-specific expertise, I use documentation or internal experts, but I still own the problem and communication with the customer.”</w:t>
            </w:r>
          </w:p>
        </w:tc>
      </w:tr>
    </w:tbl>
    <w:p>
      <w:pPr>
        <w:spacing w:after="10"/>
      </w:pPr>
    </w:p>
    <w:p>
      <w:pPr>
        <w:pStyle w:val="Heading2"/>
      </w:pPr>
      <w:r>
        <w:t>How do you handle an unhappy customer?</w:t>
      </w:r>
    </w:p>
    <w:p>
      <w:pPr/>
      <w:r>
        <w:t>Acknowledge impact without prematurely admitting a technical cause; make ownership clear; establish facts; agree cadence for updates; separate workaround from root cause; provide options and risks; close with prevention and a clear written summary.</w:t>
      </w:r>
    </w:p>
    <w:p>
      <w:pPr>
        <w:pStyle w:val="Heading2"/>
      </w:pPr>
      <w:r>
        <w:t>How do you communicate to executives?</w:t>
      </w:r>
    </w:p>
    <w:p>
      <w:pPr/>
      <w:r>
        <w:t>Start with business impact, risk, decision required, options and recommendation. Avoid dumping query plans or config details unless asked. Keep the technical evidence available for the engineering audience.</w:t>
      </w:r>
    </w:p>
    <w:p>
      <w:pPr>
        <w:pStyle w:val="Heading2"/>
      </w:pPr>
      <w:r>
        <w:t>How do you communicate to engineers?</w:t>
      </w:r>
    </w:p>
    <w:p>
      <w:pPr/>
      <w:r>
        <w:t>Give architecture/context, evidence, reproduction steps, assumptions, precise recommendation and operational consequences. Engineers should understand both “what” and “why”.</w:t>
      </w:r>
    </w:p>
    <w:p>
      <w:pPr>
        <w:pStyle w:val="Heading2"/>
      </w:pPr>
      <w:r>
        <w:t>How do you manage consulting scope?</w:t>
      </w:r>
    </w:p>
    <w:p>
      <w:pPr/>
      <w:r>
        <w:t>Define deliverables and success criteria early, make assumptions/dependencies visible, track discoveries that expand scope, surface risk immediately, and prioritise the outcome. Offer follow-on work rather than silently overrun or deliver a broad but unvalidated solution.</w:t>
      </w:r>
    </w:p>
    <w:p>
      <w:pPr>
        <w:pStyle w:val="Heading2"/>
      </w:pPr>
      <w:r>
        <w:t>How would you design a MongoDB schema?</w:t>
      </w:r>
    </w:p>
    <w:p>
      <w:pPr/>
      <w:r>
        <w:t>Start from workload/access patterns and aggregate boundaries, then decide embed/reference, consider document growth and update frequency, define validation, create indexes for critical query shapes, and benchmark using representative data. Schema design and indexing are one problem, not two separate activities.</w:t>
      </w:r>
    </w:p>
    <w:p>
      <w:pPr>
        <w:pStyle w:val="Heading2"/>
      </w:pPr>
      <w:r>
        <w:t>How would you troubleshoot a slow query?</w:t>
      </w:r>
    </w:p>
    <w:p>
      <w:pPr/>
      <w:r>
        <w:t>Capture the exact query and latency, inspect explain execution stats, look for COLLSCAN, high docs/keys examined, sort/lookup/unwind cost and selectivity, then validate schema/index changes under representative load. Also confirm the bottleneck is not application connection pooling, network or cluster resource pressure.</w:t>
      </w:r>
    </w:p>
    <w:p>
      <w:pPr>
        <w:pStyle w:val="Heading2"/>
      </w:pPr>
      <w:r>
        <w:t>What is your leadership style?</w:t>
      </w:r>
    </w:p>
    <w:p>
      <w:pPr/>
      <w:r>
        <w:t>High context, clear expectations, direct but respectful feedback, and increasing autonomy. I use pairing/review for the first difficult example, then give ownership. I prefer standards that are automated or demonstrated in reference implementations rather than documents nobody follows.</w:t>
      </w:r>
    </w:p>
    <w:p>
      <w:pPr>
        <w:pStyle w:val="Heading2"/>
      </w:pPr>
      <w:r>
        <w:t>Which value resonates most?</w:t>
      </w:r>
    </w:p>
    <w:p>
      <w:pPr/>
      <w:r>
        <w:t>“Be Intellectually Honest” is particularly relevant to consulting. Customers need an advisor who can distinguish evidence from assumption, admit when new information changes the recommendation, and be transparent about unknowns. I also connect strongly with “Own What You Do” because advice is only valuable if you stay accountable for the outcome.</w:t>
      </w:r>
    </w:p>
    <w:p>
      <w:pPr>
        <w:pStyle w:val="Heading1"/>
      </w:pPr>
      <w:r>
        <w:t>31. Questions You Should Ask Jay</w:t>
      </w:r>
    </w:p>
    <w:p>
      <w:pPr/>
      <w:r>
        <w:t>Ask 4-6 depending on time. A director will notice whether your questions show you understand the job.</w:t>
      </w:r>
    </w:p>
    <w:p>
      <w:pPr>
        <w:spacing w:after="28"/>
        <w:ind w:left="259" w:hanging="144"/>
      </w:pPr>
      <w:r>
        <w:rPr>
          <w:b/>
          <w:color w:val="00A35C"/>
        </w:rPr>
        <w:t xml:space="preserve">• </w:t>
      </w:r>
      <w:r>
        <w:t>“What distinguishes a strong Senior Consulting Engineer from an exceptional one in your team after the first six to twelve months?”</w:t>
      </w:r>
    </w:p>
    <w:p>
      <w:pPr>
        <w:spacing w:after="28"/>
        <w:ind w:left="259" w:hanging="144"/>
      </w:pPr>
      <w:r>
        <w:rPr>
          <w:b/>
          <w:color w:val="00A35C"/>
        </w:rPr>
        <w:t xml:space="preserve">• </w:t>
      </w:r>
      <w:r>
        <w:t>“What does the mix of work look like today: schema/application design, Atlas migration, performance troubleshooting, training and longer resident engagements?”</w:t>
      </w:r>
    </w:p>
    <w:p>
      <w:pPr>
        <w:spacing w:after="28"/>
        <w:ind w:left="259" w:hanging="144"/>
      </w:pPr>
      <w:r>
        <w:rPr>
          <w:b/>
          <w:color w:val="00A35C"/>
        </w:rPr>
        <w:t xml:space="preserve">• </w:t>
      </w:r>
      <w:r>
        <w:t>“What are the most common technical problems your UK customers are bringing to Professional Services right now?”</w:t>
      </w:r>
    </w:p>
    <w:p>
      <w:pPr>
        <w:spacing w:after="28"/>
        <w:ind w:left="259" w:hanging="144"/>
      </w:pPr>
      <w:r>
        <w:rPr>
          <w:b/>
          <w:color w:val="00A35C"/>
        </w:rPr>
        <w:t xml:space="preserve">• </w:t>
      </w:r>
      <w:r>
        <w:t>“How do Consulting Engineers typically collaborate with Solutions Architecture, Support, account teams and Product/Engineering during an engagement?”</w:t>
      </w:r>
    </w:p>
    <w:p>
      <w:pPr>
        <w:spacing w:after="28"/>
        <w:ind w:left="259" w:hanging="144"/>
      </w:pPr>
      <w:r>
        <w:rPr>
          <w:b/>
          <w:color w:val="00A35C"/>
        </w:rPr>
        <w:t xml:space="preserve">• </w:t>
      </w:r>
      <w:r>
        <w:t>“How do you balance billable utilization with the time needed to become genuinely deep in MongoDB and contribute reusable knowledge back to the team?”</w:t>
      </w:r>
    </w:p>
    <w:p>
      <w:pPr>
        <w:spacing w:after="28"/>
        <w:ind w:left="259" w:hanging="144"/>
      </w:pPr>
      <w:r>
        <w:rPr>
          <w:b/>
          <w:color w:val="00A35C"/>
        </w:rPr>
        <w:t xml:space="preserve">• </w:t>
      </w:r>
      <w:r>
        <w:t>“How much autonomy does a CE have to reshape an engagement when discovery shows the original problem statement is wrong?”</w:t>
      </w:r>
    </w:p>
    <w:p>
      <w:pPr>
        <w:spacing w:after="28"/>
        <w:ind w:left="259" w:hanging="144"/>
      </w:pPr>
      <w:r>
        <w:rPr>
          <w:b/>
          <w:color w:val="00A35C"/>
        </w:rPr>
        <w:t xml:space="preserve">• </w:t>
      </w:r>
      <w:r>
        <w:t>“What is the current expectation around customer travel for the Great Britain team?”</w:t>
      </w:r>
    </w:p>
    <w:p>
      <w:pPr>
        <w:spacing w:after="28"/>
        <w:ind w:left="259" w:hanging="144"/>
      </w:pPr>
      <w:r>
        <w:rPr>
          <w:b/>
          <w:color w:val="00A35C"/>
        </w:rPr>
        <w:t xml:space="preserve">• </w:t>
      </w:r>
      <w:r>
        <w:t>“What does good written output look like in your team — recommendations, runbooks, architecture decisions, formal reports?”</w:t>
      </w:r>
    </w:p>
    <w:p>
      <w:pPr>
        <w:spacing w:after="28"/>
        <w:ind w:left="259" w:hanging="144"/>
      </w:pPr>
      <w:r>
        <w:rPr>
          <w:b/>
          <w:color w:val="00A35C"/>
        </w:rPr>
        <w:t xml:space="preserve">• </w:t>
      </w:r>
      <w:r>
        <w:t>“Which technical areas would you expect me to deepen first given my background?”</w:t>
      </w:r>
    </w:p>
    <w:p>
      <w:pPr>
        <w:spacing w:after="28"/>
        <w:ind w:left="259" w:hanging="144"/>
      </w:pPr>
      <w:r>
        <w:rPr>
          <w:b/>
          <w:color w:val="00A35C"/>
        </w:rPr>
        <w:t xml:space="preserve">• </w:t>
      </w:r>
      <w:r>
        <w:t>“What do you personally enjoy most about leading the Professional Services team?”</w:t>
      </w:r>
    </w:p>
    <w:p>
      <w:pPr>
        <w:spacing w:after="28"/>
        <w:ind w:left="259" w:hanging="144"/>
      </w:pPr>
      <w:r>
        <w:rPr>
          <w:b/>
          <w:color w:val="00A35C"/>
        </w:rPr>
        <w:t xml:space="preserve">• </w:t>
      </w:r>
      <w:r>
        <w:t>“Is there anything in my background that gives you concern about my fit that I can address now?”</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BEST FINAL QUESTION</w:t>
            </w:r>
          </w:p>
          <w:p>
            <w:pPr>
              <w:spacing w:after="0" w:line="240" w:lineRule="auto"/>
            </w:pPr>
            <w:r>
              <w:rPr>
                <w:color w:val="1E252B"/>
                <w:sz w:val="16"/>
              </w:rPr>
              <w:t>“If I joined and we looked back after six months, what would I need to have done for you to say hiring me was clearly the right decision?”</w:t>
            </w:r>
          </w:p>
        </w:tc>
      </w:tr>
    </w:tbl>
    <w:p>
      <w:pPr>
        <w:spacing w:after="10"/>
      </w:pPr>
    </w:p>
    <w:p>
      <w:pPr>
        <w:pStyle w:val="Heading1"/>
      </w:pPr>
      <w:r>
        <w:t>32. Likely Next Rounds - Prepare Beyond Tomorrow</w:t>
      </w:r>
    </w:p>
    <w:p>
      <w:pPr/>
      <w:r>
        <w:t>MongoDB’s official Consulting Engineer interview guide says that after the Hiring Manager stage, candidates typically speak with established Consulting Engineers in several one-hour interviews. Those discussions can cover relational/non-relational database expertise, software development, problem solving, consulting, customer interaction, report writing, verbal communication and dealing with different customer personalities/stakeholder levels. The final stage is described as a discussion with the Professional Services Director for the region.</w:t>
      </w:r>
    </w:p>
    <w:p>
      <w:pPr>
        <w:pStyle w:val="Heading2"/>
      </w:pPr>
      <w:r>
        <w:t>Therefore, after tomorrow prioritise</w:t>
      </w:r>
    </w:p>
    <w:p>
      <w:pPr>
        <w:spacing w:after="28"/>
        <w:ind w:left="259" w:hanging="144"/>
      </w:pPr>
      <w:r>
        <w:rPr>
          <w:b/>
          <w:color w:val="00A35C"/>
        </w:rPr>
        <w:t xml:space="preserve">• </w:t>
      </w:r>
      <w:r>
        <w:t>MongoDB schema design + indexing + explain plans.</w:t>
      </w:r>
    </w:p>
    <w:p>
      <w:pPr>
        <w:spacing w:after="28"/>
        <w:ind w:left="259" w:hanging="144"/>
      </w:pPr>
      <w:r>
        <w:rPr>
          <w:b/>
          <w:color w:val="00A35C"/>
        </w:rPr>
        <w:t xml:space="preserve">• </w:t>
      </w:r>
      <w:r>
        <w:t>Replica-set semantics, read preference/read concern/write concern.</w:t>
      </w:r>
    </w:p>
    <w:p>
      <w:pPr>
        <w:spacing w:after="28"/>
        <w:ind w:left="259" w:hanging="144"/>
      </w:pPr>
      <w:r>
        <w:rPr>
          <w:b/>
          <w:color w:val="00A35C"/>
        </w:rPr>
        <w:t xml:space="preserve">• </w:t>
      </w:r>
      <w:r>
        <w:t>Sharding and shard-key design.</w:t>
      </w:r>
    </w:p>
    <w:p>
      <w:pPr>
        <w:spacing w:after="28"/>
        <w:ind w:left="259" w:hanging="144"/>
      </w:pPr>
      <w:r>
        <w:rPr>
          <w:b/>
          <w:color w:val="00A35C"/>
        </w:rPr>
        <w:t xml:space="preserve">• </w:t>
      </w:r>
      <w:r>
        <w:t>Linux/network/operations troubleshooting.</w:t>
      </w:r>
    </w:p>
    <w:p>
      <w:pPr>
        <w:spacing w:after="28"/>
        <w:ind w:left="259" w:hanging="144"/>
      </w:pPr>
      <w:r>
        <w:rPr>
          <w:b/>
          <w:color w:val="00A35C"/>
        </w:rPr>
        <w:t xml:space="preserve">• </w:t>
      </w:r>
      <w:r>
        <w:t>One whiteboard-style migration/modernisation design.</w:t>
      </w:r>
    </w:p>
    <w:p>
      <w:pPr>
        <w:spacing w:after="28"/>
        <w:ind w:left="259" w:hanging="144"/>
      </w:pPr>
      <w:r>
        <w:rPr>
          <w:b/>
          <w:color w:val="00A35C"/>
        </w:rPr>
        <w:t xml:space="preserve">• </w:t>
      </w:r>
      <w:r>
        <w:t>One customer conflict scenario and one written recommendation/report structure.</w:t>
      </w:r>
    </w:p>
    <w:p>
      <w:pPr>
        <w:spacing w:after="28"/>
        <w:ind w:left="259" w:hanging="144"/>
      </w:pPr>
      <w:r>
        <w:rPr>
          <w:b/>
          <w:color w:val="00A35C"/>
        </w:rPr>
        <w:t xml:space="preserve">• </w:t>
      </w:r>
      <w:r>
        <w:t>Python/Java/C# software-design fundamentals and API/service debugging.</w:t>
      </w:r>
    </w:p>
    <w:p>
      <w:pPr>
        <w:pStyle w:val="Heading1"/>
      </w:pPr>
      <w:r>
        <w:t>33. Full 60-Minute Mock Hiring Manager Interview</w:t>
      </w:r>
    </w:p>
    <w:tbl>
      <w:tblPr>
        <w:tblW w:type="auto" w:w="0"/>
        <w:jc w:val="center"/>
        <w:tblLayout w:type="fixed"/>
        <w:tblLook w:firstColumn="1" w:firstRow="1" w:lastColumn="0" w:lastRow="0" w:noHBand="0" w:noVBand="1" w:val="04A0"/>
      </w:tblPr>
      <w:tblGrid>
        <w:gridCol w:w="3552"/>
        <w:gridCol w:w="3552"/>
        <w:gridCol w:w="3552"/>
      </w:tblGrid>
      <w:tr>
        <w:trPr>
          <w:cantSplit/>
          <w:tblHeader w:val="true"/>
          <w:cantSplit/>
        </w:trPr>
        <w:tc>
          <w:tcPr>
            <w:tcW w:type="dxa" w:w="1008"/>
            <w:vAlign w:val="top"/>
            <w:tcMar>
              <w:top w:w="60" w:type="dxa"/>
              <w:start w:w="70" w:type="dxa"/>
              <w:bottom w:w="60" w:type="dxa"/>
              <w:end w:w="70" w:type="dxa"/>
            </w:tcMar>
            <w:shd w:fill="00A35C"/>
          </w:tcPr>
          <w:p>
            <w:pPr>
              <w:spacing w:after="0" w:line="240" w:lineRule="auto"/>
            </w:pPr>
            <w:r>
              <w:rPr>
                <w:rFonts w:ascii="Aptos" w:hAnsi="Aptos"/>
                <w:b/>
                <w:color w:val="FFFFFF"/>
                <w:sz w:val="13"/>
              </w:rPr>
              <w:t>Time</w:t>
            </w:r>
          </w:p>
        </w:tc>
        <w:tc>
          <w:tcPr>
            <w:tcW w:type="dxa" w:w="4536"/>
            <w:vAlign w:val="top"/>
            <w:tcMar>
              <w:top w:w="60" w:type="dxa"/>
              <w:start w:w="70" w:type="dxa"/>
              <w:bottom w:w="60" w:type="dxa"/>
              <w:end w:w="70" w:type="dxa"/>
            </w:tcMar>
            <w:shd w:fill="00A35C"/>
          </w:tcPr>
          <w:p>
            <w:pPr>
              <w:spacing w:after="0" w:line="240" w:lineRule="auto"/>
            </w:pPr>
            <w:r>
              <w:rPr>
                <w:rFonts w:ascii="Aptos" w:hAnsi="Aptos"/>
                <w:b/>
                <w:color w:val="FFFFFF"/>
                <w:sz w:val="13"/>
              </w:rPr>
              <w:t>Question / likely probe</w:t>
            </w:r>
          </w:p>
        </w:tc>
        <w:tc>
          <w:tcPr>
            <w:tcW w:type="dxa" w:w="5112"/>
            <w:vAlign w:val="top"/>
            <w:tcMar>
              <w:top w:w="60" w:type="dxa"/>
              <w:start w:w="70" w:type="dxa"/>
              <w:bottom w:w="60" w:type="dxa"/>
              <w:end w:w="70" w:type="dxa"/>
            </w:tcMar>
            <w:shd w:fill="00A35C"/>
          </w:tcPr>
          <w:p>
            <w:pPr>
              <w:spacing w:after="0" w:line="240" w:lineRule="auto"/>
            </w:pPr>
            <w:r>
              <w:rPr>
                <w:rFonts w:ascii="Aptos" w:hAnsi="Aptos"/>
                <w:b/>
                <w:color w:val="FFFFFF"/>
                <w:sz w:val="13"/>
              </w:rPr>
              <w:t>Target</w:t>
            </w:r>
          </w:p>
        </w:tc>
      </w:tr>
      <w:tr>
        <w:trPr>
          <w:cantSplit/>
          <w:cantSplit/>
        </w:trPr>
        <w:tc>
          <w:tcPr>
            <w:tcW w:type="dxa" w:w="1008"/>
            <w:vAlign w:val="top"/>
            <w:tcMar>
              <w:top w:w="60" w:type="dxa"/>
              <w:start w:w="70" w:type="dxa"/>
              <w:bottom w:w="60" w:type="dxa"/>
              <w:end w:w="70" w:type="dxa"/>
            </w:tcMar>
            <w:shd w:fill="F3FAF6"/>
          </w:tcPr>
          <w:p>
            <w:pPr>
              <w:spacing w:after="0" w:line="240" w:lineRule="auto"/>
            </w:pPr>
            <w:r>
              <w:rPr>
                <w:rFonts w:ascii="Aptos" w:hAnsi="Aptos"/>
                <w:b/>
                <w:color w:val="001E2B"/>
                <w:sz w:val="13"/>
              </w:rPr>
              <w:t>0-5</w:t>
            </w:r>
          </w:p>
        </w:tc>
        <w:tc>
          <w:tcPr>
            <w:tcW w:type="dxa" w:w="4536"/>
            <w:vAlign w:val="top"/>
            <w:tcMar>
              <w:top w:w="60" w:type="dxa"/>
              <w:start w:w="70" w:type="dxa"/>
              <w:bottom w:w="60" w:type="dxa"/>
              <w:end w:w="70" w:type="dxa"/>
            </w:tcMar>
          </w:tcPr>
          <w:p>
            <w:pPr>
              <w:spacing w:after="0" w:line="240" w:lineRule="auto"/>
            </w:pPr>
            <w:r>
              <w:rPr>
                <w:rFonts w:ascii="Aptos" w:hAnsi="Aptos"/>
                <w:color w:val="1E252B"/>
                <w:sz w:val="13"/>
              </w:rPr>
              <w:t>Tell me about yourself.</w:t>
            </w:r>
          </w:p>
        </w:tc>
        <w:tc>
          <w:tcPr>
            <w:tcW w:type="dxa" w:w="5112"/>
            <w:vAlign w:val="top"/>
            <w:tcMar>
              <w:top w:w="60" w:type="dxa"/>
              <w:start w:w="70" w:type="dxa"/>
              <w:bottom w:w="60" w:type="dxa"/>
              <w:end w:w="70" w:type="dxa"/>
            </w:tcMar>
          </w:tcPr>
          <w:p>
            <w:pPr>
              <w:spacing w:after="0" w:line="240" w:lineRule="auto"/>
            </w:pPr>
            <w:r>
              <w:rPr>
                <w:rFonts w:ascii="Aptos" w:hAnsi="Aptos"/>
                <w:color w:val="1E252B"/>
                <w:sz w:val="13"/>
              </w:rPr>
              <w:t>90-second intro; breadth + Professional Services + current MongoDB exposure.</w:t>
            </w:r>
          </w:p>
        </w:tc>
      </w:tr>
      <w:tr>
        <w:trPr>
          <w:cantSplit/>
          <w:cantSplit/>
        </w:trPr>
        <w:tc>
          <w:tcPr>
            <w:tcW w:type="dxa" w:w="1008"/>
            <w:vAlign w:val="top"/>
            <w:tcMar>
              <w:top w:w="60" w:type="dxa"/>
              <w:start w:w="70" w:type="dxa"/>
              <w:bottom w:w="60" w:type="dxa"/>
              <w:end w:w="70" w:type="dxa"/>
            </w:tcMar>
            <w:shd w:fill="F3FAF6"/>
          </w:tcPr>
          <w:p>
            <w:pPr>
              <w:spacing w:after="0" w:line="240" w:lineRule="auto"/>
            </w:pPr>
            <w:r>
              <w:rPr>
                <w:rFonts w:ascii="Aptos" w:hAnsi="Aptos"/>
                <w:b/>
                <w:color w:val="001E2B"/>
                <w:sz w:val="13"/>
              </w:rPr>
              <w:t>5-12</w:t>
            </w:r>
          </w:p>
        </w:tc>
        <w:tc>
          <w:tcPr>
            <w:tcW w:type="dxa" w:w="4536"/>
            <w:vAlign w:val="top"/>
            <w:tcMar>
              <w:top w:w="60" w:type="dxa"/>
              <w:start w:w="70" w:type="dxa"/>
              <w:bottom w:w="60" w:type="dxa"/>
              <w:end w:w="70" w:type="dxa"/>
            </w:tcMar>
          </w:tcPr>
          <w:p>
            <w:pPr>
              <w:spacing w:after="0" w:line="240" w:lineRule="auto"/>
            </w:pPr>
            <w:r>
              <w:rPr>
                <w:rFonts w:ascii="Aptos" w:hAnsi="Aptos"/>
                <w:color w:val="1E252B"/>
                <w:sz w:val="13"/>
              </w:rPr>
              <w:t>Why MongoDB / why Consulting Engineering / why now?</w:t>
            </w:r>
          </w:p>
        </w:tc>
        <w:tc>
          <w:tcPr>
            <w:tcW w:type="dxa" w:w="5112"/>
            <w:vAlign w:val="top"/>
            <w:tcMar>
              <w:top w:w="60" w:type="dxa"/>
              <w:start w:w="70" w:type="dxa"/>
              <w:bottom w:w="60" w:type="dxa"/>
              <w:end w:w="70" w:type="dxa"/>
            </w:tcMar>
          </w:tcPr>
          <w:p>
            <w:pPr>
              <w:spacing w:after="0" w:line="240" w:lineRule="auto"/>
            </w:pPr>
            <w:r>
              <w:rPr>
                <w:rFonts w:ascii="Aptos" w:hAnsi="Aptos"/>
                <w:color w:val="1E252B"/>
                <w:sz w:val="13"/>
              </w:rPr>
              <w:t>Positive long-term direction; customer impact + deep technical learning.</w:t>
            </w:r>
          </w:p>
        </w:tc>
      </w:tr>
      <w:tr>
        <w:trPr>
          <w:cantSplit/>
          <w:cantSplit/>
        </w:trPr>
        <w:tc>
          <w:tcPr>
            <w:tcW w:type="dxa" w:w="1008"/>
            <w:vAlign w:val="top"/>
            <w:tcMar>
              <w:top w:w="60" w:type="dxa"/>
              <w:start w:w="70" w:type="dxa"/>
              <w:bottom w:w="60" w:type="dxa"/>
              <w:end w:w="70" w:type="dxa"/>
            </w:tcMar>
            <w:shd w:fill="F3FAF6"/>
          </w:tcPr>
          <w:p>
            <w:pPr>
              <w:spacing w:after="0" w:line="240" w:lineRule="auto"/>
            </w:pPr>
            <w:r>
              <w:rPr>
                <w:rFonts w:ascii="Aptos" w:hAnsi="Aptos"/>
                <w:b/>
                <w:color w:val="001E2B"/>
                <w:sz w:val="13"/>
              </w:rPr>
              <w:t>12-20</w:t>
            </w:r>
          </w:p>
        </w:tc>
        <w:tc>
          <w:tcPr>
            <w:tcW w:type="dxa" w:w="4536"/>
            <w:vAlign w:val="top"/>
            <w:tcMar>
              <w:top w:w="60" w:type="dxa"/>
              <w:start w:w="70" w:type="dxa"/>
              <w:bottom w:w="60" w:type="dxa"/>
              <w:end w:w="70" w:type="dxa"/>
            </w:tcMar>
          </w:tcPr>
          <w:p>
            <w:pPr>
              <w:spacing w:after="0" w:line="240" w:lineRule="auto"/>
            </w:pPr>
            <w:r>
              <w:rPr>
                <w:rFonts w:ascii="Aptos" w:hAnsi="Aptos"/>
                <w:color w:val="1E252B"/>
                <w:sz w:val="13"/>
              </w:rPr>
              <w:t>Tell me about a customer-facing consulting engagement.</w:t>
            </w:r>
          </w:p>
        </w:tc>
        <w:tc>
          <w:tcPr>
            <w:tcW w:type="dxa" w:w="5112"/>
            <w:vAlign w:val="top"/>
            <w:tcMar>
              <w:top w:w="60" w:type="dxa"/>
              <w:start w:w="70" w:type="dxa"/>
              <w:bottom w:w="60" w:type="dxa"/>
              <w:end w:w="70" w:type="dxa"/>
            </w:tcMar>
          </w:tcPr>
          <w:p>
            <w:pPr>
              <w:spacing w:after="0" w:line="240" w:lineRule="auto"/>
            </w:pPr>
            <w:r>
              <w:rPr>
                <w:rFonts w:ascii="Aptos" w:hAnsi="Aptos"/>
                <w:color w:val="1E252B"/>
                <w:sz w:val="13"/>
              </w:rPr>
              <w:t>GoldenSource: discovery, architecture, team, delivery, communication.</w:t>
            </w:r>
          </w:p>
        </w:tc>
      </w:tr>
      <w:tr>
        <w:trPr>
          <w:cantSplit/>
          <w:cantSplit/>
        </w:trPr>
        <w:tc>
          <w:tcPr>
            <w:tcW w:type="dxa" w:w="1008"/>
            <w:vAlign w:val="top"/>
            <w:tcMar>
              <w:top w:w="60" w:type="dxa"/>
              <w:start w:w="70" w:type="dxa"/>
              <w:bottom w:w="60" w:type="dxa"/>
              <w:end w:w="70" w:type="dxa"/>
            </w:tcMar>
            <w:shd w:fill="F3FAF6"/>
          </w:tcPr>
          <w:p>
            <w:pPr>
              <w:spacing w:after="0" w:line="240" w:lineRule="auto"/>
            </w:pPr>
            <w:r>
              <w:rPr>
                <w:rFonts w:ascii="Aptos" w:hAnsi="Aptos"/>
                <w:b/>
                <w:color w:val="001E2B"/>
                <w:sz w:val="13"/>
              </w:rPr>
              <w:t>20-28</w:t>
            </w:r>
          </w:p>
        </w:tc>
        <w:tc>
          <w:tcPr>
            <w:tcW w:type="dxa" w:w="4536"/>
            <w:vAlign w:val="top"/>
            <w:tcMar>
              <w:top w:w="60" w:type="dxa"/>
              <w:start w:w="70" w:type="dxa"/>
              <w:bottom w:w="60" w:type="dxa"/>
              <w:end w:w="70" w:type="dxa"/>
            </w:tcMar>
          </w:tcPr>
          <w:p>
            <w:pPr>
              <w:spacing w:after="0" w:line="240" w:lineRule="auto"/>
            </w:pPr>
            <w:r>
              <w:rPr>
                <w:rFonts w:ascii="Aptos" w:hAnsi="Aptos"/>
                <w:color w:val="1E252B"/>
                <w:sz w:val="13"/>
              </w:rPr>
              <w:t>Tell me about a difficult technical problem / how you diagnose.</w:t>
            </w:r>
          </w:p>
        </w:tc>
        <w:tc>
          <w:tcPr>
            <w:tcW w:type="dxa" w:w="5112"/>
            <w:vAlign w:val="top"/>
            <w:tcMar>
              <w:top w:w="60" w:type="dxa"/>
              <w:start w:w="70" w:type="dxa"/>
              <w:bottom w:w="60" w:type="dxa"/>
              <w:end w:w="70" w:type="dxa"/>
            </w:tcMar>
          </w:tcPr>
          <w:p>
            <w:pPr>
              <w:spacing w:after="0" w:line="240" w:lineRule="auto"/>
            </w:pPr>
            <w:r>
              <w:rPr>
                <w:rFonts w:ascii="Aptos" w:hAnsi="Aptos"/>
                <w:color w:val="1E252B"/>
                <w:sz w:val="13"/>
              </w:rPr>
              <w:t>Structured evidence-driven RCA; use EDF/Brevan or migration story.</w:t>
            </w:r>
          </w:p>
        </w:tc>
      </w:tr>
      <w:tr>
        <w:trPr>
          <w:cantSplit/>
          <w:cantSplit/>
        </w:trPr>
        <w:tc>
          <w:tcPr>
            <w:tcW w:type="dxa" w:w="1008"/>
            <w:vAlign w:val="top"/>
            <w:tcMar>
              <w:top w:w="60" w:type="dxa"/>
              <w:start w:w="70" w:type="dxa"/>
              <w:bottom w:w="60" w:type="dxa"/>
              <w:end w:w="70" w:type="dxa"/>
            </w:tcMar>
            <w:shd w:fill="F3FAF6"/>
          </w:tcPr>
          <w:p>
            <w:pPr>
              <w:spacing w:after="0" w:line="240" w:lineRule="auto"/>
            </w:pPr>
            <w:r>
              <w:rPr>
                <w:rFonts w:ascii="Aptos" w:hAnsi="Aptos"/>
                <w:b/>
                <w:color w:val="001E2B"/>
                <w:sz w:val="13"/>
              </w:rPr>
              <w:t>28-35</w:t>
            </w:r>
          </w:p>
        </w:tc>
        <w:tc>
          <w:tcPr>
            <w:tcW w:type="dxa" w:w="4536"/>
            <w:vAlign w:val="top"/>
            <w:tcMar>
              <w:top w:w="60" w:type="dxa"/>
              <w:start w:w="70" w:type="dxa"/>
              <w:bottom w:w="60" w:type="dxa"/>
              <w:end w:w="70" w:type="dxa"/>
            </w:tcMar>
          </w:tcPr>
          <w:p>
            <w:pPr>
              <w:spacing w:after="0" w:line="240" w:lineRule="auto"/>
            </w:pPr>
            <w:r>
              <w:rPr>
                <w:rFonts w:ascii="Aptos" w:hAnsi="Aptos"/>
                <w:color w:val="1E252B"/>
                <w:sz w:val="13"/>
              </w:rPr>
              <w:t>How much MongoDB do you know? Maybe schema/index/replication follow-ups.</w:t>
            </w:r>
          </w:p>
        </w:tc>
        <w:tc>
          <w:tcPr>
            <w:tcW w:type="dxa" w:w="5112"/>
            <w:vAlign w:val="top"/>
            <w:tcMar>
              <w:top w:w="60" w:type="dxa"/>
              <w:start w:w="70" w:type="dxa"/>
              <w:bottom w:w="60" w:type="dxa"/>
              <w:end w:w="70" w:type="dxa"/>
            </w:tcMar>
          </w:tcPr>
          <w:p>
            <w:pPr>
              <w:spacing w:after="0" w:line="240" w:lineRule="auto"/>
            </w:pPr>
            <w:r>
              <w:rPr>
                <w:rFonts w:ascii="Aptos" w:hAnsi="Aptos"/>
                <w:color w:val="1E252B"/>
                <w:sz w:val="13"/>
              </w:rPr>
              <w:t>Honest depth + confident fundamentals; do not bluff.</w:t>
            </w:r>
          </w:p>
        </w:tc>
      </w:tr>
      <w:tr>
        <w:trPr>
          <w:cantSplit/>
          <w:cantSplit/>
        </w:trPr>
        <w:tc>
          <w:tcPr>
            <w:tcW w:type="dxa" w:w="1008"/>
            <w:vAlign w:val="top"/>
            <w:tcMar>
              <w:top w:w="60" w:type="dxa"/>
              <w:start w:w="70" w:type="dxa"/>
              <w:bottom w:w="60" w:type="dxa"/>
              <w:end w:w="70" w:type="dxa"/>
            </w:tcMar>
            <w:shd w:fill="F3FAF6"/>
          </w:tcPr>
          <w:p>
            <w:pPr>
              <w:spacing w:after="0" w:line="240" w:lineRule="auto"/>
            </w:pPr>
            <w:r>
              <w:rPr>
                <w:rFonts w:ascii="Aptos" w:hAnsi="Aptos"/>
                <w:b/>
                <w:color w:val="001E2B"/>
                <w:sz w:val="13"/>
              </w:rPr>
              <w:t>35-43</w:t>
            </w:r>
          </w:p>
        </w:tc>
        <w:tc>
          <w:tcPr>
            <w:tcW w:type="dxa" w:w="4536"/>
            <w:vAlign w:val="top"/>
            <w:tcMar>
              <w:top w:w="60" w:type="dxa"/>
              <w:start w:w="70" w:type="dxa"/>
              <w:bottom w:w="60" w:type="dxa"/>
              <w:end w:w="70" w:type="dxa"/>
            </w:tcMar>
          </w:tcPr>
          <w:p>
            <w:pPr>
              <w:spacing w:after="0" w:line="240" w:lineRule="auto"/>
            </w:pPr>
            <w:r>
              <w:rPr>
                <w:rFonts w:ascii="Aptos" w:hAnsi="Aptos"/>
                <w:color w:val="1E252B"/>
                <w:sz w:val="13"/>
              </w:rPr>
              <w:t>Technical curiosity / learning speed.</w:t>
            </w:r>
          </w:p>
        </w:tc>
        <w:tc>
          <w:tcPr>
            <w:tcW w:type="dxa" w:w="5112"/>
            <w:vAlign w:val="top"/>
            <w:tcMar>
              <w:top w:w="60" w:type="dxa"/>
              <w:start w:w="70" w:type="dxa"/>
              <w:bottom w:w="60" w:type="dxa"/>
              <w:end w:w="70" w:type="dxa"/>
            </w:tcMar>
          </w:tcPr>
          <w:p>
            <w:pPr>
              <w:spacing w:after="0" w:line="240" w:lineRule="auto"/>
            </w:pPr>
            <w:r>
              <w:rPr>
                <w:rFonts w:ascii="Aptos" w:hAnsi="Aptos"/>
                <w:color w:val="1E252B"/>
                <w:sz w:val="13"/>
              </w:rPr>
              <w:t>Career transitions; learning framework; example of new stack/tool.</w:t>
            </w:r>
          </w:p>
        </w:tc>
      </w:tr>
      <w:tr>
        <w:trPr>
          <w:cantSplit/>
          <w:cantSplit/>
        </w:trPr>
        <w:tc>
          <w:tcPr>
            <w:tcW w:type="dxa" w:w="1008"/>
            <w:vAlign w:val="top"/>
            <w:tcMar>
              <w:top w:w="60" w:type="dxa"/>
              <w:start w:w="70" w:type="dxa"/>
              <w:bottom w:w="60" w:type="dxa"/>
              <w:end w:w="70" w:type="dxa"/>
            </w:tcMar>
            <w:shd w:fill="F3FAF6"/>
          </w:tcPr>
          <w:p>
            <w:pPr>
              <w:spacing w:after="0" w:line="240" w:lineRule="auto"/>
            </w:pPr>
            <w:r>
              <w:rPr>
                <w:rFonts w:ascii="Aptos" w:hAnsi="Aptos"/>
                <w:b/>
                <w:color w:val="001E2B"/>
                <w:sz w:val="13"/>
              </w:rPr>
              <w:t>43-51</w:t>
            </w:r>
          </w:p>
        </w:tc>
        <w:tc>
          <w:tcPr>
            <w:tcW w:type="dxa" w:w="4536"/>
            <w:vAlign w:val="top"/>
            <w:tcMar>
              <w:top w:w="60" w:type="dxa"/>
              <w:start w:w="70" w:type="dxa"/>
              <w:bottom w:w="60" w:type="dxa"/>
              <w:end w:w="70" w:type="dxa"/>
            </w:tcMar>
          </w:tcPr>
          <w:p>
            <w:pPr>
              <w:spacing w:after="0" w:line="240" w:lineRule="auto"/>
            </w:pPr>
            <w:r>
              <w:rPr>
                <w:rFonts w:ascii="Aptos" w:hAnsi="Aptos"/>
                <w:color w:val="1E252B"/>
                <w:sz w:val="13"/>
              </w:rPr>
              <w:t>Behavioural: collaboration, disagreement, ownership, mistake.</w:t>
            </w:r>
          </w:p>
        </w:tc>
        <w:tc>
          <w:tcPr>
            <w:tcW w:type="dxa" w:w="5112"/>
            <w:vAlign w:val="top"/>
            <w:tcMar>
              <w:top w:w="60" w:type="dxa"/>
              <w:start w:w="70" w:type="dxa"/>
              <w:bottom w:w="60" w:type="dxa"/>
              <w:end w:w="70" w:type="dxa"/>
            </w:tcMar>
          </w:tcPr>
          <w:p>
            <w:pPr>
              <w:spacing w:after="0" w:line="240" w:lineRule="auto"/>
            </w:pPr>
            <w:r>
              <w:rPr>
                <w:rFonts w:ascii="Aptos" w:hAnsi="Aptos"/>
                <w:color w:val="1E252B"/>
                <w:sz w:val="13"/>
              </w:rPr>
              <w:t>STAR; no ego; clear learning/control afterward.</w:t>
            </w:r>
          </w:p>
        </w:tc>
      </w:tr>
      <w:tr>
        <w:trPr>
          <w:cantSplit/>
          <w:cantSplit/>
        </w:trPr>
        <w:tc>
          <w:tcPr>
            <w:tcW w:type="dxa" w:w="1008"/>
            <w:vAlign w:val="top"/>
            <w:tcMar>
              <w:top w:w="60" w:type="dxa"/>
              <w:start w:w="70" w:type="dxa"/>
              <w:bottom w:w="60" w:type="dxa"/>
              <w:end w:w="70" w:type="dxa"/>
            </w:tcMar>
            <w:shd w:fill="F3FAF6"/>
          </w:tcPr>
          <w:p>
            <w:pPr>
              <w:spacing w:after="0" w:line="240" w:lineRule="auto"/>
            </w:pPr>
            <w:r>
              <w:rPr>
                <w:rFonts w:ascii="Aptos" w:hAnsi="Aptos"/>
                <w:b/>
                <w:color w:val="001E2B"/>
                <w:sz w:val="13"/>
              </w:rPr>
              <w:t>51-56</w:t>
            </w:r>
          </w:p>
        </w:tc>
        <w:tc>
          <w:tcPr>
            <w:tcW w:type="dxa" w:w="4536"/>
            <w:vAlign w:val="top"/>
            <w:tcMar>
              <w:top w:w="60" w:type="dxa"/>
              <w:start w:w="70" w:type="dxa"/>
              <w:bottom w:w="60" w:type="dxa"/>
              <w:end w:w="70" w:type="dxa"/>
            </w:tcMar>
          </w:tcPr>
          <w:p>
            <w:pPr>
              <w:spacing w:after="0" w:line="240" w:lineRule="auto"/>
            </w:pPr>
            <w:r>
              <w:rPr>
                <w:rFonts w:ascii="Aptos" w:hAnsi="Aptos"/>
                <w:color w:val="1E252B"/>
                <w:sz w:val="13"/>
              </w:rPr>
              <w:t>Values alignment.</w:t>
            </w:r>
          </w:p>
        </w:tc>
        <w:tc>
          <w:tcPr>
            <w:tcW w:type="dxa" w:w="5112"/>
            <w:vAlign w:val="top"/>
            <w:tcMar>
              <w:top w:w="60" w:type="dxa"/>
              <w:start w:w="70" w:type="dxa"/>
              <w:bottom w:w="60" w:type="dxa"/>
              <w:end w:w="70" w:type="dxa"/>
            </w:tcMar>
          </w:tcPr>
          <w:p>
            <w:pPr>
              <w:spacing w:after="0" w:line="240" w:lineRule="auto"/>
            </w:pPr>
            <w:r>
              <w:rPr>
                <w:rFonts w:ascii="Aptos" w:hAnsi="Aptos"/>
                <w:color w:val="1E252B"/>
                <w:sz w:val="13"/>
              </w:rPr>
              <w:t>Be Intellectually Honest / Own What You Do + evidence.</w:t>
            </w:r>
          </w:p>
        </w:tc>
      </w:tr>
      <w:tr>
        <w:trPr>
          <w:cantSplit/>
          <w:cantSplit/>
        </w:trPr>
        <w:tc>
          <w:tcPr>
            <w:tcW w:type="dxa" w:w="1008"/>
            <w:vAlign w:val="top"/>
            <w:tcMar>
              <w:top w:w="60" w:type="dxa"/>
              <w:start w:w="70" w:type="dxa"/>
              <w:bottom w:w="60" w:type="dxa"/>
              <w:end w:w="70" w:type="dxa"/>
            </w:tcMar>
            <w:shd w:fill="F3FAF6"/>
          </w:tcPr>
          <w:p>
            <w:pPr>
              <w:spacing w:after="0" w:line="240" w:lineRule="auto"/>
            </w:pPr>
            <w:r>
              <w:rPr>
                <w:rFonts w:ascii="Aptos" w:hAnsi="Aptos"/>
                <w:b/>
                <w:color w:val="001E2B"/>
                <w:sz w:val="13"/>
              </w:rPr>
              <w:t>56-60</w:t>
            </w:r>
          </w:p>
        </w:tc>
        <w:tc>
          <w:tcPr>
            <w:tcW w:type="dxa" w:w="4536"/>
            <w:vAlign w:val="top"/>
            <w:tcMar>
              <w:top w:w="60" w:type="dxa"/>
              <w:start w:w="70" w:type="dxa"/>
              <w:bottom w:w="60" w:type="dxa"/>
              <w:end w:w="70" w:type="dxa"/>
            </w:tcMar>
          </w:tcPr>
          <w:p>
            <w:pPr>
              <w:spacing w:after="0" w:line="240" w:lineRule="auto"/>
            </w:pPr>
            <w:r>
              <w:rPr>
                <w:rFonts w:ascii="Aptos" w:hAnsi="Aptos"/>
                <w:color w:val="1E252B"/>
                <w:sz w:val="13"/>
              </w:rPr>
              <w:t>Your questions.</w:t>
            </w:r>
          </w:p>
        </w:tc>
        <w:tc>
          <w:tcPr>
            <w:tcW w:type="dxa" w:w="5112"/>
            <w:vAlign w:val="top"/>
            <w:tcMar>
              <w:top w:w="60" w:type="dxa"/>
              <w:start w:w="70" w:type="dxa"/>
              <w:bottom w:w="60" w:type="dxa"/>
              <w:end w:w="70" w:type="dxa"/>
            </w:tcMar>
          </w:tcPr>
          <w:p>
            <w:pPr>
              <w:spacing w:after="0" w:line="240" w:lineRule="auto"/>
            </w:pPr>
            <w:r>
              <w:rPr>
                <w:rFonts w:ascii="Aptos" w:hAnsi="Aptos"/>
                <w:color w:val="1E252B"/>
                <w:sz w:val="13"/>
              </w:rPr>
              <w:t>Ask success, work mix, collaboration, learning/utilization.</w:t>
            </w:r>
          </w:p>
        </w:tc>
      </w:tr>
    </w:tbl>
    <w:p>
      <w:pPr>
        <w:spacing w:after="10"/>
      </w:pPr>
    </w:p>
    <w:p>
      <w:pPr>
        <w:pStyle w:val="Heading1"/>
      </w:pPr>
      <w:r>
        <w:t>34. Highest-Return Revision Plan Before 14:00</w:t>
      </w:r>
    </w:p>
    <w:tbl>
      <w:tblPr>
        <w:tblW w:type="auto" w:w="0"/>
        <w:jc w:val="center"/>
        <w:tblLayout w:type="fixed"/>
        <w:tblLook w:firstColumn="1" w:firstRow="1" w:lastColumn="0" w:lastRow="0" w:noHBand="0" w:noVBand="1" w:val="04A0"/>
      </w:tblPr>
      <w:tblGrid>
        <w:gridCol w:w="3552"/>
        <w:gridCol w:w="3552"/>
        <w:gridCol w:w="3552"/>
      </w:tblGrid>
      <w:tr>
        <w:trPr>
          <w:cantSplit/>
          <w:tblHeader w:val="true"/>
          <w:cantSplit/>
        </w:trPr>
        <w:tc>
          <w:tcPr>
            <w:tcW w:type="dxa" w:w="1224"/>
            <w:vAlign w:val="top"/>
            <w:tcMar>
              <w:top w:w="60" w:type="dxa"/>
              <w:start w:w="70" w:type="dxa"/>
              <w:bottom w:w="60" w:type="dxa"/>
              <w:end w:w="70" w:type="dxa"/>
            </w:tcMar>
            <w:shd w:fill="00A35C"/>
          </w:tcPr>
          <w:p>
            <w:pPr>
              <w:spacing w:after="0" w:line="240" w:lineRule="auto"/>
            </w:pPr>
            <w:r>
              <w:rPr>
                <w:rFonts w:ascii="Aptos" w:hAnsi="Aptos"/>
                <w:b/>
                <w:color w:val="FFFFFF"/>
                <w:sz w:val="14"/>
              </w:rPr>
              <w:t>Block</w:t>
            </w:r>
          </w:p>
        </w:tc>
        <w:tc>
          <w:tcPr>
            <w:tcW w:type="dxa" w:w="2016"/>
            <w:vAlign w:val="top"/>
            <w:tcMar>
              <w:top w:w="60" w:type="dxa"/>
              <w:start w:w="70" w:type="dxa"/>
              <w:bottom w:w="60" w:type="dxa"/>
              <w:end w:w="70" w:type="dxa"/>
            </w:tcMar>
            <w:shd w:fill="00A35C"/>
          </w:tcPr>
          <w:p>
            <w:pPr>
              <w:spacing w:after="0" w:line="240" w:lineRule="auto"/>
            </w:pPr>
            <w:r>
              <w:rPr>
                <w:rFonts w:ascii="Aptos" w:hAnsi="Aptos"/>
                <w:b/>
                <w:color w:val="FFFFFF"/>
                <w:sz w:val="14"/>
              </w:rPr>
              <w:t>Focus</w:t>
            </w:r>
          </w:p>
        </w:tc>
        <w:tc>
          <w:tcPr>
            <w:tcW w:type="dxa" w:w="7416"/>
            <w:vAlign w:val="top"/>
            <w:tcMar>
              <w:top w:w="60" w:type="dxa"/>
              <w:start w:w="70" w:type="dxa"/>
              <w:bottom w:w="60" w:type="dxa"/>
              <w:end w:w="70" w:type="dxa"/>
            </w:tcMar>
            <w:shd w:fill="00A35C"/>
          </w:tcPr>
          <w:p>
            <w:pPr>
              <w:spacing w:after="0" w:line="240" w:lineRule="auto"/>
            </w:pPr>
            <w:r>
              <w:rPr>
                <w:rFonts w:ascii="Aptos" w:hAnsi="Aptos"/>
                <w:b/>
                <w:color w:val="FFFFFF"/>
                <w:sz w:val="14"/>
              </w:rPr>
              <w:t>What to do</w:t>
            </w:r>
          </w:p>
        </w:tc>
      </w:tr>
      <w:tr>
        <w:trPr>
          <w:cantSplit/>
          <w:cantSplit/>
        </w:trPr>
        <w:tc>
          <w:tcPr>
            <w:tcW w:type="dxa" w:w="1224"/>
            <w:vAlign w:val="top"/>
            <w:tcMar>
              <w:top w:w="60" w:type="dxa"/>
              <w:start w:w="70" w:type="dxa"/>
              <w:bottom w:w="60" w:type="dxa"/>
              <w:end w:w="70" w:type="dxa"/>
            </w:tcMar>
            <w:shd w:fill="F3FAF6"/>
          </w:tcPr>
          <w:p>
            <w:pPr>
              <w:spacing w:after="0" w:line="240" w:lineRule="auto"/>
            </w:pPr>
            <w:r>
              <w:rPr>
                <w:rFonts w:ascii="Aptos" w:hAnsi="Aptos"/>
                <w:b/>
                <w:color w:val="001E2B"/>
                <w:sz w:val="14"/>
              </w:rPr>
              <w:t>45 min</w:t>
            </w:r>
          </w:p>
        </w:tc>
        <w:tc>
          <w:tcPr>
            <w:tcW w:type="dxa" w:w="2016"/>
            <w:vAlign w:val="top"/>
            <w:tcMar>
              <w:top w:w="60" w:type="dxa"/>
              <w:start w:w="70" w:type="dxa"/>
              <w:bottom w:w="60" w:type="dxa"/>
              <w:end w:w="70" w:type="dxa"/>
            </w:tcMar>
          </w:tcPr>
          <w:p>
            <w:pPr>
              <w:spacing w:after="0" w:line="240" w:lineRule="auto"/>
            </w:pPr>
            <w:r>
              <w:rPr>
                <w:rFonts w:ascii="Aptos" w:hAnsi="Aptos"/>
                <w:color w:val="1E252B"/>
                <w:sz w:val="14"/>
              </w:rPr>
              <w:t>Hiring-manager answers</w:t>
            </w:r>
          </w:p>
        </w:tc>
        <w:tc>
          <w:tcPr>
            <w:tcW w:type="dxa" w:w="7416"/>
            <w:vAlign w:val="top"/>
            <w:tcMar>
              <w:top w:w="60" w:type="dxa"/>
              <w:start w:w="70" w:type="dxa"/>
              <w:bottom w:w="60" w:type="dxa"/>
              <w:end w:w="70" w:type="dxa"/>
            </w:tcMar>
          </w:tcPr>
          <w:p>
            <w:pPr>
              <w:spacing w:after="0" w:line="240" w:lineRule="auto"/>
            </w:pPr>
            <w:r>
              <w:rPr>
                <w:rFonts w:ascii="Aptos" w:hAnsi="Aptos"/>
                <w:color w:val="1E252B"/>
                <w:sz w:val="14"/>
              </w:rPr>
              <w:t>Speak aloud: intro, why MongoDB, why CE, why now, what you want from manager, MongoDB-depth answer.</w:t>
            </w:r>
          </w:p>
        </w:tc>
      </w:tr>
      <w:tr>
        <w:trPr>
          <w:cantSplit/>
          <w:cantSplit/>
        </w:trPr>
        <w:tc>
          <w:tcPr>
            <w:tcW w:type="dxa" w:w="1224"/>
            <w:vAlign w:val="top"/>
            <w:tcMar>
              <w:top w:w="60" w:type="dxa"/>
              <w:start w:w="70" w:type="dxa"/>
              <w:bottom w:w="60" w:type="dxa"/>
              <w:end w:w="70" w:type="dxa"/>
            </w:tcMar>
            <w:shd w:fill="F3FAF6"/>
          </w:tcPr>
          <w:p>
            <w:pPr>
              <w:spacing w:after="0" w:line="240" w:lineRule="auto"/>
            </w:pPr>
            <w:r>
              <w:rPr>
                <w:rFonts w:ascii="Aptos" w:hAnsi="Aptos"/>
                <w:b/>
                <w:color w:val="001E2B"/>
                <w:sz w:val="14"/>
              </w:rPr>
              <w:t>45 min</w:t>
            </w:r>
          </w:p>
        </w:tc>
        <w:tc>
          <w:tcPr>
            <w:tcW w:type="dxa" w:w="2016"/>
            <w:vAlign w:val="top"/>
            <w:tcMar>
              <w:top w:w="60" w:type="dxa"/>
              <w:start w:w="70" w:type="dxa"/>
              <w:bottom w:w="60" w:type="dxa"/>
              <w:end w:w="70" w:type="dxa"/>
            </w:tcMar>
          </w:tcPr>
          <w:p>
            <w:pPr>
              <w:spacing w:after="0" w:line="240" w:lineRule="auto"/>
            </w:pPr>
            <w:r>
              <w:rPr>
                <w:rFonts w:ascii="Aptos" w:hAnsi="Aptos"/>
                <w:color w:val="1E252B"/>
                <w:sz w:val="14"/>
              </w:rPr>
              <w:t>MongoDB fundamentals</w:t>
            </w:r>
          </w:p>
        </w:tc>
        <w:tc>
          <w:tcPr>
            <w:tcW w:type="dxa" w:w="7416"/>
            <w:vAlign w:val="top"/>
            <w:tcMar>
              <w:top w:w="60" w:type="dxa"/>
              <w:start w:w="70" w:type="dxa"/>
              <w:bottom w:w="60" w:type="dxa"/>
              <w:end w:w="70" w:type="dxa"/>
            </w:tcMar>
          </w:tcPr>
          <w:p>
            <w:pPr>
              <w:spacing w:after="0" w:line="240" w:lineRule="auto"/>
            </w:pPr>
            <w:r>
              <w:rPr>
                <w:rFonts w:ascii="Aptos" w:hAnsi="Aptos"/>
                <w:color w:val="1E252B"/>
                <w:sz w:val="14"/>
              </w:rPr>
              <w:t>Schema/access patterns, embed/reference, indexing/ESR/explain, replica sets/read-write semantics, sharding.</w:t>
            </w:r>
          </w:p>
        </w:tc>
      </w:tr>
      <w:tr>
        <w:trPr>
          <w:cantSplit/>
          <w:cantSplit/>
        </w:trPr>
        <w:tc>
          <w:tcPr>
            <w:tcW w:type="dxa" w:w="1224"/>
            <w:vAlign w:val="top"/>
            <w:tcMar>
              <w:top w:w="60" w:type="dxa"/>
              <w:start w:w="70" w:type="dxa"/>
              <w:bottom w:w="60" w:type="dxa"/>
              <w:end w:w="70" w:type="dxa"/>
            </w:tcMar>
            <w:shd w:fill="F3FAF6"/>
          </w:tcPr>
          <w:p>
            <w:pPr>
              <w:spacing w:after="0" w:line="240" w:lineRule="auto"/>
            </w:pPr>
            <w:r>
              <w:rPr>
                <w:rFonts w:ascii="Aptos" w:hAnsi="Aptos"/>
                <w:b/>
                <w:color w:val="001E2B"/>
                <w:sz w:val="14"/>
              </w:rPr>
              <w:t>30 min</w:t>
            </w:r>
          </w:p>
        </w:tc>
        <w:tc>
          <w:tcPr>
            <w:tcW w:type="dxa" w:w="2016"/>
            <w:vAlign w:val="top"/>
            <w:tcMar>
              <w:top w:w="60" w:type="dxa"/>
              <w:start w:w="70" w:type="dxa"/>
              <w:bottom w:w="60" w:type="dxa"/>
              <w:end w:w="70" w:type="dxa"/>
            </w:tcMar>
          </w:tcPr>
          <w:p>
            <w:pPr>
              <w:spacing w:after="0" w:line="240" w:lineRule="auto"/>
            </w:pPr>
            <w:r>
              <w:rPr>
                <w:rFonts w:ascii="Aptos" w:hAnsi="Aptos"/>
                <w:color w:val="1E252B"/>
                <w:sz w:val="14"/>
              </w:rPr>
              <w:t>Story bank</w:t>
            </w:r>
          </w:p>
        </w:tc>
        <w:tc>
          <w:tcPr>
            <w:tcW w:type="dxa" w:w="7416"/>
            <w:vAlign w:val="top"/>
            <w:tcMar>
              <w:top w:w="60" w:type="dxa"/>
              <w:start w:w="70" w:type="dxa"/>
              <w:bottom w:w="60" w:type="dxa"/>
              <w:end w:w="70" w:type="dxa"/>
            </w:tcMar>
          </w:tcPr>
          <w:p>
            <w:pPr>
              <w:spacing w:after="0" w:line="240" w:lineRule="auto"/>
            </w:pPr>
            <w:r>
              <w:rPr>
                <w:rFonts w:ascii="Aptos" w:hAnsi="Aptos"/>
                <w:color w:val="1E252B"/>
                <w:sz w:val="14"/>
              </w:rPr>
              <w:t>GoldenSource consulting, illio ownership, one production incident, one disagreement, one mentoring example.</w:t>
            </w:r>
          </w:p>
        </w:tc>
      </w:tr>
      <w:tr>
        <w:trPr>
          <w:cantSplit/>
          <w:cantSplit/>
        </w:trPr>
        <w:tc>
          <w:tcPr>
            <w:tcW w:type="dxa" w:w="1224"/>
            <w:vAlign w:val="top"/>
            <w:tcMar>
              <w:top w:w="60" w:type="dxa"/>
              <w:start w:w="70" w:type="dxa"/>
              <w:bottom w:w="60" w:type="dxa"/>
              <w:end w:w="70" w:type="dxa"/>
            </w:tcMar>
            <w:shd w:fill="F3FAF6"/>
          </w:tcPr>
          <w:p>
            <w:pPr>
              <w:spacing w:after="0" w:line="240" w:lineRule="auto"/>
            </w:pPr>
            <w:r>
              <w:rPr>
                <w:rFonts w:ascii="Aptos" w:hAnsi="Aptos"/>
                <w:b/>
                <w:color w:val="001E2B"/>
                <w:sz w:val="14"/>
              </w:rPr>
              <w:t>20 min</w:t>
            </w:r>
          </w:p>
        </w:tc>
        <w:tc>
          <w:tcPr>
            <w:tcW w:type="dxa" w:w="2016"/>
            <w:vAlign w:val="top"/>
            <w:tcMar>
              <w:top w:w="60" w:type="dxa"/>
              <w:start w:w="70" w:type="dxa"/>
              <w:bottom w:w="60" w:type="dxa"/>
              <w:end w:w="70" w:type="dxa"/>
            </w:tcMar>
          </w:tcPr>
          <w:p>
            <w:pPr>
              <w:spacing w:after="0" w:line="240" w:lineRule="auto"/>
            </w:pPr>
            <w:r>
              <w:rPr>
                <w:rFonts w:ascii="Aptos" w:hAnsi="Aptos"/>
                <w:color w:val="1E252B"/>
                <w:sz w:val="14"/>
              </w:rPr>
              <w:t>Values</w:t>
            </w:r>
          </w:p>
        </w:tc>
        <w:tc>
          <w:tcPr>
            <w:tcW w:type="dxa" w:w="7416"/>
            <w:vAlign w:val="top"/>
            <w:tcMar>
              <w:top w:w="60" w:type="dxa"/>
              <w:start w:w="70" w:type="dxa"/>
              <w:bottom w:w="60" w:type="dxa"/>
              <w:end w:w="70" w:type="dxa"/>
            </w:tcMar>
          </w:tcPr>
          <w:p>
            <w:pPr>
              <w:spacing w:after="0" w:line="240" w:lineRule="auto"/>
            </w:pPr>
            <w:r>
              <w:rPr>
                <w:rFonts w:ascii="Aptos" w:hAnsi="Aptos"/>
                <w:color w:val="1E252B"/>
                <w:sz w:val="14"/>
              </w:rPr>
              <w:t>Map one concrete behaviour to each of the six values; especially Intellectual Honesty + Ownership.</w:t>
            </w:r>
          </w:p>
        </w:tc>
      </w:tr>
      <w:tr>
        <w:trPr>
          <w:cantSplit/>
          <w:cantSplit/>
        </w:trPr>
        <w:tc>
          <w:tcPr>
            <w:tcW w:type="dxa" w:w="1224"/>
            <w:vAlign w:val="top"/>
            <w:tcMar>
              <w:top w:w="60" w:type="dxa"/>
              <w:start w:w="70" w:type="dxa"/>
              <w:bottom w:w="60" w:type="dxa"/>
              <w:end w:w="70" w:type="dxa"/>
            </w:tcMar>
            <w:shd w:fill="F3FAF6"/>
          </w:tcPr>
          <w:p>
            <w:pPr>
              <w:spacing w:after="0" w:line="240" w:lineRule="auto"/>
            </w:pPr>
            <w:r>
              <w:rPr>
                <w:rFonts w:ascii="Aptos" w:hAnsi="Aptos"/>
                <w:b/>
                <w:color w:val="001E2B"/>
                <w:sz w:val="14"/>
              </w:rPr>
              <w:t>20 min</w:t>
            </w:r>
          </w:p>
        </w:tc>
        <w:tc>
          <w:tcPr>
            <w:tcW w:type="dxa" w:w="2016"/>
            <w:vAlign w:val="top"/>
            <w:tcMar>
              <w:top w:w="60" w:type="dxa"/>
              <w:start w:w="70" w:type="dxa"/>
              <w:bottom w:w="60" w:type="dxa"/>
              <w:end w:w="70" w:type="dxa"/>
            </w:tcMar>
          </w:tcPr>
          <w:p>
            <w:pPr>
              <w:spacing w:after="0" w:line="240" w:lineRule="auto"/>
            </w:pPr>
            <w:r>
              <w:rPr>
                <w:rFonts w:ascii="Aptos" w:hAnsi="Aptos"/>
                <w:color w:val="1E252B"/>
                <w:sz w:val="14"/>
              </w:rPr>
              <w:t>Consulting scenarios</w:t>
            </w:r>
          </w:p>
        </w:tc>
        <w:tc>
          <w:tcPr>
            <w:tcW w:type="dxa" w:w="7416"/>
            <w:vAlign w:val="top"/>
            <w:tcMar>
              <w:top w:w="60" w:type="dxa"/>
              <w:start w:w="70" w:type="dxa"/>
              <w:bottom w:w="60" w:type="dxa"/>
              <w:end w:w="70" w:type="dxa"/>
            </w:tcMar>
          </w:tcPr>
          <w:p>
            <w:pPr>
              <w:spacing w:after="0" w:line="240" w:lineRule="auto"/>
            </w:pPr>
            <w:r>
              <w:rPr>
                <w:rFonts w:ascii="Aptos" w:hAnsi="Aptos"/>
                <w:color w:val="1E252B"/>
                <w:sz w:val="14"/>
              </w:rPr>
              <w:t>Difficult customer, unknown answer, scope overrun, performance problem.</w:t>
            </w:r>
          </w:p>
        </w:tc>
      </w:tr>
      <w:tr>
        <w:trPr>
          <w:cantSplit/>
          <w:cantSplit/>
        </w:trPr>
        <w:tc>
          <w:tcPr>
            <w:tcW w:type="dxa" w:w="1224"/>
            <w:vAlign w:val="top"/>
            <w:tcMar>
              <w:top w:w="60" w:type="dxa"/>
              <w:start w:w="70" w:type="dxa"/>
              <w:bottom w:w="60" w:type="dxa"/>
              <w:end w:w="70" w:type="dxa"/>
            </w:tcMar>
            <w:shd w:fill="F3FAF6"/>
          </w:tcPr>
          <w:p>
            <w:pPr>
              <w:spacing w:after="0" w:line="240" w:lineRule="auto"/>
            </w:pPr>
            <w:r>
              <w:rPr>
                <w:rFonts w:ascii="Aptos" w:hAnsi="Aptos"/>
                <w:b/>
                <w:color w:val="001E2B"/>
                <w:sz w:val="14"/>
              </w:rPr>
              <w:t>15 min</w:t>
            </w:r>
          </w:p>
        </w:tc>
        <w:tc>
          <w:tcPr>
            <w:tcW w:type="dxa" w:w="2016"/>
            <w:vAlign w:val="top"/>
            <w:tcMar>
              <w:top w:w="60" w:type="dxa"/>
              <w:start w:w="70" w:type="dxa"/>
              <w:bottom w:w="60" w:type="dxa"/>
              <w:end w:w="70" w:type="dxa"/>
            </w:tcMar>
          </w:tcPr>
          <w:p>
            <w:pPr>
              <w:spacing w:after="0" w:line="240" w:lineRule="auto"/>
            </w:pPr>
            <w:r>
              <w:rPr>
                <w:rFonts w:ascii="Aptos" w:hAnsi="Aptos"/>
                <w:color w:val="1E252B"/>
                <w:sz w:val="14"/>
              </w:rPr>
              <w:t>Questions for Jay</w:t>
            </w:r>
          </w:p>
        </w:tc>
        <w:tc>
          <w:tcPr>
            <w:tcW w:type="dxa" w:w="7416"/>
            <w:vAlign w:val="top"/>
            <w:tcMar>
              <w:top w:w="60" w:type="dxa"/>
              <w:start w:w="70" w:type="dxa"/>
              <w:bottom w:w="60" w:type="dxa"/>
              <w:end w:w="70" w:type="dxa"/>
            </w:tcMar>
          </w:tcPr>
          <w:p>
            <w:pPr>
              <w:spacing w:after="0" w:line="240" w:lineRule="auto"/>
            </w:pPr>
            <w:r>
              <w:rPr>
                <w:rFonts w:ascii="Aptos" w:hAnsi="Aptos"/>
                <w:color w:val="1E252B"/>
                <w:sz w:val="14"/>
              </w:rPr>
              <w:t>Choose your best five.</w:t>
            </w:r>
          </w:p>
        </w:tc>
      </w:tr>
      <w:tr>
        <w:trPr>
          <w:cantSplit/>
          <w:cantSplit/>
        </w:trPr>
        <w:tc>
          <w:tcPr>
            <w:tcW w:type="dxa" w:w="1224"/>
            <w:vAlign w:val="top"/>
            <w:tcMar>
              <w:top w:w="60" w:type="dxa"/>
              <w:start w:w="70" w:type="dxa"/>
              <w:bottom w:w="60" w:type="dxa"/>
              <w:end w:w="70" w:type="dxa"/>
            </w:tcMar>
            <w:shd w:fill="F3FAF6"/>
          </w:tcPr>
          <w:p>
            <w:pPr>
              <w:spacing w:after="0" w:line="240" w:lineRule="auto"/>
            </w:pPr>
            <w:r>
              <w:rPr>
                <w:rFonts w:ascii="Aptos" w:hAnsi="Aptos"/>
                <w:b/>
                <w:color w:val="001E2B"/>
                <w:sz w:val="14"/>
              </w:rPr>
              <w:t>10 min</w:t>
            </w:r>
          </w:p>
        </w:tc>
        <w:tc>
          <w:tcPr>
            <w:tcW w:type="dxa" w:w="2016"/>
            <w:vAlign w:val="top"/>
            <w:tcMar>
              <w:top w:w="60" w:type="dxa"/>
              <w:start w:w="70" w:type="dxa"/>
              <w:bottom w:w="60" w:type="dxa"/>
              <w:end w:w="70" w:type="dxa"/>
            </w:tcMar>
          </w:tcPr>
          <w:p>
            <w:pPr>
              <w:spacing w:after="0" w:line="240" w:lineRule="auto"/>
            </w:pPr>
            <w:r>
              <w:rPr>
                <w:rFonts w:ascii="Aptos" w:hAnsi="Aptos"/>
                <w:color w:val="1E252B"/>
                <w:sz w:val="14"/>
              </w:rPr>
              <w:t>Logistics</w:t>
            </w:r>
          </w:p>
        </w:tc>
        <w:tc>
          <w:tcPr>
            <w:tcW w:type="dxa" w:w="7416"/>
            <w:vAlign w:val="top"/>
            <w:tcMar>
              <w:top w:w="60" w:type="dxa"/>
              <w:start w:w="70" w:type="dxa"/>
              <w:bottom w:w="60" w:type="dxa"/>
              <w:end w:w="70" w:type="dxa"/>
            </w:tcMar>
          </w:tcPr>
          <w:p>
            <w:pPr>
              <w:spacing w:after="0" w:line="240" w:lineRule="auto"/>
            </w:pPr>
            <w:r>
              <w:rPr>
                <w:rFonts w:ascii="Aptos" w:hAnsi="Aptos"/>
                <w:color w:val="1E252B"/>
                <w:sz w:val="14"/>
              </w:rPr>
              <w:t>Zoom, audio/camera, quiet room, CV + one-page cheat sheet visible.</w:t>
            </w:r>
          </w:p>
        </w:tc>
      </w:tr>
    </w:tbl>
    <w:p>
      <w:pPr>
        <w:spacing w:after="10"/>
      </w:pP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FFF4E5"/>
            <w:tcMar>
              <w:top w:w="60" w:type="dxa"/>
              <w:start w:w="70" w:type="dxa"/>
              <w:bottom w:w="60" w:type="dxa"/>
              <w:end w:w="70" w:type="dxa"/>
            </w:tcMar>
          </w:tcPr>
          <w:p>
            <w:pPr>
              <w:spacing w:after="0" w:line="240" w:lineRule="auto"/>
            </w:pPr>
            <w:r>
              <w:rPr>
                <w:b/>
                <w:color w:val="8A5A00"/>
                <w:sz w:val="16"/>
              </w:rPr>
              <w:t>DO NOT CRAM OBSCURE COMMANDS</w:t>
            </w:r>
          </w:p>
          <w:p>
            <w:pPr>
              <w:spacing w:after="0" w:line="240" w:lineRule="auto"/>
            </w:pPr>
            <w:r>
              <w:rPr>
                <w:color w:val="1E252B"/>
                <w:sz w:val="16"/>
              </w:rPr>
              <w:t>For this stage, being calm, reflective and credible about customer situations is higher value than memorising every MongoDB server parameter. Know the core architecture well enough to have a technical conversation, then focus on how you think and communicate.</w:t>
            </w:r>
          </w:p>
        </w:tc>
      </w:tr>
    </w:tbl>
    <w:p>
      <w:pPr>
        <w:spacing w:after="10"/>
      </w:pPr>
    </w:p>
    <w:p>
      <w:pPr>
        <w:pStyle w:val="Heading1"/>
      </w:pPr>
      <w:r>
        <w:t>35. Final Flash Cards</w:t>
      </w:r>
    </w:p>
    <w:tbl>
      <w:tblPr>
        <w:tblW w:type="auto" w:w="0"/>
        <w:jc w:val="center"/>
        <w:tblLayout w:type="fixed"/>
        <w:tblLook w:firstColumn="1" w:firstRow="1" w:lastColumn="0" w:lastRow="0" w:noHBand="0" w:noVBand="1" w:val="04A0"/>
      </w:tblPr>
      <w:tblGrid>
        <w:gridCol w:w="5328"/>
        <w:gridCol w:w="5328"/>
      </w:tblGrid>
      <w:tr>
        <w:trPr>
          <w:cantSplit/>
          <w:tblHeader w:val="true"/>
          <w:cantSplit/>
        </w:trPr>
        <w:tc>
          <w:tcPr>
            <w:tcW w:type="dxa" w:w="2232"/>
            <w:vAlign w:val="top"/>
            <w:tcMar>
              <w:top w:w="60" w:type="dxa"/>
              <w:start w:w="70" w:type="dxa"/>
              <w:bottom w:w="60" w:type="dxa"/>
              <w:end w:w="70" w:type="dxa"/>
            </w:tcMar>
            <w:shd w:fill="00A35C"/>
          </w:tcPr>
          <w:p>
            <w:pPr>
              <w:spacing w:after="0" w:line="240" w:lineRule="auto"/>
            </w:pPr>
            <w:r>
              <w:rPr>
                <w:rFonts w:ascii="Aptos" w:hAnsi="Aptos"/>
                <w:b/>
                <w:color w:val="FFFFFF"/>
                <w:sz w:val="14"/>
              </w:rPr>
              <w:t>Prompt</w:t>
            </w:r>
          </w:p>
        </w:tc>
        <w:tc>
          <w:tcPr>
            <w:tcW w:type="dxa" w:w="8424"/>
            <w:vAlign w:val="top"/>
            <w:tcMar>
              <w:top w:w="60" w:type="dxa"/>
              <w:start w:w="70" w:type="dxa"/>
              <w:bottom w:w="60" w:type="dxa"/>
              <w:end w:w="70" w:type="dxa"/>
            </w:tcMar>
            <w:shd w:fill="00A35C"/>
          </w:tcPr>
          <w:p>
            <w:pPr>
              <w:spacing w:after="0" w:line="240" w:lineRule="auto"/>
            </w:pPr>
            <w:r>
              <w:rPr>
                <w:rFonts w:ascii="Aptos" w:hAnsi="Aptos"/>
                <w:b/>
                <w:color w:val="FFFFFF"/>
                <w:sz w:val="14"/>
              </w:rPr>
              <w:t>Answer</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Schema design starts with</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Access patterns / workload, relationships, growth and atomicity requirements.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Embed when</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Data belongs together, is read together, bounded and benefits from single-document atomicity.</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Reference when</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Independent lifecycle, many-to-many/large hierarchy, frequent shared updates, harmful duplication/unbounded growth.</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Document max size</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16 MiB.</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Index first principle</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Design from actual query shape and verify with explain.</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ESR</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Equality -&gt; Sort -&gt; Range as a useful compound-index guideline; not a law.</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Replica set</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Primary + secondaries + elections for HA.</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Read preference</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Where reads go.</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Read concern</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Consistency/isolation of what is read.</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Write concern</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How much acknowledgment/durability a write requires.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Sharding</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Horizontal partitioning by shard key.</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Bad shard key</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Low cardinality/skew/hotspot or poor alignment with query routing.</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mongos</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Query router.</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Change streams</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Subscribe to real-time database changes.</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Transactions</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Multi-document ACID supported; use when invariant spans documents; schema can reduce need.</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Consulting first step</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Clarify outcome and measurable symptom before prescribing technology.</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Unknown answer</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Say what is known, identify uncertainty, validate, return with evidence.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Trusted advisor</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Evidence + clear recommendation + accountability, not just product knowledge.</w:t>
            </w:r>
          </w:p>
        </w:tc>
      </w:tr>
      <w:tr>
        <w:trPr>
          <w:cantSplit/>
          <w:cantSplit/>
        </w:trPr>
        <w:tc>
          <w:tcPr>
            <w:tcW w:type="dxa" w:w="2232"/>
            <w:vAlign w:val="top"/>
            <w:tcMar>
              <w:top w:w="60" w:type="dxa"/>
              <w:start w:w="70" w:type="dxa"/>
              <w:bottom w:w="60" w:type="dxa"/>
              <w:end w:w="70" w:type="dxa"/>
            </w:tcMar>
            <w:shd w:fill="F3FAF6"/>
          </w:tcPr>
          <w:p>
            <w:pPr>
              <w:spacing w:after="0" w:line="240" w:lineRule="auto"/>
            </w:pPr>
            <w:r>
              <w:rPr>
                <w:rFonts w:ascii="Aptos" w:hAnsi="Aptos"/>
                <w:b/>
                <w:color w:val="001E2B"/>
                <w:sz w:val="14"/>
              </w:rPr>
              <w:t>Best value for you</w:t>
            </w:r>
          </w:p>
        </w:tc>
        <w:tc>
          <w:tcPr>
            <w:tcW w:type="dxa" w:w="8424"/>
            <w:vAlign w:val="top"/>
            <w:tcMar>
              <w:top w:w="60" w:type="dxa"/>
              <w:start w:w="70" w:type="dxa"/>
              <w:bottom w:w="60" w:type="dxa"/>
              <w:end w:w="70" w:type="dxa"/>
            </w:tcMar>
          </w:tcPr>
          <w:p>
            <w:pPr>
              <w:spacing w:after="0" w:line="240" w:lineRule="auto"/>
            </w:pPr>
            <w:r>
              <w:rPr>
                <w:rFonts w:ascii="Aptos" w:hAnsi="Aptos"/>
                <w:color w:val="1E252B"/>
                <w:sz w:val="14"/>
              </w:rPr>
              <w:t>Be Intellectually Honest + Own What You Do.</w:t>
            </w:r>
          </w:p>
        </w:tc>
      </w:tr>
    </w:tbl>
    <w:p>
      <w:pPr>
        <w:spacing w:after="10"/>
      </w:pPr>
    </w:p>
    <w:p>
      <w:pPr>
        <w:pStyle w:val="Heading1"/>
      </w:pPr>
      <w:r>
        <w:t>36. What Not to Overclaim</w:t>
      </w:r>
    </w:p>
    <w:p>
      <w:pPr>
        <w:spacing w:after="28"/>
        <w:ind w:left="259" w:hanging="144"/>
      </w:pPr>
      <w:r>
        <w:rPr>
          <w:b/>
          <w:color w:val="00A35C"/>
        </w:rPr>
        <w:t xml:space="preserve">• </w:t>
      </w:r>
      <w:r>
        <w:t>Do not claim you are already a MongoDB cluster administrator or field expert. Your current CV supports production MongoDB exposure, not years of specialist administration.</w:t>
      </w:r>
    </w:p>
    <w:p>
      <w:pPr>
        <w:spacing w:after="28"/>
        <w:ind w:left="259" w:hanging="144"/>
      </w:pPr>
      <w:r>
        <w:rPr>
          <w:b/>
          <w:color w:val="00A35C"/>
        </w:rPr>
        <w:t xml:space="preserve">• </w:t>
      </w:r>
      <w:r>
        <w:t>Do not say “NoSQL has no schema”. Say flexible schema with deliberate validation and application/data contracts.</w:t>
      </w:r>
    </w:p>
    <w:p>
      <w:pPr>
        <w:spacing w:after="28"/>
        <w:ind w:left="259" w:hanging="144"/>
      </w:pPr>
      <w:r>
        <w:rPr>
          <w:b/>
          <w:color w:val="00A35C"/>
        </w:rPr>
        <w:t xml:space="preserve">• </w:t>
      </w:r>
      <w:r>
        <w:t>Do not say MongoDB is categorically better/faster than relational databases. Choose from workload and constraints.</w:t>
      </w:r>
    </w:p>
    <w:p>
      <w:pPr>
        <w:spacing w:after="28"/>
        <w:ind w:left="259" w:hanging="144"/>
      </w:pPr>
      <w:r>
        <w:rPr>
          <w:b/>
          <w:color w:val="00A35C"/>
        </w:rPr>
        <w:t xml:space="preserve">• </w:t>
      </w:r>
      <w:r>
        <w:t>Do not claim every production incident/result in this pack as a literal historical event. Use only real incidents you can defend.</w:t>
      </w:r>
    </w:p>
    <w:p>
      <w:pPr>
        <w:spacing w:after="28"/>
        <w:ind w:left="259" w:hanging="144"/>
      </w:pPr>
      <w:r>
        <w:rPr>
          <w:b/>
          <w:color w:val="00A35C"/>
        </w:rPr>
        <w:t xml:space="preserve">• </w:t>
      </w:r>
      <w:r>
        <w:t>Do not make your financial-markets domain the centre of every answer. It is evidence of demanding environments; MongoDB serves all verticals.</w:t>
      </w:r>
    </w:p>
    <w:p>
      <w:pPr>
        <w:spacing w:after="28"/>
        <w:ind w:left="259" w:hanging="144"/>
      </w:pPr>
      <w:r>
        <w:rPr>
          <w:b/>
          <w:color w:val="00A35C"/>
        </w:rPr>
        <w:t xml:space="preserve">• </w:t>
      </w:r>
      <w:r>
        <w:t>Do not frame customer disagreement as “convincing them I was right”. Frame it as criteria, evidence, recommendation and shared outcome.</w:t>
      </w:r>
    </w:p>
    <w:p>
      <w:pPr>
        <w:spacing w:after="28"/>
        <w:ind w:left="259" w:hanging="144"/>
      </w:pPr>
      <w:r>
        <w:rPr>
          <w:b/>
          <w:color w:val="00A35C"/>
        </w:rPr>
        <w:t xml:space="preserve">• </w:t>
      </w:r>
      <w:r>
        <w:t>Do not make leadership sound like you want to stop coding. The CE role expects technical depth and direct customer work.</w:t>
      </w:r>
    </w:p>
    <w:p>
      <w:pPr>
        <w:spacing w:after="28"/>
        <w:ind w:left="259" w:hanging="144"/>
      </w:pPr>
      <w:r>
        <w:rPr>
          <w:b/>
          <w:color w:val="00A35C"/>
        </w:rPr>
        <w:t xml:space="preserve">• </w:t>
      </w:r>
      <w:r>
        <w:t>Do not treat Atlas as “just hosted MongoDB”. Be aware of the operational/security/search/vector ecosystem, but avoid pretending expertise in features you have not used.</w:t>
      </w:r>
    </w:p>
    <w:p>
      <w:pPr>
        <w:pStyle w:val="Heading1"/>
      </w:pPr>
      <w:r>
        <w:t>37. Closing Statement</w:t>
      </w:r>
    </w:p>
    <w:tbl>
      <w:tblPr>
        <w:tblW w:type="auto" w:w="0"/>
        <w:jc w:val="center"/>
        <w:tblLayout w:type="fixed"/>
        <w:tblLook w:firstColumn="1" w:firstRow="1" w:lastColumn="0" w:lastRow="0" w:noHBand="0" w:noVBand="1" w:val="04A0"/>
      </w:tblPr>
      <w:tblGrid>
        <w:gridCol w:w="10656"/>
      </w:tblGrid>
      <w:tr>
        <w:trPr>
          <w:cantSplit/>
          <w:cantSplit/>
        </w:trPr>
        <w:tc>
          <w:tcPr>
            <w:tcW w:type="dxa" w:w="10656"/>
            <w:shd w:fill="E7F7EF"/>
            <w:tcMar>
              <w:top w:w="60" w:type="dxa"/>
              <w:start w:w="70" w:type="dxa"/>
              <w:bottom w:w="60" w:type="dxa"/>
              <w:end w:w="70" w:type="dxa"/>
            </w:tcMar>
          </w:tcPr>
          <w:p>
            <w:pPr>
              <w:spacing w:after="0" w:line="240" w:lineRule="auto"/>
            </w:pPr>
            <w:r>
              <w:rPr>
                <w:b/>
                <w:color w:val="001E2B"/>
                <w:sz w:val="16"/>
              </w:rPr>
              <w:t>CLOSE</w:t>
            </w:r>
          </w:p>
          <w:p>
            <w:pPr>
              <w:spacing w:after="0" w:line="240" w:lineRule="auto"/>
            </w:pPr>
            <w:r>
              <w:rPr>
                <w:color w:val="1E252B"/>
                <w:sz w:val="16"/>
              </w:rPr>
              <w:t>“The discussion has reinforced why the role interests me. It combines the parts of my background I most enjoy: hands-on software and database engineering, architecture, production problem solving and working directly with people to get to the right outcome. I think I bring a lot of transferable depth from complex production environments and Professional Services, while also being very motivated by the opportunity to become genuinely deep in MongoDB. I’d be excited to take that next step with the team.”</w:t>
            </w:r>
          </w:p>
        </w:tc>
      </w:tr>
    </w:tbl>
    <w:p>
      <w:pPr>
        <w:spacing w:after="10"/>
      </w:pPr>
    </w:p>
    <w:p>
      <w:pPr>
        <w:pStyle w:val="Heading1"/>
      </w:pPr>
      <w:r>
        <w:t>38. Final 15-Minute Pre-Interview Checklist</w:t>
      </w:r>
    </w:p>
    <w:p>
      <w:pPr>
        <w:spacing w:after="28"/>
        <w:ind w:left="259" w:hanging="144"/>
      </w:pPr>
      <w:r>
        <w:rPr>
          <w:b/>
          <w:color w:val="00A35C"/>
        </w:rPr>
        <w:t xml:space="preserve">• </w:t>
      </w:r>
      <w:r>
        <w:t>Rehearse the 90-second introduction once — naturally, not word-for-word.</w:t>
      </w:r>
    </w:p>
    <w:p>
      <w:pPr>
        <w:spacing w:after="28"/>
        <w:ind w:left="259" w:hanging="144"/>
      </w:pPr>
      <w:r>
        <w:rPr>
          <w:b/>
          <w:color w:val="00A35C"/>
        </w:rPr>
        <w:t xml:space="preserve">• </w:t>
      </w:r>
      <w:r>
        <w:t>Say out loud: Why MongoDB? Why Consulting Engineering? Why now?</w:t>
      </w:r>
    </w:p>
    <w:p>
      <w:pPr>
        <w:spacing w:after="28"/>
        <w:ind w:left="259" w:hanging="144"/>
      </w:pPr>
      <w:r>
        <w:rPr>
          <w:b/>
          <w:color w:val="00A35C"/>
        </w:rPr>
        <w:t xml:space="preserve">• </w:t>
      </w:r>
      <w:r>
        <w:t>Have GoldenSource Professional Services story ready in 90 seconds.</w:t>
      </w:r>
    </w:p>
    <w:p>
      <w:pPr>
        <w:spacing w:after="28"/>
        <w:ind w:left="259" w:hanging="144"/>
      </w:pPr>
      <w:r>
        <w:rPr>
          <w:b/>
          <w:color w:val="00A35C"/>
        </w:rPr>
        <w:t xml:space="preserve">• </w:t>
      </w:r>
      <w:r>
        <w:t>Have one real production incident ready: impact -&gt; evidence -&gt; fix -&gt; prevention.</w:t>
      </w:r>
    </w:p>
    <w:p>
      <w:pPr>
        <w:spacing w:after="28"/>
        <w:ind w:left="259" w:hanging="144"/>
      </w:pPr>
      <w:r>
        <w:rPr>
          <w:b/>
          <w:color w:val="00A35C"/>
        </w:rPr>
        <w:t xml:space="preserve">• </w:t>
      </w:r>
      <w:r>
        <w:t>Have one real disagreement/collaboration story ready.</w:t>
      </w:r>
    </w:p>
    <w:p>
      <w:pPr>
        <w:spacing w:after="28"/>
        <w:ind w:left="259" w:hanging="144"/>
      </w:pPr>
      <w:r>
        <w:rPr>
          <w:b/>
          <w:color w:val="00A35C"/>
        </w:rPr>
        <w:t xml:space="preserve">• </w:t>
      </w:r>
      <w:r>
        <w:t>Revise embed vs reference, index/ESR/explain, replica set, read/write concern, sharding.</w:t>
      </w:r>
    </w:p>
    <w:p>
      <w:pPr>
        <w:spacing w:after="28"/>
        <w:ind w:left="259" w:hanging="144"/>
      </w:pPr>
      <w:r>
        <w:rPr>
          <w:b/>
          <w:color w:val="00A35C"/>
        </w:rPr>
        <w:t xml:space="preserve">• </w:t>
      </w:r>
      <w:r>
        <w:t>Keep the one-page cheat sheet and your CV visible; close the rest of the document.</w:t>
      </w:r>
    </w:p>
    <w:p>
      <w:pPr>
        <w:spacing w:after="28"/>
        <w:ind w:left="259" w:hanging="144"/>
      </w:pPr>
      <w:r>
        <w:rPr>
          <w:b/>
          <w:color w:val="00A35C"/>
        </w:rPr>
        <w:t xml:space="preserve">• </w:t>
      </w:r>
      <w:r>
        <w:t>Choose 4 questions for Jay and one closing question.</w:t>
      </w:r>
    </w:p>
    <w:p>
      <w:pPr>
        <w:spacing w:after="28"/>
        <w:ind w:left="259" w:hanging="144"/>
      </w:pPr>
      <w:r>
        <w:rPr>
          <w:b/>
          <w:color w:val="00A35C"/>
        </w:rPr>
        <w:t xml:space="preserve">• </w:t>
      </w:r>
      <w:r>
        <w:t>Join Zoom 10 minutes early and test audio/camera.</w:t>
      </w:r>
    </w:p>
    <w:p>
      <w:pPr>
        <w:spacing w:after="28"/>
        <w:ind w:left="259" w:hanging="144"/>
      </w:pPr>
      <w:r>
        <w:rPr>
          <w:b/>
          <w:color w:val="00A35C"/>
        </w:rPr>
        <w:t xml:space="preserve">• </w:t>
      </w:r>
      <w:r>
        <w:t>Speak a little slower than usual. Senior consulting credibility comes from clarity, not speed.</w:t>
      </w:r>
    </w:p>
    <w:p>
      <w:pPr>
        <w:pStyle w:val="Heading1"/>
      </w:pPr>
      <w:r>
        <w:t>Sources / Basis</w:t>
      </w:r>
    </w:p>
    <w:p>
      <w:pPr>
        <w:pStyle w:val="SmallNote"/>
      </w:pPr>
      <w:r>
        <w:t>Primary user-supplied material:</w:t>
      </w:r>
    </w:p>
    <w:p>
      <w:pPr>
        <w:spacing w:after="28"/>
        <w:ind w:left="259" w:hanging="144"/>
      </w:pPr>
      <w:r>
        <w:rPr>
          <w:b/>
          <w:color w:val="00A35C"/>
        </w:rPr>
        <w:t xml:space="preserve">• </w:t>
      </w:r>
      <w:r>
        <w:t>MongoDB interview invitation and candidate portal text supplied in the conversation: Hiring Manager focus on consulting around software/databases, technical curiosity, motivation/values alignment, collaboration and ownership.</w:t>
      </w:r>
    </w:p>
    <w:p>
      <w:pPr>
        <w:spacing w:after="28"/>
        <w:ind w:left="259" w:hanging="144"/>
      </w:pPr>
      <w:r>
        <w:rPr>
          <w:b/>
          <w:color w:val="00A35C"/>
        </w:rPr>
        <w:t xml:space="preserve">• </w:t>
      </w:r>
      <w:r>
        <w:t>Latest CV supplied by Abrar Sharif Mudhir (1 September 2026).</w:t>
      </w:r>
    </w:p>
    <w:p>
      <w:pPr>
        <w:spacing w:after="28"/>
        <w:ind w:left="259" w:hanging="144"/>
      </w:pPr>
      <w:r>
        <w:rPr>
          <w:b/>
          <w:color w:val="00A35C"/>
        </w:rPr>
        <w:t xml:space="preserve">• </w:t>
      </w:r>
      <w:r>
        <w:t>Standard Life Cloud Data Engineer Interview Preparation Pack supplied as the structural/style template.</w:t>
      </w:r>
    </w:p>
    <w:p>
      <w:pPr>
        <w:pStyle w:val="SmallNote"/>
      </w:pPr>
      <w:r>
        <w:t>Official MongoDB sources used for current role/interview/product context:</w:t>
      </w:r>
    </w:p>
    <w:p>
      <w:pPr>
        <w:spacing w:after="28"/>
        <w:ind w:left="259" w:hanging="144"/>
      </w:pPr>
      <w:r>
        <w:rPr>
          <w:b/>
          <w:color w:val="00A35C"/>
        </w:rPr>
        <w:t xml:space="preserve">• </w:t>
      </w:r>
      <w:r>
        <w:t>Senior Consulting Engineer - Great Britain / London: https://www.mongodb.com/careers/jobs/8127859</w:t>
      </w:r>
    </w:p>
    <w:p>
      <w:pPr>
        <w:spacing w:after="28"/>
        <w:ind w:left="259" w:hanging="144"/>
      </w:pPr>
      <w:r>
        <w:rPr>
          <w:b/>
          <w:color w:val="00A35C"/>
        </w:rPr>
        <w:t xml:space="preserve">• </w:t>
      </w:r>
      <w:r>
        <w:t>Preparing for Your Consulting Engineer Interview at MongoDB: https://www.mongodb.com/company/blog/culture/recruiting-tips/preparing-your-consulting-engineer-interview-mongodb</w:t>
      </w:r>
    </w:p>
    <w:p>
      <w:pPr>
        <w:spacing w:after="28"/>
        <w:ind w:left="259" w:hanging="144"/>
      </w:pPr>
      <w:r>
        <w:rPr>
          <w:b/>
          <w:color w:val="00A35C"/>
        </w:rPr>
        <w:t xml:space="preserve">• </w:t>
      </w:r>
      <w:r>
        <w:t>MongoDB Consulting / Professional Services: https://www.mongodb.com/services/consulting</w:t>
      </w:r>
    </w:p>
    <w:p>
      <w:pPr>
        <w:spacing w:after="28"/>
        <w:ind w:left="259" w:hanging="144"/>
      </w:pPr>
      <w:r>
        <w:rPr>
          <w:b/>
          <w:color w:val="00A35C"/>
        </w:rPr>
        <w:t xml:space="preserve">• </w:t>
      </w:r>
      <w:r>
        <w:t>MongoDB Careers / values: https://www.mongodb.com/company/careers and https://www.mongodb.com/company/values</w:t>
      </w:r>
    </w:p>
    <w:p>
      <w:pPr>
        <w:spacing w:after="28"/>
        <w:ind w:left="259" w:hanging="144"/>
      </w:pPr>
      <w:r>
        <w:rPr>
          <w:b/>
          <w:color w:val="00A35C"/>
        </w:rPr>
        <w:t xml:space="preserve">• </w:t>
      </w:r>
      <w:r>
        <w:t>MongoDB schema design: https://www.mongodb.com/docs/manual/data-modeling/schema-design-process/</w:t>
      </w:r>
    </w:p>
    <w:p>
      <w:pPr>
        <w:spacing w:after="28"/>
        <w:ind w:left="259" w:hanging="144"/>
      </w:pPr>
      <w:r>
        <w:rPr>
          <w:b/>
          <w:color w:val="00A35C"/>
        </w:rPr>
        <w:t xml:space="preserve">• </w:t>
      </w:r>
      <w:r>
        <w:t>Embedding / referencing: https://www.mongodb.com/docs/manual/data-modeling/embedding/ and https://www.mongodb.com/docs/manual/data-modeling/referencing/</w:t>
      </w:r>
    </w:p>
    <w:p>
      <w:pPr>
        <w:spacing w:after="28"/>
        <w:ind w:left="259" w:hanging="144"/>
      </w:pPr>
      <w:r>
        <w:rPr>
          <w:b/>
          <w:color w:val="00A35C"/>
        </w:rPr>
        <w:t xml:space="preserve">• </w:t>
      </w:r>
      <w:r>
        <w:t>Index ESR guideline: https://www.mongodb.com/docs/manual/tutorial/equality-sort-range-guideline/</w:t>
      </w:r>
    </w:p>
    <w:p>
      <w:pPr>
        <w:spacing w:after="28"/>
        <w:ind w:left="259" w:hanging="144"/>
      </w:pPr>
      <w:r>
        <w:rPr>
          <w:b/>
          <w:color w:val="00A35C"/>
        </w:rPr>
        <w:t xml:space="preserve">• </w:t>
      </w:r>
      <w:r>
        <w:t>Replica-set read/write semantics: https://www.mongodb.com/docs/manual/applications/replication/</w:t>
      </w:r>
    </w:p>
    <w:p>
      <w:pPr>
        <w:spacing w:after="28"/>
        <w:ind w:left="259" w:hanging="144"/>
      </w:pPr>
      <w:r>
        <w:rPr>
          <w:b/>
          <w:color w:val="00A35C"/>
        </w:rPr>
        <w:t xml:space="preserve">• </w:t>
      </w:r>
      <w:r>
        <w:t>Read concern / write concern: https://www.mongodb.com/docs/manual/reference/read-concern/ and https://www.mongodb.com/docs/manual/reference/write-concern/</w:t>
      </w:r>
    </w:p>
    <w:p>
      <w:pPr>
        <w:spacing w:after="28"/>
        <w:ind w:left="259" w:hanging="144"/>
      </w:pPr>
      <w:r>
        <w:rPr>
          <w:b/>
          <w:color w:val="00A35C"/>
        </w:rPr>
        <w:t xml:space="preserve">• </w:t>
      </w:r>
      <w:r>
        <w:t>Sharding: https://www.mongodb.com/docs/manual/sharding/</w:t>
      </w:r>
    </w:p>
    <w:p>
      <w:pPr>
        <w:spacing w:after="28"/>
        <w:ind w:left="259" w:hanging="144"/>
      </w:pPr>
      <w:r>
        <w:rPr>
          <w:b/>
          <w:color w:val="00A35C"/>
        </w:rPr>
        <w:t xml:space="preserve">• </w:t>
      </w:r>
      <w:r>
        <w:t>Transactions: https://www.mongodb.com/docs/manual/core/transactions/</w:t>
      </w:r>
    </w:p>
    <w:p>
      <w:pPr>
        <w:spacing w:after="28"/>
        <w:ind w:left="259" w:hanging="144"/>
      </w:pPr>
      <w:r>
        <w:rPr>
          <w:b/>
          <w:color w:val="00A35C"/>
        </w:rPr>
        <w:t xml:space="preserve">• </w:t>
      </w:r>
      <w:r>
        <w:t>Change streams: https://www.mongodb.com/docs/manual/changeStreams/</w:t>
      </w:r>
    </w:p>
    <w:p>
      <w:pPr>
        <w:spacing w:after="28"/>
        <w:ind w:left="259" w:hanging="144"/>
      </w:pPr>
      <w:r>
        <w:rPr>
          <w:b/>
          <w:color w:val="00A35C"/>
        </w:rPr>
        <w:t xml:space="preserve">• </w:t>
      </w:r>
      <w:r>
        <w:t>MongoDB Search / Vector Search: https://www.mongodb.com/docs/v8.0/text-search/</w:t>
      </w:r>
    </w:p>
    <w:p>
      <w:pPr>
        <w:spacing w:after="28"/>
        <w:ind w:left="259" w:hanging="144"/>
      </w:pPr>
      <w:r>
        <w:rPr>
          <w:b/>
          <w:color w:val="00A35C"/>
        </w:rPr>
        <w:t xml:space="preserve">• </w:t>
      </w:r>
      <w:r>
        <w:t>Jay Lad public professional profile: https://uk.linkedin.com/in/jaylad</w:t>
      </w:r>
    </w:p>
    <w:p>
      <w:pPr>
        <w:pStyle w:val="SmallNote"/>
      </w:pPr>
      <w:r>
        <w:t>Important: public-source observations about what Jay personally may emphasise are clearly treated as inference. The exact interview questions are not public. MongoDB-specific technical content in this pack is preparation material, not a claim that you have personally implemented every feature listed.</w:t>
      </w:r>
    </w:p>
    <w:sectPr w:rsidR="00FC693F" w:rsidRPr="0006063C" w:rsidSect="00034616">
      <w:headerReference w:type="default" r:id="rId9"/>
      <w:footerReference w:type="default" r:id="rId10"/>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3"/>
      </w:rPr>
      <w:t xml:space="preserve">Abrar Sharif Mudhir   |   MongoDB Senior Consulting Engineer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A35C"/>
        <w:sz w:val="14"/>
      </w:rPr>
      <w:t>MONGODB  |  SENIOR CONSULTING ENGINEER INTERVIEW PREP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5" w:lineRule="auto"/>
    </w:pPr>
    <w:rPr>
      <w:rFonts w:ascii="Aptos" w:hAnsi="Aptos"/>
      <w:color w:val="1E252B"/>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001E2B"/>
      <w:sz w:val="30"/>
      <w:szCs w:val="28"/>
    </w:rPr>
  </w:style>
  <w:style w:type="paragraph" w:styleId="Heading2">
    <w:name w:val="heading 2"/>
    <w:basedOn w:val="Normal"/>
    <w:next w:val="Normal"/>
    <w:link w:val="Heading2Char"/>
    <w:uiPriority w:val="9"/>
    <w:unhideWhenUsed/>
    <w:qFormat/>
    <w:rsid w:val="00FC693F"/>
    <w:pPr>
      <w:keepNext/>
      <w:keepLines/>
      <w:spacing w:before="120" w:after="50"/>
      <w:outlineLvl w:val="1"/>
    </w:pPr>
    <w:rPr>
      <w:rFonts w:asciiTheme="majorHAnsi" w:eastAsiaTheme="majorEastAsia" w:hAnsiTheme="majorHAnsi" w:cstheme="majorBidi" w:ascii="Aptos Display" w:hAnsi="Aptos Display"/>
      <w:b/>
      <w:bCs/>
      <w:color w:val="00A35C"/>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F562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1E2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A35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30"/>
    </w:pPr>
    <w:rPr>
      <w:rFonts w:ascii="Aptos" w:hAnsi="Aptos"/>
      <w:color w:val="5A646E"/>
      <w:sz w:val="15"/>
    </w:rPr>
  </w:style>
  <w:style w:type="paragraph" w:customStyle="1" w:styleId="CodeBlock">
    <w:name w:val="Code Block"/>
    <w:pPr>
      <w:spacing w:after="20" w:line="240" w:lineRule="auto" w:before="20"/>
      <w:ind w:left="173" w:right="115"/>
    </w:pPr>
    <w:rPr>
      <w:rFonts w:ascii="Consolas" w:hAnsi="Consolas"/>
      <w:color w:val="1E252B"/>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k.linkedin.com/in/michael-deane-jackson-b2767b10a" TargetMode="External"/><Relationship Id="rId12" Type="http://schemas.openxmlformats.org/officeDocument/2006/relationships/hyperlink" Target="https://bionic.co.uk/careers/" TargetMode="External"/><Relationship Id="rId13" Type="http://schemas.openxmlformats.org/officeDocument/2006/relationships/hyperlink" Target="https://bionic.co.uk/" TargetMode="External"/><Relationship Id="rId14" Type="http://schemas.openxmlformats.org/officeDocument/2006/relationships/hyperlink" Target="https://bionic.co.uk/about-bionic/" TargetMode="External"/><Relationship Id="rId15" Type="http://schemas.openxmlformats.org/officeDocument/2006/relationships/hyperlink" Target="https://startup.jobs/data-engineer-bionic-services-ltd-49878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MongoDB Senior Consulting Engineer Interview Preparation Pack</dc:title>
  <dc:subject>Hiring Manager Interview - Jay Lad - 2 September 2026</dc:subject>
  <dc:creator>Abrar Sharif Mudhir</dc:creator>
  <cp:keywords/>
  <dc:description>Prepared for interview revision using user-supplied CV/template and official MongoDB public sources.</dc:description>
  <cp:lastModifiedBy/>
  <cp:revision>1</cp:revision>
  <dcterms:created xsi:type="dcterms:W3CDTF">2013-12-23T23:15:00Z</dcterms:created>
  <dcterms:modified xsi:type="dcterms:W3CDTF">2013-12-23T23:15:00Z</dcterms:modified>
  <cp:category/>
</cp:coreProperties>
</file>