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5" w:lineRule="auto"/>
        <w:jc w:val="center"/>
      </w:pPr>
      <w:r>
        <w:rPr>
          <w:b/>
          <w:color w:val="18365D"/>
          <w:sz w:val="48"/>
        </w:rPr>
        <w:t>BLACKROCK / PREQIN</w:t>
      </w:r>
    </w:p>
    <w:p>
      <w:pPr>
        <w:spacing w:after="80" w:line="245" w:lineRule="auto"/>
        <w:jc w:val="center"/>
      </w:pPr>
      <w:r>
        <w:rPr>
          <w:b/>
          <w:color w:val="1B75BC"/>
          <w:sz w:val="40"/>
        </w:rPr>
        <w:t>Data Engineer, Vice President</w:t>
      </w:r>
    </w:p>
    <w:p>
      <w:pPr>
        <w:spacing w:after="80" w:line="245" w:lineRule="auto"/>
        <w:jc w:val="center"/>
      </w:pPr>
      <w:r>
        <w:rPr>
          <w:b/>
          <w:sz w:val="32"/>
        </w:rPr>
        <w:t>Interview Preparation Pack</w:t>
      </w:r>
    </w:p>
    <w:p>
      <w:pPr>
        <w:spacing w:after="80" w:line="245" w:lineRule="auto"/>
        <w:jc w:val="center"/>
      </w:pPr>
      <w:r>
        <w:rPr>
          <w:sz w:val="26"/>
        </w:rPr>
        <w:t>Abrar Sharif Mudhir</w:t>
      </w:r>
    </w:p>
    <w:tbl>
      <w:tblPr>
        <w:tblStyle w:val="TableGrid"/>
        <w:tblW w:type="auto" w:w="0"/>
        <w:jc w:val="center"/>
        <w:tblLook w:firstColumn="1" w:firstRow="1" w:lastColumn="0" w:lastRow="0" w:noHBand="0" w:noVBand="1" w:val="04A0"/>
      </w:tblPr>
      <w:tblGrid>
        <w:gridCol w:w="5227"/>
        <w:gridCol w:w="5227"/>
      </w:tblGrid>
      <w:tr>
        <w:trPr>
          <w:cantSplit/>
        </w:trPr>
        <w:tc>
          <w:tcPr>
            <w:tcW w:type="dxa" w:w="2232"/>
            <w:shd w:fill="1B75BC"/>
            <w:vAlign w:val="center"/>
            <w:tcMar>
              <w:top w:w="90" w:type="dxa"/>
              <w:start w:w="110" w:type="dxa"/>
              <w:bottom w:w="90" w:type="dxa"/>
              <w:end w:w="110" w:type="dxa"/>
            </w:tcMar>
          </w:tcPr>
          <w:p>
            <w:r>
              <w:rPr>
                <w:b/>
                <w:color w:val="FFFFFF"/>
              </w:rPr>
              <w:t>Interview detail</w:t>
            </w:r>
          </w:p>
        </w:tc>
        <w:tc>
          <w:tcPr>
            <w:tcW w:type="dxa" w:w="8496"/>
            <w:shd w:fill="1B75BC"/>
            <w:vAlign w:val="center"/>
            <w:tcMar>
              <w:top w:w="90" w:type="dxa"/>
              <w:start w:w="110" w:type="dxa"/>
              <w:bottom w:w="90" w:type="dxa"/>
              <w:end w:w="110" w:type="dxa"/>
            </w:tcMar>
          </w:tcPr>
          <w:p>
            <w:r>
              <w:rPr>
                <w:b/>
                <w:color w:val="FFFFFF"/>
              </w:rPr>
            </w:r>
          </w:p>
        </w:tc>
      </w:tr>
      <w:tr>
        <w:trPr>
          <w:cantSplit/>
        </w:trPr>
        <w:tc>
          <w:tcPr>
            <w:tcW w:type="dxa" w:w="2232"/>
            <w:tcMar>
              <w:top w:w="90" w:type="dxa"/>
              <w:start w:w="110" w:type="dxa"/>
              <w:bottom w:w="90" w:type="dxa"/>
              <w:end w:w="110" w:type="dxa"/>
            </w:tcMar>
            <w:vAlign w:val="top"/>
          </w:tcPr>
          <w:p>
            <w:r>
              <w:t>Interview</w:t>
            </w:r>
          </w:p>
        </w:tc>
        <w:tc>
          <w:tcPr>
            <w:tcW w:type="dxa" w:w="8496"/>
            <w:tcMar>
              <w:top w:w="90" w:type="dxa"/>
              <w:start w:w="110" w:type="dxa"/>
              <w:bottom w:w="90" w:type="dxa"/>
              <w:end w:w="110" w:type="dxa"/>
            </w:tcMar>
            <w:vAlign w:val="top"/>
          </w:tcPr>
          <w:p>
            <w:r>
              <w:t>Tuesday 15 September 2026, 10:00-10:45 (Europe/London)</w:t>
            </w:r>
          </w:p>
        </w:tc>
      </w:tr>
      <w:tr>
        <w:trPr>
          <w:cantSplit/>
        </w:trPr>
        <w:tc>
          <w:tcPr>
            <w:tcW w:type="dxa" w:w="2232"/>
            <w:tcMar>
              <w:top w:w="90" w:type="dxa"/>
              <w:start w:w="110" w:type="dxa"/>
              <w:bottom w:w="90" w:type="dxa"/>
              <w:end w:w="110" w:type="dxa"/>
            </w:tcMar>
            <w:vAlign w:val="top"/>
          </w:tcPr>
          <w:p>
            <w:r>
              <w:t>Panel</w:t>
            </w:r>
          </w:p>
        </w:tc>
        <w:tc>
          <w:tcPr>
            <w:tcW w:type="dxa" w:w="8496"/>
            <w:tcMar>
              <w:top w:w="90" w:type="dxa"/>
              <w:start w:w="110" w:type="dxa"/>
              <w:bottom w:w="90" w:type="dxa"/>
              <w:end w:w="110" w:type="dxa"/>
            </w:tcMar>
            <w:vAlign w:val="top"/>
          </w:tcPr>
          <w:p>
            <w:r>
              <w:t>Andrew Loh - Vice President, Analytics Data Scientist / Senior Data Scientist I; James Madge - Vice President, Modelling Data Scientist / Data Science Team Manager</w:t>
            </w:r>
          </w:p>
        </w:tc>
      </w:tr>
      <w:tr>
        <w:trPr>
          <w:cantSplit/>
        </w:trPr>
        <w:tc>
          <w:tcPr>
            <w:tcW w:type="dxa" w:w="2232"/>
            <w:tcMar>
              <w:top w:w="90" w:type="dxa"/>
              <w:start w:w="110" w:type="dxa"/>
              <w:bottom w:w="90" w:type="dxa"/>
              <w:end w:w="110" w:type="dxa"/>
            </w:tcMar>
            <w:vAlign w:val="top"/>
          </w:tcPr>
          <w:p>
            <w:r>
              <w:t>Format</w:t>
            </w:r>
          </w:p>
        </w:tc>
        <w:tc>
          <w:tcPr>
            <w:tcW w:type="dxa" w:w="8496"/>
            <w:tcMar>
              <w:top w:w="90" w:type="dxa"/>
              <w:start w:w="110" w:type="dxa"/>
              <w:bottom w:w="90" w:type="dxa"/>
              <w:end w:w="110" w:type="dxa"/>
            </w:tcMar>
            <w:vAlign w:val="top"/>
          </w:tcPr>
          <w:p>
            <w:r>
              <w:t>Zoom video, 45 minutes</w:t>
            </w:r>
          </w:p>
        </w:tc>
      </w:tr>
      <w:tr>
        <w:trPr>
          <w:cantSplit/>
        </w:trPr>
        <w:tc>
          <w:tcPr>
            <w:tcW w:type="dxa" w:w="2232"/>
            <w:tcMar>
              <w:top w:w="90" w:type="dxa"/>
              <w:start w:w="110" w:type="dxa"/>
              <w:bottom w:w="90" w:type="dxa"/>
              <w:end w:w="110" w:type="dxa"/>
            </w:tcMar>
            <w:vAlign w:val="top"/>
          </w:tcPr>
          <w:p>
            <w:r>
              <w:t>Role</w:t>
            </w:r>
          </w:p>
        </w:tc>
        <w:tc>
          <w:tcPr>
            <w:tcW w:type="dxa" w:w="8496"/>
            <w:tcMar>
              <w:top w:w="90" w:type="dxa"/>
              <w:start w:w="110" w:type="dxa"/>
              <w:bottom w:w="90" w:type="dxa"/>
              <w:end w:w="110" w:type="dxa"/>
            </w:tcMar>
            <w:vAlign w:val="top"/>
          </w:tcPr>
          <w:p>
            <w:r>
              <w:t>R260560 - Data Engineer, Vice President; Preqin Company Intelligence, Private Markets Data Engineering</w:t>
            </w:r>
          </w:p>
        </w:tc>
      </w:tr>
      <w:tr>
        <w:trPr>
          <w:cantSplit/>
        </w:trPr>
        <w:tc>
          <w:tcPr>
            <w:tcW w:type="dxa" w:w="2232"/>
            <w:tcMar>
              <w:top w:w="90" w:type="dxa"/>
              <w:start w:w="110" w:type="dxa"/>
              <w:bottom w:w="90" w:type="dxa"/>
              <w:end w:w="110" w:type="dxa"/>
            </w:tcMar>
            <w:vAlign w:val="top"/>
          </w:tcPr>
          <w:p>
            <w:r>
              <w:t>Role focus</w:t>
            </w:r>
          </w:p>
        </w:tc>
        <w:tc>
          <w:tcPr>
            <w:tcW w:type="dxa" w:w="8496"/>
            <w:tcMar>
              <w:top w:w="90" w:type="dxa"/>
              <w:start w:w="110" w:type="dxa"/>
              <w:bottom w:w="90" w:type="dxa"/>
              <w:end w:w="110" w:type="dxa"/>
            </w:tcMar>
            <w:vAlign w:val="top"/>
          </w:tcPr>
          <w:p>
            <w:r>
              <w:t>Player-coach leadership; SQL and analytical modelling; dbt; Python; Airflow; AWS/Azure; Snowflake; data quality, governance, lineage, observability; private markets data</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shd w:fill="E2F0D9"/>
            <w:tcMar>
              <w:top w:w="120" w:type="dxa"/>
              <w:start w:w="140" w:type="dxa"/>
              <w:bottom w:w="120" w:type="dxa"/>
              <w:end w:w="140" w:type="dxa"/>
            </w:tcMar>
          </w:tcPr>
          <w:p>
            <w:r>
              <w:rPr>
                <w:b/>
                <w:color w:val="18365D"/>
              </w:rPr>
              <w:t>Core positioning</w:t>
              <w:br/>
            </w:r>
            <w:r>
              <w:t>A returning BlackRock engineer who combines hands-on enterprise data engineering, previous BlackRock VP leadership, private credit experience, cloud platform ownership, and strong investment-domain knowledge. The strongest story is not only that you can build pipelines; it is that you can set engineering direction, improve data trust, and coach a team while remaining technically credible.</w:t>
            </w:r>
          </w:p>
        </w:tc>
      </w:tr>
    </w:tbl>
    <w:p>
      <w:pPr>
        <w:pStyle w:val="SmallNote"/>
      </w:pPr>
      <w:r>
        <w:t>Prepared 14 September 2026 from the role description, interview invitation, your CV, the attached Standard Life preparation pack, and current official BlackRock / Preqin material. Public interviewer information is used only to suggest likely discussion angles.</w:t>
      </w:r>
    </w:p>
    <w:p>
      <w:pPr>
        <w:spacing w:after="80" w:line="245" w:lineRule="auto"/>
      </w:pPr>
      <w:r>
        <w:br w:type="page"/>
      </w:r>
    </w:p>
    <w:p>
      <w:pPr>
        <w:pStyle w:val="Heading1"/>
        <w:keepNext/>
      </w:pPr>
      <w:r>
        <w:t>1. Interview Cheat Sheet</w:t>
      </w:r>
    </w:p>
    <w:tbl>
      <w:tblPr>
        <w:tblW w:type="auto" w:w="0"/>
        <w:jc w:val="center"/>
        <w:tblLayout w:type="autofit"/>
        <w:tblLook w:firstColumn="1" w:firstRow="1" w:lastColumn="0" w:lastRow="0" w:noHBand="0" w:noVBand="1" w:val="04A0"/>
      </w:tblPr>
      <w:tblGrid>
        <w:gridCol w:w="10454"/>
      </w:tblGrid>
      <w:tr>
        <w:trPr>
          <w:cantSplit/>
        </w:trPr>
        <w:tc>
          <w:tcPr>
            <w:tcW w:type="dxa" w:w="10454"/>
            <w:shd w:fill="D9EAF7"/>
            <w:tcMar>
              <w:top w:w="120" w:type="dxa"/>
              <w:start w:w="140" w:type="dxa"/>
              <w:bottom w:w="120" w:type="dxa"/>
              <w:end w:w="140" w:type="dxa"/>
            </w:tcMar>
          </w:tcPr>
          <w:p>
            <w:r>
              <w:rPr>
                <w:b/>
                <w:color w:val="18365D"/>
              </w:rPr>
              <w:t>YOUR CORE PITCH</w:t>
              <w:br/>
            </w:r>
            <w:r>
              <w:t>Python + SQL + Data Modelling + Cloud + Snowflake + Leadership + Private Markets. You already know BlackRock engineering environments, but you return with broader experience across Brevan Howard, EDF Trading, Pemberton and illio. For this role, emphasize player-coach leadership, production data trust, reusable platform design, and private-market data rather than trading workflow depth.</w:t>
            </w:r>
          </w:p>
        </w:tc>
      </w:tr>
    </w:tbl>
    <w:tbl>
      <w:tblPr>
        <w:tblStyle w:val="TableGrid"/>
        <w:tblW w:type="auto" w:w="0"/>
        <w:jc w:val="center"/>
        <w:tblLook w:firstColumn="1" w:firstRow="1" w:lastColumn="0" w:lastRow="0" w:noHBand="0" w:noVBand="1" w:val="04A0"/>
      </w:tblPr>
      <w:tblGrid>
        <w:gridCol w:w="5227"/>
        <w:gridCol w:w="5227"/>
      </w:tblGrid>
      <w:tr>
        <w:trPr>
          <w:cantSplit/>
        </w:trPr>
        <w:tc>
          <w:tcPr>
            <w:tcW w:type="dxa" w:w="2304"/>
            <w:shd w:fill="18365D"/>
            <w:vAlign w:val="center"/>
            <w:tcMar>
              <w:top w:w="90" w:type="dxa"/>
              <w:start w:w="110" w:type="dxa"/>
              <w:bottom w:w="90" w:type="dxa"/>
              <w:end w:w="110" w:type="dxa"/>
            </w:tcMar>
          </w:tcPr>
          <w:p>
            <w:r>
              <w:rPr>
                <w:b/>
                <w:color w:val="FFFFFF"/>
              </w:rPr>
              <w:t>Topic</w:t>
            </w:r>
          </w:p>
        </w:tc>
        <w:tc>
          <w:tcPr>
            <w:tcW w:type="dxa" w:w="8496"/>
            <w:shd w:fill="18365D"/>
            <w:vAlign w:val="center"/>
            <w:tcMar>
              <w:top w:w="90" w:type="dxa"/>
              <w:start w:w="110" w:type="dxa"/>
              <w:bottom w:w="90" w:type="dxa"/>
              <w:end w:w="110" w:type="dxa"/>
            </w:tcMar>
          </w:tcPr>
          <w:p>
            <w:r>
              <w:rPr>
                <w:b/>
                <w:color w:val="FFFFFF"/>
              </w:rPr>
              <w:t>What to say</w:t>
            </w:r>
          </w:p>
        </w:tc>
      </w:tr>
      <w:tr>
        <w:trPr>
          <w:cantSplit/>
        </w:trPr>
        <w:tc>
          <w:tcPr>
            <w:tcW w:type="dxa" w:w="2304"/>
            <w:tcMar>
              <w:top w:w="90" w:type="dxa"/>
              <w:start w:w="110" w:type="dxa"/>
              <w:bottom w:w="90" w:type="dxa"/>
              <w:end w:w="110" w:type="dxa"/>
            </w:tcMar>
            <w:vAlign w:val="top"/>
          </w:tcPr>
          <w:p>
            <w:r>
              <w:t>BlackRock VP / leadership</w:t>
            </w:r>
          </w:p>
        </w:tc>
        <w:tc>
          <w:tcPr>
            <w:tcW w:type="dxa" w:w="8496"/>
            <w:tcMar>
              <w:top w:w="90" w:type="dxa"/>
              <w:start w:w="110" w:type="dxa"/>
              <w:bottom w:w="90" w:type="dxa"/>
              <w:end w:w="110" w:type="dxa"/>
            </w:tcMar>
            <w:vAlign w:val="top"/>
          </w:tcPr>
          <w:p>
            <w:r>
              <w:t>Previously led and mentored three Senior Quant Developers; set standards, coordinated delivery, remained hands-on. This directly maps to the player-coach requirement.</w:t>
            </w:r>
          </w:p>
        </w:tc>
      </w:tr>
      <w:tr>
        <w:trPr>
          <w:cantSplit/>
        </w:trPr>
        <w:tc>
          <w:tcPr>
            <w:tcW w:type="dxa" w:w="2304"/>
            <w:tcMar>
              <w:top w:w="90" w:type="dxa"/>
              <w:start w:w="110" w:type="dxa"/>
              <w:bottom w:w="90" w:type="dxa"/>
              <w:end w:w="110" w:type="dxa"/>
            </w:tcMar>
            <w:vAlign w:val="top"/>
          </w:tcPr>
          <w:p>
            <w:r>
              <w:t>BlackRock Core Data</w:t>
            </w:r>
          </w:p>
        </w:tc>
        <w:tc>
          <w:tcPr>
            <w:tcW w:type="dxa" w:w="8496"/>
            <w:tcMar>
              <w:top w:w="90" w:type="dxa"/>
              <w:start w:w="110" w:type="dxa"/>
              <w:bottom w:w="90" w:type="dxa"/>
              <w:end w:w="110" w:type="dxa"/>
            </w:tcMar>
            <w:vAlign w:val="top"/>
          </w:tcPr>
          <w:p>
            <w:r>
              <w:t>PySpark/Scala, Hadoop/HDFS, data lake, Python microservices, investment data products. Best proof that you understand enterprise data engineering inside BlackRock.</w:t>
            </w:r>
          </w:p>
        </w:tc>
      </w:tr>
      <w:tr>
        <w:trPr>
          <w:cantSplit/>
        </w:trPr>
        <w:tc>
          <w:tcPr>
            <w:tcW w:type="dxa" w:w="2304"/>
            <w:tcMar>
              <w:top w:w="90" w:type="dxa"/>
              <w:start w:w="110" w:type="dxa"/>
              <w:bottom w:w="90" w:type="dxa"/>
              <w:end w:w="110" w:type="dxa"/>
            </w:tcMar>
            <w:vAlign w:val="top"/>
          </w:tcPr>
          <w:p>
            <w:r>
              <w:t>Pemberton</w:t>
            </w:r>
          </w:p>
        </w:tc>
        <w:tc>
          <w:tcPr>
            <w:tcW w:type="dxa" w:w="8496"/>
            <w:tcMar>
              <w:top w:w="90" w:type="dxa"/>
              <w:start w:w="110" w:type="dxa"/>
              <w:bottom w:w="90" w:type="dxa"/>
              <w:end w:w="110" w:type="dxa"/>
            </w:tcMar>
            <w:vAlign w:val="top"/>
          </w:tcPr>
          <w:p>
            <w:r>
              <w:t>Private Credit and fund analytics. Replaced about 20 spreadsheet models with governed Python/FastAPI/SQL Server/Dash platform. Best private-markets and end-to-end ownership story.</w:t>
            </w:r>
          </w:p>
        </w:tc>
      </w:tr>
      <w:tr>
        <w:trPr>
          <w:cantSplit/>
        </w:trPr>
        <w:tc>
          <w:tcPr>
            <w:tcW w:type="dxa" w:w="2304"/>
            <w:tcMar>
              <w:top w:w="90" w:type="dxa"/>
              <w:start w:w="110" w:type="dxa"/>
              <w:bottom w:w="90" w:type="dxa"/>
              <w:end w:w="110" w:type="dxa"/>
            </w:tcMar>
            <w:vAlign w:val="top"/>
          </w:tcPr>
          <w:p>
            <w:r>
              <w:t>illio</w:t>
            </w:r>
          </w:p>
        </w:tc>
        <w:tc>
          <w:tcPr>
            <w:tcW w:type="dxa" w:w="8496"/>
            <w:tcMar>
              <w:top w:w="90" w:type="dxa"/>
              <w:start w:w="110" w:type="dxa"/>
              <w:bottom w:w="90" w:type="dxa"/>
              <w:end w:w="110" w:type="dxa"/>
            </w:tcMar>
            <w:vAlign w:val="top"/>
          </w:tcPr>
          <w:p>
            <w:r>
              <w:t>Designed AWS platform with S3, Glue, Airflow, Lambda/API Gateway, PostgreSQL/RDS, APIs, Docker/Kubernetes; built the data function and mentored team. Best cloud architecture story.</w:t>
            </w:r>
          </w:p>
        </w:tc>
      </w:tr>
      <w:tr>
        <w:trPr>
          <w:cantSplit/>
        </w:trPr>
        <w:tc>
          <w:tcPr>
            <w:tcW w:type="dxa" w:w="2304"/>
            <w:tcMar>
              <w:top w:w="90" w:type="dxa"/>
              <w:start w:w="110" w:type="dxa"/>
              <w:bottom w:w="90" w:type="dxa"/>
              <w:end w:w="110" w:type="dxa"/>
            </w:tcMar>
            <w:vAlign w:val="top"/>
          </w:tcPr>
          <w:p>
            <w:r>
              <w:t>Brevan Howard</w:t>
            </w:r>
          </w:p>
        </w:tc>
        <w:tc>
          <w:tcPr>
            <w:tcW w:type="dxa" w:w="8496"/>
            <w:tcMar>
              <w:top w:w="90" w:type="dxa"/>
              <w:start w:w="110" w:type="dxa"/>
              <w:bottom w:w="90" w:type="dxa"/>
              <w:end w:w="110" w:type="dxa"/>
            </w:tcMar>
            <w:vAlign w:val="top"/>
          </w:tcPr>
          <w:p>
            <w:r>
              <w:t>Recent production Python, SQL, Snowflake, AWS and front-office investment data. Best evidence that your technical skills remain current.</w:t>
            </w:r>
          </w:p>
        </w:tc>
      </w:tr>
      <w:tr>
        <w:trPr>
          <w:cantSplit/>
        </w:trPr>
        <w:tc>
          <w:tcPr>
            <w:tcW w:type="dxa" w:w="2304"/>
            <w:tcMar>
              <w:top w:w="90" w:type="dxa"/>
              <w:start w:w="110" w:type="dxa"/>
              <w:bottom w:w="90" w:type="dxa"/>
              <w:end w:w="110" w:type="dxa"/>
            </w:tcMar>
            <w:vAlign w:val="top"/>
          </w:tcPr>
          <w:p>
            <w:r>
              <w:t>Role keywords</w:t>
            </w:r>
          </w:p>
        </w:tc>
        <w:tc>
          <w:tcPr>
            <w:tcW w:type="dxa" w:w="8496"/>
            <w:tcMar>
              <w:top w:w="90" w:type="dxa"/>
              <w:start w:w="110" w:type="dxa"/>
              <w:bottom w:w="90" w:type="dxa"/>
              <w:end w:w="110" w:type="dxa"/>
            </w:tcMar>
            <w:vAlign w:val="top"/>
          </w:tcPr>
          <w:p>
            <w:r>
              <w:t>dbt, analytical data modelling, Airflow, Snowflake, Python, cloud, governance, lineage, observability, cost/performance, leadership.</w:t>
            </w:r>
          </w:p>
        </w:tc>
      </w:tr>
      <w:tr>
        <w:trPr>
          <w:cantSplit/>
        </w:trPr>
        <w:tc>
          <w:tcPr>
            <w:tcW w:type="dxa" w:w="2304"/>
            <w:tcMar>
              <w:top w:w="90" w:type="dxa"/>
              <w:start w:w="110" w:type="dxa"/>
              <w:bottom w:w="90" w:type="dxa"/>
              <w:end w:w="110" w:type="dxa"/>
            </w:tcMar>
            <w:vAlign w:val="top"/>
          </w:tcPr>
          <w:p>
            <w:r>
              <w:t>Main gap</w:t>
            </w:r>
          </w:p>
        </w:tc>
        <w:tc>
          <w:tcPr>
            <w:tcW w:type="dxa" w:w="8496"/>
            <w:tcMar>
              <w:top w:w="90" w:type="dxa"/>
              <w:start w:w="110" w:type="dxa"/>
              <w:bottom w:w="90" w:type="dxa"/>
              <w:end w:w="110" w:type="dxa"/>
            </w:tcMar>
            <w:vAlign w:val="top"/>
          </w:tcPr>
          <w:p>
            <w:r>
              <w:t>Your CV does not show deep production dbt ownership. Do not overclaim. Demonstrate strong understanding of dbt patterns and connect them to equivalent SQL/testing/CI/CD practices you have used.</w:t>
            </w:r>
          </w:p>
        </w:tc>
      </w:tr>
      <w:tr>
        <w:trPr>
          <w:cantSplit/>
        </w:trPr>
        <w:tc>
          <w:tcPr>
            <w:tcW w:type="dxa" w:w="2304"/>
            <w:tcMar>
              <w:top w:w="90" w:type="dxa"/>
              <w:start w:w="110" w:type="dxa"/>
              <w:bottom w:w="90" w:type="dxa"/>
              <w:end w:w="110" w:type="dxa"/>
            </w:tcMar>
            <w:vAlign w:val="top"/>
          </w:tcPr>
          <w:p>
            <w:r>
              <w:t>Private markets angle</w:t>
            </w:r>
          </w:p>
        </w:tc>
        <w:tc>
          <w:tcPr>
            <w:tcW w:type="dxa" w:w="8496"/>
            <w:tcMar>
              <w:top w:w="90" w:type="dxa"/>
              <w:start w:w="110" w:type="dxa"/>
              <w:bottom w:w="90" w:type="dxa"/>
              <w:end w:w="110" w:type="dxa"/>
            </w:tcMar>
            <w:vAlign w:val="top"/>
          </w:tcPr>
          <w:p>
            <w:r>
              <w:t>Company, deal, ownership, fund, manager and performance data. Stress provenance, point-in-time correctness, entity resolution, effective dating, auditability and data quality.</w:t>
            </w:r>
          </w:p>
        </w:tc>
      </w:tr>
      <w:tr>
        <w:trPr>
          <w:cantSplit/>
        </w:trPr>
        <w:tc>
          <w:tcPr>
            <w:tcW w:type="dxa" w:w="2304"/>
            <w:tcMar>
              <w:top w:w="90" w:type="dxa"/>
              <w:start w:w="110" w:type="dxa"/>
              <w:bottom w:w="90" w:type="dxa"/>
              <w:end w:w="110" w:type="dxa"/>
            </w:tcMar>
            <w:vAlign w:val="top"/>
          </w:tcPr>
          <w:p>
            <w:r>
              <w:t>Panel angle</w:t>
            </w:r>
          </w:p>
        </w:tc>
        <w:tc>
          <w:tcPr>
            <w:tcW w:type="dxa" w:w="8496"/>
            <w:tcMar>
              <w:top w:w="90" w:type="dxa"/>
              <w:start w:w="110" w:type="dxa"/>
              <w:bottom w:w="90" w:type="dxa"/>
              <w:end w:w="110" w:type="dxa"/>
            </w:tcMar>
            <w:vAlign w:val="top"/>
          </w:tcPr>
          <w:p>
            <w:r>
              <w:t>Both interviewers sit in data science / analytics. Expect questions about data products for analytical users, reproducibility, point-in-time datasets, modelling needs, quality and engineering-data science collaboration.</w:t>
            </w:r>
          </w:p>
        </w:tc>
      </w:tr>
      <w:tr>
        <w:trPr>
          <w:cantSplit/>
        </w:trPr>
        <w:tc>
          <w:tcPr>
            <w:tcW w:type="dxa" w:w="2304"/>
            <w:tcMar>
              <w:top w:w="90" w:type="dxa"/>
              <w:start w:w="110" w:type="dxa"/>
              <w:bottom w:w="90" w:type="dxa"/>
              <w:end w:w="110" w:type="dxa"/>
            </w:tcMar>
            <w:vAlign w:val="top"/>
          </w:tcPr>
          <w:p>
            <w:r>
              <w:t>Ask</w:t>
            </w:r>
          </w:p>
        </w:tc>
        <w:tc>
          <w:tcPr>
            <w:tcW w:type="dxa" w:w="8496"/>
            <w:tcMar>
              <w:top w:w="90" w:type="dxa"/>
              <w:start w:w="110" w:type="dxa"/>
              <w:bottom w:w="90" w:type="dxa"/>
              <w:end w:w="110" w:type="dxa"/>
            </w:tcMar>
            <w:vAlign w:val="top"/>
          </w:tcPr>
          <w:p>
            <w:r>
              <w:t>What is the first platform or data-quality problem to own? How is Company Intelligence split across data engineering, data science and research? What does success look like after six months?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shd w:fill="FFF2CC"/>
            <w:tcMar>
              <w:top w:w="120" w:type="dxa"/>
              <w:start w:w="140" w:type="dxa"/>
              <w:bottom w:w="120" w:type="dxa"/>
              <w:end w:w="140" w:type="dxa"/>
            </w:tcMar>
          </w:tcPr>
          <w:p>
            <w:r>
              <w:rPr>
                <w:b/>
                <w:color w:val="18365D"/>
              </w:rPr>
              <w:t>Best line to remember</w:t>
              <w:br/>
            </w:r>
            <w:r>
              <w:t>For private-market data, a pipeline being green is not enough. I would design for provenance, point-in-time correctness, deterministic entity resolution, explicit quality controls and end-to-end lineage so that analysts can explain where each value came from and what was known at a given time.</w:t>
            </w:r>
          </w:p>
        </w:tc>
      </w:tr>
    </w:tbl>
    <w:p>
      <w:pPr>
        <w:pStyle w:val="Heading1"/>
        <w:keepNext/>
      </w:pPr>
      <w:r>
        <w:t>2. Your 90-Second Introduction</w:t>
      </w:r>
    </w:p>
    <w:p>
      <w:pPr>
        <w:spacing w:after="80" w:line="245" w:lineRule="auto"/>
      </w:pPr>
      <w:r>
        <w:t>Use this as a structure, not a script. Keep the first answer around 90 seconds.</w:t>
      </w:r>
    </w:p>
    <w:p>
      <w:pPr>
        <w:pStyle w:val="ListBullet"/>
        <w:spacing w:after="50" w:line="240" w:lineRule="auto"/>
      </w:pPr>
      <w:r>
        <w:t>I am a senior software and data engineer with more than 15 years in financial services, investment technology and production data platforms.</w:t>
      </w:r>
    </w:p>
    <w:p>
      <w:pPr>
        <w:pStyle w:val="ListBullet"/>
        <w:spacing w:after="50" w:line="240" w:lineRule="auto"/>
      </w:pPr>
      <w:r>
        <w:t>I have already worked at BlackRock in both Aladdin Core Data and later as a Vice President leading engineering within Fixed Income Alpha Generation, so I understand the standards and operating environment, but I have also broadened my experience significantly since then.</w:t>
      </w:r>
    </w:p>
    <w:p>
      <w:pPr>
        <w:pStyle w:val="ListBullet"/>
        <w:spacing w:after="50" w:line="240" w:lineRule="auto"/>
      </w:pPr>
      <w:r>
        <w:t>Most recently I have been hands-on with Python, SQL, Snowflake, AWS and production analytics at Brevan Howard. Before that I worked at EDF Trading on Python and SQL data products for Gas, Power and LNG.</w:t>
      </w:r>
    </w:p>
    <w:p>
      <w:pPr>
        <w:pStyle w:val="ListBullet"/>
        <w:spacing w:after="50" w:line="240" w:lineRule="auto"/>
      </w:pPr>
      <w:r>
        <w:t>One role that is particularly relevant here is Pemberton, where I led the architecture of a governed fund analytics platform for Private Credit, replacing around 20 spreadsheet models with Python, FastAPI, SQL Server and Dash.</w:t>
      </w:r>
    </w:p>
    <w:p>
      <w:pPr>
        <w:pStyle w:val="ListBullet"/>
        <w:spacing w:after="50" w:line="240" w:lineRule="auto"/>
      </w:pPr>
      <w:r>
        <w:t>At illio I led the architecture of an AWS data platform using S3, Glue, Airflow, Lambda, PostgreSQL and APIs, and I also built and mentored the data function.</w:t>
      </w:r>
    </w:p>
    <w:p>
      <w:pPr>
        <w:pStyle w:val="ListBullet"/>
        <w:spacing w:after="50" w:line="240" w:lineRule="auto"/>
      </w:pPr>
      <w:r>
        <w:t>This role is attractive because it combines the parts of my background that fit best: hands-on data engineering, data modelling and cloud platforms, private markets, and a player-coach leadership role where I can still build while helping a team raise engineering standards.</w:t>
      </w:r>
    </w:p>
    <w:p>
      <w:pPr>
        <w:pStyle w:val="Heading1"/>
        <w:keepNext/>
      </w:pPr>
      <w:r>
        <w:t>3. What the Panel Needs to Believe</w:t>
      </w:r>
    </w:p>
    <w:p>
      <w:pPr>
        <w:pStyle w:val="ListBullet"/>
        <w:spacing w:after="50" w:line="240" w:lineRule="auto"/>
      </w:pPr>
      <w:r>
        <w:t>You are a genuine player-coach. You can review architecture, write code, debug pipelines, mentor engineers and make prioritisation decisions without becoming a management-only VP.</w:t>
      </w:r>
    </w:p>
    <w:p>
      <w:pPr>
        <w:pStyle w:val="ListBullet"/>
        <w:spacing w:after="50" w:line="240" w:lineRule="auto"/>
      </w:pPr>
      <w:r>
        <w:t>You understand enterprise data trust. You think beyond ETL into provenance, lineage, effective dating, access controls, data quality, observability, cost and production support.</w:t>
      </w:r>
    </w:p>
    <w:p>
      <w:pPr>
        <w:pStyle w:val="ListBullet"/>
        <w:spacing w:after="50" w:line="240" w:lineRule="auto"/>
      </w:pPr>
      <w:r>
        <w:t>You can design analytical data models. Start from grain and business semantics, then choose facts, dimensions, bridges, slowly changing dimensions and point-in-time rules.</w:t>
      </w:r>
    </w:p>
    <w:p>
      <w:pPr>
        <w:pStyle w:val="ListBullet"/>
        <w:spacing w:after="50" w:line="240" w:lineRule="auto"/>
      </w:pPr>
      <w:r>
        <w:t>You can partner with data scientists. You understand reproducible snapshots, feature quality, leakage prevention, lineage, training/serving consistency and the need to make datasets easy to consume.</w:t>
      </w:r>
    </w:p>
    <w:p>
      <w:pPr>
        <w:pStyle w:val="ListBullet"/>
        <w:spacing w:after="50" w:line="240" w:lineRule="auto"/>
      </w:pPr>
      <w:r>
        <w:t>You understand private credit and fund analytics from Pemberton, while your wider investment experience gives you context across public and private markets.</w:t>
      </w:r>
    </w:p>
    <w:p>
      <w:pPr>
        <w:pStyle w:val="ListBullet"/>
        <w:spacing w:after="50" w:line="240" w:lineRule="auto"/>
      </w:pPr>
      <w:r>
        <w:t>You know BlackRock, but you are not relying on old familiarity. Your recent cloud, Snowflake, Python and data platform work shows current technical credibility.</w:t>
      </w:r>
    </w:p>
    <w:p>
      <w:pPr>
        <w:pStyle w:val="ListBullet"/>
        <w:spacing w:after="50" w:line="240" w:lineRule="auto"/>
      </w:pPr>
      <w:r>
        <w:t>You are honest about dbt. Your value is strong core data engineering plus the ability to become productive rapidly in dbt, not pretending years of experience that are not on the CV.</w:t>
      </w:r>
    </w:p>
    <w:p>
      <w:pPr>
        <w:pStyle w:val="Heading1"/>
        <w:keepNext/>
      </w:pPr>
      <w:r>
        <w:t>4. Role Fit Matrix: Requirement to Evidence</w:t>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3024"/>
            <w:shd w:fill="18365D"/>
            <w:vAlign w:val="center"/>
            <w:tcMar>
              <w:top w:w="90" w:type="dxa"/>
              <w:start w:w="110" w:type="dxa"/>
              <w:bottom w:w="90" w:type="dxa"/>
              <w:end w:w="110" w:type="dxa"/>
            </w:tcMar>
          </w:tcPr>
          <w:p>
            <w:r>
              <w:rPr>
                <w:b/>
                <w:color w:val="FFFFFF"/>
              </w:rPr>
              <w:t>Requirement</w:t>
            </w:r>
          </w:p>
        </w:tc>
        <w:tc>
          <w:tcPr>
            <w:tcW w:type="dxa" w:w="1440"/>
            <w:shd w:fill="18365D"/>
            <w:vAlign w:val="center"/>
            <w:tcMar>
              <w:top w:w="90" w:type="dxa"/>
              <w:start w:w="110" w:type="dxa"/>
              <w:bottom w:w="90" w:type="dxa"/>
              <w:end w:w="110" w:type="dxa"/>
            </w:tcMar>
          </w:tcPr>
          <w:p>
            <w:r>
              <w:rPr>
                <w:b/>
                <w:color w:val="FFFFFF"/>
              </w:rPr>
              <w:t>Fit</w:t>
            </w:r>
          </w:p>
        </w:tc>
        <w:tc>
          <w:tcPr>
            <w:tcW w:type="dxa" w:w="6336"/>
            <w:shd w:fill="18365D"/>
            <w:vAlign w:val="center"/>
            <w:tcMar>
              <w:top w:w="90" w:type="dxa"/>
              <w:start w:w="110" w:type="dxa"/>
              <w:bottom w:w="90" w:type="dxa"/>
              <w:end w:w="110" w:type="dxa"/>
            </w:tcMar>
          </w:tcPr>
          <w:p>
            <w:r>
              <w:rPr>
                <w:b/>
                <w:color w:val="FFFFFF"/>
              </w:rPr>
              <w:t>Evidence / positioning</w:t>
            </w:r>
          </w:p>
        </w:tc>
      </w:tr>
      <w:tr>
        <w:trPr>
          <w:cantSplit/>
        </w:trPr>
        <w:tc>
          <w:tcPr>
            <w:tcW w:type="dxa" w:w="3024"/>
            <w:tcMar>
              <w:top w:w="90" w:type="dxa"/>
              <w:start w:w="110" w:type="dxa"/>
              <w:bottom w:w="90" w:type="dxa"/>
              <w:end w:w="110" w:type="dxa"/>
            </w:tcMar>
            <w:vAlign w:val="top"/>
          </w:tcPr>
          <w:p>
            <w:r>
              <w:t>Enterprise production data platforms</w:t>
            </w:r>
          </w:p>
        </w:tc>
        <w:tc>
          <w:tcPr>
            <w:tcW w:type="dxa" w:w="1440"/>
            <w:tcMar>
              <w:top w:w="90" w:type="dxa"/>
              <w:start w:w="110" w:type="dxa"/>
              <w:bottom w:w="90" w:type="dxa"/>
              <w:end w:w="110" w:type="dxa"/>
            </w:tcMar>
            <w:vAlign w:val="top"/>
          </w:tcPr>
          <w:p>
            <w:r>
              <w:t>Strong</w:t>
            </w:r>
          </w:p>
        </w:tc>
        <w:tc>
          <w:tcPr>
            <w:tcW w:type="dxa" w:w="6336"/>
            <w:tcMar>
              <w:top w:w="90" w:type="dxa"/>
              <w:start w:w="110" w:type="dxa"/>
              <w:bottom w:w="90" w:type="dxa"/>
              <w:end w:w="110" w:type="dxa"/>
            </w:tcMar>
            <w:vAlign w:val="top"/>
          </w:tcPr>
          <w:p>
            <w:r>
              <w:t>BlackRock Core Data; Brevan; EDF; illio. Mission-critical investment and trading environments.</w:t>
            </w:r>
          </w:p>
        </w:tc>
      </w:tr>
      <w:tr>
        <w:trPr>
          <w:cantSplit/>
        </w:trPr>
        <w:tc>
          <w:tcPr>
            <w:tcW w:type="dxa" w:w="3024"/>
            <w:tcMar>
              <w:top w:w="90" w:type="dxa"/>
              <w:start w:w="110" w:type="dxa"/>
              <w:bottom w:w="90" w:type="dxa"/>
              <w:end w:w="110" w:type="dxa"/>
            </w:tcMar>
            <w:vAlign w:val="top"/>
          </w:tcPr>
          <w:p>
            <w:r>
              <w:t>Senior technical judgement / architecture</w:t>
            </w:r>
          </w:p>
        </w:tc>
        <w:tc>
          <w:tcPr>
            <w:tcW w:type="dxa" w:w="1440"/>
            <w:tcMar>
              <w:top w:w="90" w:type="dxa"/>
              <w:start w:w="110" w:type="dxa"/>
              <w:bottom w:w="90" w:type="dxa"/>
              <w:end w:w="110" w:type="dxa"/>
            </w:tcMar>
            <w:vAlign w:val="top"/>
          </w:tcPr>
          <w:p>
            <w:r>
              <w:t>Strong</w:t>
            </w:r>
          </w:p>
        </w:tc>
        <w:tc>
          <w:tcPr>
            <w:tcW w:type="dxa" w:w="6336"/>
            <w:tcMar>
              <w:top w:w="90" w:type="dxa"/>
              <w:start w:w="110" w:type="dxa"/>
              <w:bottom w:w="90" w:type="dxa"/>
              <w:end w:w="110" w:type="dxa"/>
            </w:tcMar>
            <w:vAlign w:val="top"/>
          </w:tcPr>
          <w:p>
            <w:r>
              <w:t>illio platform architecture; Pemberton end-to-end platform; BlackRock architecture and security modernisation.</w:t>
            </w:r>
          </w:p>
        </w:tc>
      </w:tr>
      <w:tr>
        <w:trPr>
          <w:cantSplit/>
        </w:trPr>
        <w:tc>
          <w:tcPr>
            <w:tcW w:type="dxa" w:w="3024"/>
            <w:tcMar>
              <w:top w:w="90" w:type="dxa"/>
              <w:start w:w="110" w:type="dxa"/>
              <w:bottom w:w="90" w:type="dxa"/>
              <w:end w:w="110" w:type="dxa"/>
            </w:tcMar>
            <w:vAlign w:val="top"/>
          </w:tcPr>
          <w:p>
            <w:r>
              <w:t>Advanced SQL / analytical modelling</w:t>
            </w:r>
          </w:p>
        </w:tc>
        <w:tc>
          <w:tcPr>
            <w:tcW w:type="dxa" w:w="1440"/>
            <w:tcMar>
              <w:top w:w="90" w:type="dxa"/>
              <w:start w:w="110" w:type="dxa"/>
              <w:bottom w:w="90" w:type="dxa"/>
              <w:end w:w="110" w:type="dxa"/>
            </w:tcMar>
            <w:vAlign w:val="top"/>
          </w:tcPr>
          <w:p>
            <w:r>
              <w:t>Strong</w:t>
            </w:r>
          </w:p>
        </w:tc>
        <w:tc>
          <w:tcPr>
            <w:tcW w:type="dxa" w:w="6336"/>
            <w:tcMar>
              <w:top w:w="90" w:type="dxa"/>
              <w:start w:w="110" w:type="dxa"/>
              <w:bottom w:w="90" w:type="dxa"/>
              <w:end w:w="110" w:type="dxa"/>
            </w:tcMar>
            <w:vAlign w:val="top"/>
          </w:tcPr>
          <w:p>
            <w:r>
              <w:t>SQL across investment analytics, data platforms and fund models; data modelling at BlackRock, Pemberton, GoldenSource.</w:t>
            </w:r>
          </w:p>
        </w:tc>
      </w:tr>
      <w:tr>
        <w:trPr>
          <w:cantSplit/>
        </w:trPr>
        <w:tc>
          <w:tcPr>
            <w:tcW w:type="dxa" w:w="3024"/>
            <w:tcMar>
              <w:top w:w="90" w:type="dxa"/>
              <w:start w:w="110" w:type="dxa"/>
              <w:bottom w:w="90" w:type="dxa"/>
              <w:end w:w="110" w:type="dxa"/>
            </w:tcMar>
            <w:vAlign w:val="top"/>
          </w:tcPr>
          <w:p>
            <w:r>
              <w:t>dbt analytics engineering</w:t>
            </w:r>
          </w:p>
        </w:tc>
        <w:tc>
          <w:tcPr>
            <w:tcW w:type="dxa" w:w="1440"/>
            <w:tcMar>
              <w:top w:w="90" w:type="dxa"/>
              <w:start w:w="110" w:type="dxa"/>
              <w:bottom w:w="90" w:type="dxa"/>
              <w:end w:w="110" w:type="dxa"/>
            </w:tcMar>
            <w:vAlign w:val="top"/>
          </w:tcPr>
          <w:p>
            <w:r>
              <w:t>Gap to manage</w:t>
            </w:r>
          </w:p>
        </w:tc>
        <w:tc>
          <w:tcPr>
            <w:tcW w:type="dxa" w:w="6336"/>
            <w:tcMar>
              <w:top w:w="90" w:type="dxa"/>
              <w:start w:w="110" w:type="dxa"/>
              <w:bottom w:w="90" w:type="dxa"/>
              <w:end w:w="110" w:type="dxa"/>
            </w:tcMar>
            <w:vAlign w:val="top"/>
          </w:tcPr>
          <w:p>
            <w:r>
              <w:t>No deep dbt claim in CV. Prepare concepts, patterns, testing and incremental-model answers. Position as adjacent capability.</w:t>
            </w:r>
          </w:p>
        </w:tc>
      </w:tr>
      <w:tr>
        <w:trPr>
          <w:cantSplit/>
        </w:trPr>
        <w:tc>
          <w:tcPr>
            <w:tcW w:type="dxa" w:w="3024"/>
            <w:tcMar>
              <w:top w:w="90" w:type="dxa"/>
              <w:start w:w="110" w:type="dxa"/>
              <w:bottom w:w="90" w:type="dxa"/>
              <w:end w:w="110" w:type="dxa"/>
            </w:tcMar>
            <w:vAlign w:val="top"/>
          </w:tcPr>
          <w:p>
            <w:r>
              <w:t>Python data pipelines and automation</w:t>
            </w:r>
          </w:p>
        </w:tc>
        <w:tc>
          <w:tcPr>
            <w:tcW w:type="dxa" w:w="1440"/>
            <w:tcMar>
              <w:top w:w="90" w:type="dxa"/>
              <w:start w:w="110" w:type="dxa"/>
              <w:bottom w:w="90" w:type="dxa"/>
              <w:end w:w="110" w:type="dxa"/>
            </w:tcMar>
            <w:vAlign w:val="top"/>
          </w:tcPr>
          <w:p>
            <w:r>
              <w:t>Very strong</w:t>
            </w:r>
          </w:p>
        </w:tc>
        <w:tc>
          <w:tcPr>
            <w:tcW w:type="dxa" w:w="6336"/>
            <w:tcMar>
              <w:top w:w="90" w:type="dxa"/>
              <w:start w:w="110" w:type="dxa"/>
              <w:bottom w:w="90" w:type="dxa"/>
              <w:end w:w="110" w:type="dxa"/>
            </w:tcMar>
            <w:vAlign w:val="top"/>
          </w:tcPr>
          <w:p>
            <w:r>
              <w:t>Long-standing Python across data engineering, APIs, quant models, orchestration and analytics.</w:t>
            </w:r>
          </w:p>
        </w:tc>
      </w:tr>
      <w:tr>
        <w:trPr>
          <w:cantSplit/>
        </w:trPr>
        <w:tc>
          <w:tcPr>
            <w:tcW w:type="dxa" w:w="3024"/>
            <w:tcMar>
              <w:top w:w="90" w:type="dxa"/>
              <w:start w:w="110" w:type="dxa"/>
              <w:bottom w:w="90" w:type="dxa"/>
              <w:end w:w="110" w:type="dxa"/>
            </w:tcMar>
            <w:vAlign w:val="top"/>
          </w:tcPr>
          <w:p>
            <w:r>
              <w:t>Airflow / workflow orchestration</w:t>
            </w:r>
          </w:p>
        </w:tc>
        <w:tc>
          <w:tcPr>
            <w:tcW w:type="dxa" w:w="1440"/>
            <w:tcMar>
              <w:top w:w="90" w:type="dxa"/>
              <w:start w:w="110" w:type="dxa"/>
              <w:bottom w:w="90" w:type="dxa"/>
              <w:end w:w="110" w:type="dxa"/>
            </w:tcMar>
            <w:vAlign w:val="top"/>
          </w:tcPr>
          <w:p>
            <w:r>
              <w:t>Strong</w:t>
            </w:r>
          </w:p>
        </w:tc>
        <w:tc>
          <w:tcPr>
            <w:tcW w:type="dxa" w:w="6336"/>
            <w:tcMar>
              <w:top w:w="90" w:type="dxa"/>
              <w:start w:w="110" w:type="dxa"/>
              <w:bottom w:w="90" w:type="dxa"/>
              <w:end w:w="110" w:type="dxa"/>
            </w:tcMar>
            <w:vAlign w:val="top"/>
          </w:tcPr>
          <w:p>
            <w:r>
              <w:t>illio Airflow; recent Prefect and Dagster experience; production scheduling background.</w:t>
            </w:r>
          </w:p>
        </w:tc>
      </w:tr>
      <w:tr>
        <w:trPr>
          <w:cantSplit/>
        </w:trPr>
        <w:tc>
          <w:tcPr>
            <w:tcW w:type="dxa" w:w="3024"/>
            <w:tcMar>
              <w:top w:w="90" w:type="dxa"/>
              <w:start w:w="110" w:type="dxa"/>
              <w:bottom w:w="90" w:type="dxa"/>
              <w:end w:w="110" w:type="dxa"/>
            </w:tcMar>
            <w:vAlign w:val="top"/>
          </w:tcPr>
          <w:p>
            <w:r>
              <w:t>AWS / Azure</w:t>
            </w:r>
          </w:p>
        </w:tc>
        <w:tc>
          <w:tcPr>
            <w:tcW w:type="dxa" w:w="1440"/>
            <w:tcMar>
              <w:top w:w="90" w:type="dxa"/>
              <w:start w:w="110" w:type="dxa"/>
              <w:bottom w:w="90" w:type="dxa"/>
              <w:end w:w="110" w:type="dxa"/>
            </w:tcMar>
            <w:vAlign w:val="top"/>
          </w:tcPr>
          <w:p>
            <w:r>
              <w:t>Very strong</w:t>
            </w:r>
          </w:p>
        </w:tc>
        <w:tc>
          <w:tcPr>
            <w:tcW w:type="dxa" w:w="6336"/>
            <w:tcMar>
              <w:top w:w="90" w:type="dxa"/>
              <w:start w:w="110" w:type="dxa"/>
              <w:bottom w:w="90" w:type="dxa"/>
              <w:end w:w="110" w:type="dxa"/>
            </w:tcMar>
            <w:vAlign w:val="top"/>
          </w:tcPr>
          <w:p>
            <w:r>
              <w:t>illio AWS architecture; Brevan AWS; EDF/Pemberton Azure; BlackRock Azure.</w:t>
            </w:r>
          </w:p>
        </w:tc>
      </w:tr>
      <w:tr>
        <w:trPr>
          <w:cantSplit/>
        </w:trPr>
        <w:tc>
          <w:tcPr>
            <w:tcW w:type="dxa" w:w="3024"/>
            <w:tcMar>
              <w:top w:w="90" w:type="dxa"/>
              <w:start w:w="110" w:type="dxa"/>
              <w:bottom w:w="90" w:type="dxa"/>
              <w:end w:w="110" w:type="dxa"/>
            </w:tcMar>
            <w:vAlign w:val="top"/>
          </w:tcPr>
          <w:p>
            <w:r>
              <w:t>Snowflake</w:t>
            </w:r>
          </w:p>
        </w:tc>
        <w:tc>
          <w:tcPr>
            <w:tcW w:type="dxa" w:w="1440"/>
            <w:tcMar>
              <w:top w:w="90" w:type="dxa"/>
              <w:start w:w="110" w:type="dxa"/>
              <w:bottom w:w="90" w:type="dxa"/>
              <w:end w:w="110" w:type="dxa"/>
            </w:tcMar>
            <w:vAlign w:val="top"/>
          </w:tcPr>
          <w:p>
            <w:r>
              <w:t>Strong</w:t>
            </w:r>
          </w:p>
        </w:tc>
        <w:tc>
          <w:tcPr>
            <w:tcW w:type="dxa" w:w="6336"/>
            <w:tcMar>
              <w:top w:w="90" w:type="dxa"/>
              <w:start w:w="110" w:type="dxa"/>
              <w:bottom w:w="90" w:type="dxa"/>
              <w:end w:w="110" w:type="dxa"/>
            </w:tcMar>
            <w:vAlign w:val="top"/>
          </w:tcPr>
          <w:p>
            <w:r>
              <w:t>Brevan production use; BlackRock Aladdin Alpha integration. Be precise on platform-admin depth.</w:t>
            </w:r>
          </w:p>
        </w:tc>
      </w:tr>
      <w:tr>
        <w:trPr>
          <w:cantSplit/>
        </w:trPr>
        <w:tc>
          <w:tcPr>
            <w:tcW w:type="dxa" w:w="3024"/>
            <w:tcMar>
              <w:top w:w="90" w:type="dxa"/>
              <w:start w:w="110" w:type="dxa"/>
              <w:bottom w:w="90" w:type="dxa"/>
              <w:end w:w="110" w:type="dxa"/>
            </w:tcMar>
            <w:vAlign w:val="top"/>
          </w:tcPr>
          <w:p>
            <w:r>
              <w:t>People leadership and mentoring</w:t>
            </w:r>
          </w:p>
        </w:tc>
        <w:tc>
          <w:tcPr>
            <w:tcW w:type="dxa" w:w="1440"/>
            <w:tcMar>
              <w:top w:w="90" w:type="dxa"/>
              <w:start w:w="110" w:type="dxa"/>
              <w:bottom w:w="90" w:type="dxa"/>
              <w:end w:w="110" w:type="dxa"/>
            </w:tcMar>
            <w:vAlign w:val="top"/>
          </w:tcPr>
          <w:p>
            <w:r>
              <w:t>Very strong</w:t>
            </w:r>
          </w:p>
        </w:tc>
        <w:tc>
          <w:tcPr>
            <w:tcW w:type="dxa" w:w="6336"/>
            <w:tcMar>
              <w:top w:w="90" w:type="dxa"/>
              <w:start w:w="110" w:type="dxa"/>
              <w:bottom w:w="90" w:type="dxa"/>
              <w:end w:w="110" w:type="dxa"/>
            </w:tcMar>
            <w:vAlign w:val="top"/>
          </w:tcPr>
          <w:p>
            <w:r>
              <w:t>BlackRock VP lead of three Senior Quant Developers; illio team build and mentorship; consulting team leadership.</w:t>
            </w:r>
          </w:p>
        </w:tc>
      </w:tr>
      <w:tr>
        <w:trPr>
          <w:cantSplit/>
        </w:trPr>
        <w:tc>
          <w:tcPr>
            <w:tcW w:type="dxa" w:w="3024"/>
            <w:tcMar>
              <w:top w:w="90" w:type="dxa"/>
              <w:start w:w="110" w:type="dxa"/>
              <w:bottom w:w="90" w:type="dxa"/>
              <w:end w:w="110" w:type="dxa"/>
            </w:tcMar>
            <w:vAlign w:val="top"/>
          </w:tcPr>
          <w:p>
            <w:r>
              <w:t>Private markets / alternatives</w:t>
            </w:r>
          </w:p>
        </w:tc>
        <w:tc>
          <w:tcPr>
            <w:tcW w:type="dxa" w:w="1440"/>
            <w:tcMar>
              <w:top w:w="90" w:type="dxa"/>
              <w:start w:w="110" w:type="dxa"/>
              <w:bottom w:w="90" w:type="dxa"/>
              <w:end w:w="110" w:type="dxa"/>
            </w:tcMar>
            <w:vAlign w:val="top"/>
          </w:tcPr>
          <w:p>
            <w:r>
              <w:t>Strong</w:t>
            </w:r>
          </w:p>
        </w:tc>
        <w:tc>
          <w:tcPr>
            <w:tcW w:type="dxa" w:w="6336"/>
            <w:tcMar>
              <w:top w:w="90" w:type="dxa"/>
              <w:start w:w="110" w:type="dxa"/>
              <w:bottom w:w="90" w:type="dxa"/>
              <w:end w:w="110" w:type="dxa"/>
            </w:tcMar>
            <w:vAlign w:val="top"/>
          </w:tcPr>
          <w:p>
            <w:r>
              <w:t>Pemberton Private Credit and fund analytics; Brevan/BlackRock investment domain.</w:t>
            </w:r>
          </w:p>
        </w:tc>
      </w:tr>
      <w:tr>
        <w:trPr>
          <w:cantSplit/>
        </w:trPr>
        <w:tc>
          <w:tcPr>
            <w:tcW w:type="dxa" w:w="3024"/>
            <w:tcMar>
              <w:top w:w="90" w:type="dxa"/>
              <w:start w:w="110" w:type="dxa"/>
              <w:bottom w:w="90" w:type="dxa"/>
              <w:end w:w="110" w:type="dxa"/>
            </w:tcMar>
            <w:vAlign w:val="top"/>
          </w:tcPr>
          <w:p>
            <w:r>
              <w:t>AI-enabled analytics</w:t>
            </w:r>
          </w:p>
        </w:tc>
        <w:tc>
          <w:tcPr>
            <w:tcW w:type="dxa" w:w="1440"/>
            <w:tcMar>
              <w:top w:w="90" w:type="dxa"/>
              <w:start w:w="110" w:type="dxa"/>
              <w:bottom w:w="90" w:type="dxa"/>
              <w:end w:w="110" w:type="dxa"/>
            </w:tcMar>
            <w:vAlign w:val="top"/>
          </w:tcPr>
          <w:p>
            <w:r>
              <w:t>Strong supporting</w:t>
            </w:r>
          </w:p>
        </w:tc>
        <w:tc>
          <w:tcPr>
            <w:tcW w:type="dxa" w:w="6336"/>
            <w:tcMar>
              <w:top w:w="90" w:type="dxa"/>
              <w:start w:w="110" w:type="dxa"/>
              <w:bottom w:w="90" w:type="dxa"/>
              <w:end w:w="110" w:type="dxa"/>
            </w:tcMar>
            <w:vAlign w:val="top"/>
          </w:tcPr>
          <w:p>
            <w:r>
              <w:t>Productionised quantitative/ML models at BlackRock; AI-assisted engineering; data platforms supporting analytical users.</w:t>
            </w:r>
          </w:p>
        </w:tc>
      </w:tr>
      <w:tr>
        <w:trPr>
          <w:cantSplit/>
        </w:trPr>
        <w:tc>
          <w:tcPr>
            <w:tcW w:type="dxa" w:w="3024"/>
            <w:tcMar>
              <w:top w:w="90" w:type="dxa"/>
              <w:start w:w="110" w:type="dxa"/>
              <w:bottom w:w="90" w:type="dxa"/>
              <w:end w:w="110" w:type="dxa"/>
            </w:tcMar>
            <w:vAlign w:val="top"/>
          </w:tcPr>
          <w:p>
            <w:r>
              <w:t>IaC / Kubernetes</w:t>
            </w:r>
          </w:p>
        </w:tc>
        <w:tc>
          <w:tcPr>
            <w:tcW w:type="dxa" w:w="1440"/>
            <w:tcMar>
              <w:top w:w="90" w:type="dxa"/>
              <w:start w:w="110" w:type="dxa"/>
              <w:bottom w:w="90" w:type="dxa"/>
              <w:end w:w="110" w:type="dxa"/>
            </w:tcMar>
            <w:vAlign w:val="top"/>
          </w:tcPr>
          <w:p>
            <w:r>
              <w:t>Good</w:t>
            </w:r>
          </w:p>
        </w:tc>
        <w:tc>
          <w:tcPr>
            <w:tcW w:type="dxa" w:w="6336"/>
            <w:tcMar>
              <w:top w:w="90" w:type="dxa"/>
              <w:start w:w="110" w:type="dxa"/>
              <w:bottom w:w="90" w:type="dxa"/>
              <w:end w:w="110" w:type="dxa"/>
            </w:tcMar>
            <w:vAlign w:val="top"/>
          </w:tcPr>
          <w:p>
            <w:r>
              <w:t>AWS CDK, Docker/Kubernetes, private cloud and cloud-native services. Terraform specifically should not be overclaimed.</w:t>
            </w:r>
          </w:p>
        </w:tc>
      </w:tr>
    </w:tbl>
    <w:p>
      <w:pPr>
        <w:pStyle w:val="Heading1"/>
        <w:keepNext/>
      </w:pPr>
      <w:r>
        <w:t>5. Biggest Risks and How to Handle Them</w:t>
      </w:r>
    </w:p>
    <w:tbl>
      <w:tblPr>
        <w:tblW w:type="auto" w:w="0"/>
        <w:jc w:val="center"/>
        <w:tblLayout w:type="autofit"/>
        <w:tblLook w:firstColumn="1" w:firstRow="1" w:lastColumn="0" w:lastRow="0" w:noHBand="0" w:noVBand="1" w:val="04A0"/>
      </w:tblPr>
      <w:tblGrid>
        <w:gridCol w:w="10454"/>
      </w:tblGrid>
      <w:tr>
        <w:trPr>
          <w:cantSplit/>
        </w:trPr>
        <w:tc>
          <w:tcPr>
            <w:tcW w:type="dxa" w:w="10454"/>
            <w:shd w:fill="FFF2CC"/>
            <w:tcMar>
              <w:top w:w="120" w:type="dxa"/>
              <w:start w:w="140" w:type="dxa"/>
              <w:bottom w:w="120" w:type="dxa"/>
              <w:end w:w="140" w:type="dxa"/>
            </w:tcMar>
          </w:tcPr>
          <w:p>
            <w:r>
              <w:rPr>
                <w:b/>
                <w:color w:val="18365D"/>
              </w:rPr>
              <w:t>dbt depth</w:t>
              <w:br/>
            </w:r>
            <w:r>
              <w:t>Say directly that dbt has not been your primary production transformation framework. Then demonstrate understanding of models, sources, ref, tests, snapshots, incremental models, macros, docs and CI/CD. Connect this to equivalent SQL transformation and testing patterns you have used.</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shd w:fill="FFF2CC"/>
            <w:tcMar>
              <w:top w:w="120" w:type="dxa"/>
              <w:start w:w="140" w:type="dxa"/>
              <w:bottom w:w="120" w:type="dxa"/>
              <w:end w:w="140" w:type="dxa"/>
            </w:tcMar>
          </w:tcPr>
          <w:p>
            <w:r>
              <w:rPr>
                <w:b/>
                <w:color w:val="18365D"/>
              </w:rPr>
              <w:t>Recent contract-heavy history</w:t>
              <w:br/>
            </w:r>
            <w:r>
              <w:t>Frame the contracts as broadening experience across Private Credit, energy trading and hedge-fund technology. For a permanent role, say you now want longer-term platform ownership, team development and sustained impact.</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shd w:fill="FFF2CC"/>
            <w:tcMar>
              <w:top w:w="120" w:type="dxa"/>
              <w:start w:w="140" w:type="dxa"/>
              <w:bottom w:w="120" w:type="dxa"/>
              <w:end w:w="140" w:type="dxa"/>
            </w:tcMar>
          </w:tcPr>
          <w:p>
            <w:r>
              <w:rPr>
                <w:b/>
                <w:color w:val="18365D"/>
              </w:rPr>
              <w:t>Returning to BlackRock again</w:t>
              <w:br/>
            </w:r>
            <w:r>
              <w:t>Do not sound nostalgic. Explain that each external move broadened your technical and domain experience and that this role is materially different: Preqin, private markets, cloud analytics engineering and people leadership.</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shd w:fill="FFF2CC"/>
            <w:tcMar>
              <w:top w:w="120" w:type="dxa"/>
              <w:start w:w="140" w:type="dxa"/>
              <w:bottom w:w="120" w:type="dxa"/>
              <w:end w:w="140" w:type="dxa"/>
            </w:tcMar>
          </w:tcPr>
          <w:p>
            <w:r>
              <w:rPr>
                <w:b/>
                <w:color w:val="18365D"/>
              </w:rPr>
              <w:t>VP title versus hands-on coding</w:t>
              <w:br/>
            </w:r>
            <w:r>
              <w:t>Make clear that you want a player-coach role. Give concrete examples of leading architecture while still implementing, reviewing and troubleshooting.</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shd w:fill="FFF2CC"/>
            <w:tcMar>
              <w:top w:w="120" w:type="dxa"/>
              <w:start w:w="140" w:type="dxa"/>
              <w:bottom w:w="120" w:type="dxa"/>
              <w:end w:w="140" w:type="dxa"/>
            </w:tcMar>
          </w:tcPr>
          <w:p>
            <w:r>
              <w:rPr>
                <w:b/>
                <w:color w:val="18365D"/>
              </w:rPr>
              <w:t>Private markets breadth</w:t>
              <w:br/>
            </w:r>
            <w:r>
              <w:t>Use Pemberton confidently for Private Credit. Do not claim deep operational expertise across every alternative asset class. Show that the data-engineering principles transfer across company, fund, deal and ownership datasets.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shd w:fill="FFF2CC"/>
            <w:tcMar>
              <w:top w:w="120" w:type="dxa"/>
              <w:start w:w="140" w:type="dxa"/>
              <w:bottom w:w="120" w:type="dxa"/>
              <w:end w:w="140" w:type="dxa"/>
            </w:tcMar>
          </w:tcPr>
          <w:p>
            <w:r>
              <w:rPr>
                <w:b/>
                <w:color w:val="18365D"/>
              </w:rPr>
              <w:t>Snowflake depth</w:t>
              <w:br/>
            </w:r>
            <w:r>
              <w:t>Use production experience confidently but do not claim account administration or deep platform engineering unless asked and true.</w:t>
            </w:r>
          </w:p>
        </w:tc>
      </w:tr>
    </w:tbl>
    <w:p>
      <w:pPr>
        <w:pStyle w:val="Heading1"/>
        <w:keepNext/>
      </w:pPr>
      <w:r>
        <w:t>6. BlackRock / Preqin / Company Intelligence Context</w:t>
      </w:r>
    </w:p>
    <w:p>
      <w:pPr>
        <w:spacing w:after="80" w:line="245" w:lineRule="auto"/>
      </w:pPr>
      <w:r>
        <w:t>Use company context lightly. The goal is to show that you understand why the role exists and why data quality is strategically important.</w:t>
      </w:r>
    </w:p>
    <w:tbl>
      <w:tblPr>
        <w:tblStyle w:val="TableGrid"/>
        <w:tblW w:type="auto" w:w="0"/>
        <w:jc w:val="center"/>
        <w:tblLook w:firstColumn="1" w:firstRow="1" w:lastColumn="0" w:lastRow="0" w:noHBand="0" w:noVBand="1" w:val="04A0"/>
      </w:tblPr>
      <w:tblGrid>
        <w:gridCol w:w="5227"/>
        <w:gridCol w:w="5227"/>
      </w:tblGrid>
      <w:tr>
        <w:trPr>
          <w:cantSplit/>
        </w:trPr>
        <w:tc>
          <w:tcPr>
            <w:tcW w:type="dxa" w:w="2592"/>
            <w:shd w:fill="18365D"/>
            <w:vAlign w:val="center"/>
            <w:tcMar>
              <w:top w:w="90" w:type="dxa"/>
              <w:start w:w="110" w:type="dxa"/>
              <w:bottom w:w="90" w:type="dxa"/>
              <w:end w:w="110" w:type="dxa"/>
            </w:tcMar>
          </w:tcPr>
          <w:p>
            <w:r>
              <w:rPr>
                <w:b/>
                <w:color w:val="FFFFFF"/>
              </w:rPr>
              <w:t>Context</w:t>
            </w:r>
          </w:p>
        </w:tc>
        <w:tc>
          <w:tcPr>
            <w:tcW w:type="dxa" w:w="8208"/>
            <w:shd w:fill="18365D"/>
            <w:vAlign w:val="center"/>
            <w:tcMar>
              <w:top w:w="90" w:type="dxa"/>
              <w:start w:w="110" w:type="dxa"/>
              <w:bottom w:w="90" w:type="dxa"/>
              <w:end w:w="110" w:type="dxa"/>
            </w:tcMar>
          </w:tcPr>
          <w:p>
            <w:r>
              <w:rPr>
                <w:b/>
                <w:color w:val="FFFFFF"/>
              </w:rPr>
              <w:t>Why it matters in interview</w:t>
            </w:r>
          </w:p>
        </w:tc>
      </w:tr>
      <w:tr>
        <w:trPr>
          <w:cantSplit/>
        </w:trPr>
        <w:tc>
          <w:tcPr>
            <w:tcW w:type="dxa" w:w="2592"/>
            <w:tcMar>
              <w:top w:w="90" w:type="dxa"/>
              <w:start w:w="110" w:type="dxa"/>
              <w:bottom w:w="90" w:type="dxa"/>
              <w:end w:w="110" w:type="dxa"/>
            </w:tcMar>
            <w:vAlign w:val="top"/>
          </w:tcPr>
          <w:p>
            <w:r>
              <w:t>Preqin within BlackRock</w:t>
            </w:r>
          </w:p>
        </w:tc>
        <w:tc>
          <w:tcPr>
            <w:tcW w:type="dxa" w:w="8208"/>
            <w:tcMar>
              <w:top w:w="90" w:type="dxa"/>
              <w:start w:w="110" w:type="dxa"/>
              <w:bottom w:w="90" w:type="dxa"/>
              <w:end w:w="110" w:type="dxa"/>
            </w:tcMar>
            <w:vAlign w:val="top"/>
          </w:tcPr>
          <w:p>
            <w:r>
              <w:t>BlackRock completed the Preqin acquisition in March 2025. The strategic theme is combining investments, technology and private-markets data to improve transparency across whole portfolios.</w:t>
            </w:r>
          </w:p>
        </w:tc>
      </w:tr>
      <w:tr>
        <w:trPr>
          <w:cantSplit/>
        </w:trPr>
        <w:tc>
          <w:tcPr>
            <w:tcW w:type="dxa" w:w="2592"/>
            <w:tcMar>
              <w:top w:w="90" w:type="dxa"/>
              <w:start w:w="110" w:type="dxa"/>
              <w:bottom w:w="90" w:type="dxa"/>
              <w:end w:w="110" w:type="dxa"/>
            </w:tcMar>
            <w:vAlign w:val="top"/>
          </w:tcPr>
          <w:p>
            <w:r>
              <w:t>Company Intelligence</w:t>
            </w:r>
          </w:p>
        </w:tc>
        <w:tc>
          <w:tcPr>
            <w:tcW w:type="dxa" w:w="8208"/>
            <w:tcMar>
              <w:top w:w="90" w:type="dxa"/>
              <w:start w:w="110" w:type="dxa"/>
              <w:bottom w:w="90" w:type="dxa"/>
              <w:end w:w="110" w:type="dxa"/>
            </w:tcMar>
            <w:vAlign w:val="top"/>
          </w:tcPr>
          <w:p>
            <w:r>
              <w:t>Preqin describes Company Intelligence as a private-company solution linking company, deal and ownership data with fund and performance data to support sourcing, due diligence, valuation benchmarking and comparative research.</w:t>
            </w:r>
          </w:p>
        </w:tc>
      </w:tr>
      <w:tr>
        <w:trPr>
          <w:cantSplit/>
        </w:trPr>
        <w:tc>
          <w:tcPr>
            <w:tcW w:type="dxa" w:w="2592"/>
            <w:tcMar>
              <w:top w:w="90" w:type="dxa"/>
              <w:start w:w="110" w:type="dxa"/>
              <w:bottom w:w="90" w:type="dxa"/>
              <w:end w:w="110" w:type="dxa"/>
            </w:tcMar>
            <w:vAlign w:val="top"/>
          </w:tcPr>
          <w:p>
            <w:r>
              <w:t>Auditability</w:t>
            </w:r>
          </w:p>
        </w:tc>
        <w:tc>
          <w:tcPr>
            <w:tcW w:type="dxa" w:w="8208"/>
            <w:tcMar>
              <w:top w:w="90" w:type="dxa"/>
              <w:start w:w="110" w:type="dxa"/>
              <w:bottom w:w="90" w:type="dxa"/>
              <w:end w:w="110" w:type="dxa"/>
            </w:tcMar>
            <w:vAlign w:val="top"/>
          </w:tcPr>
          <w:p>
            <w:r>
              <w:t>The product emphasizes fully auditable data and transparent methodologies. This makes provenance, lineage, source attribution and reproducible transformations core engineering concerns.</w:t>
            </w:r>
          </w:p>
        </w:tc>
      </w:tr>
      <w:tr>
        <w:trPr>
          <w:cantSplit/>
        </w:trPr>
        <w:tc>
          <w:tcPr>
            <w:tcW w:type="dxa" w:w="2592"/>
            <w:tcMar>
              <w:top w:w="90" w:type="dxa"/>
              <w:start w:w="110" w:type="dxa"/>
              <w:bottom w:w="90" w:type="dxa"/>
              <w:end w:w="110" w:type="dxa"/>
            </w:tcMar>
            <w:vAlign w:val="top"/>
          </w:tcPr>
          <w:p>
            <w:r>
              <w:t>Data interconnectivity</w:t>
            </w:r>
          </w:p>
        </w:tc>
        <w:tc>
          <w:tcPr>
            <w:tcW w:type="dxa" w:w="8208"/>
            <w:tcMar>
              <w:top w:w="90" w:type="dxa"/>
              <w:start w:w="110" w:type="dxa"/>
              <w:bottom w:w="90" w:type="dxa"/>
              <w:end w:w="110" w:type="dxa"/>
            </w:tcMar>
            <w:vAlign w:val="top"/>
          </w:tcPr>
          <w:p>
            <w:r>
              <w:t>The product links assets, funds, managers, investors and performance. The engineering challenge is therefore not only ingestion; it is maintaining trusted relationships and consistent entity identity across a connected graph of private-market data.</w:t>
            </w:r>
          </w:p>
        </w:tc>
      </w:tr>
      <w:tr>
        <w:trPr>
          <w:cantSplit/>
        </w:trPr>
        <w:tc>
          <w:tcPr>
            <w:tcW w:type="dxa" w:w="2592"/>
            <w:tcMar>
              <w:top w:w="90" w:type="dxa"/>
              <w:start w:w="110" w:type="dxa"/>
              <w:bottom w:w="90" w:type="dxa"/>
              <w:end w:w="110" w:type="dxa"/>
            </w:tcMar>
            <w:vAlign w:val="top"/>
          </w:tcPr>
          <w:p>
            <w:r>
              <w:t>AI / analytics direction</w:t>
            </w:r>
          </w:p>
        </w:tc>
        <w:tc>
          <w:tcPr>
            <w:tcW w:type="dxa" w:w="8208"/>
            <w:tcMar>
              <w:top w:w="90" w:type="dxa"/>
              <w:start w:w="110" w:type="dxa"/>
              <w:bottom w:w="90" w:type="dxa"/>
              <w:end w:w="110" w:type="dxa"/>
            </w:tcMar>
            <w:vAlign w:val="top"/>
          </w:tcPr>
          <w:p>
            <w:r>
              <w:t>Preqin public material describes a knowledge graph of companies, funds, firms, deals and investors plus institutional-scale document intelligence. This increases the importance of governed, point-in-time, model-ready datasets.</w:t>
            </w:r>
          </w:p>
        </w:tc>
      </w:tr>
      <w:tr>
        <w:trPr>
          <w:cantSplit/>
        </w:trPr>
        <w:tc>
          <w:tcPr>
            <w:tcW w:type="dxa" w:w="2592"/>
            <w:tcMar>
              <w:top w:w="90" w:type="dxa"/>
              <w:start w:w="110" w:type="dxa"/>
              <w:bottom w:w="90" w:type="dxa"/>
              <w:end w:w="110" w:type="dxa"/>
            </w:tcMar>
            <w:vAlign w:val="top"/>
          </w:tcPr>
          <w:p>
            <w:r>
              <w:t>Private credit expansion</w:t>
            </w:r>
          </w:p>
        </w:tc>
        <w:tc>
          <w:tcPr>
            <w:tcW w:type="dxa" w:w="8208"/>
            <w:tcMar>
              <w:top w:w="90" w:type="dxa"/>
              <w:start w:w="110" w:type="dxa"/>
              <w:bottom w:w="90" w:type="dxa"/>
              <w:end w:w="110" w:type="dxa"/>
            </w:tcMar>
            <w:vAlign w:val="top"/>
          </w:tcPr>
          <w:p>
            <w:r>
              <w:t>In May 2026 BlackRock Aladdin announced expanded Preqin private-credit capabilities across closed-end funds, BDCs and semi-liquid vehicles, reinforcing the strategic importance of connected and standardized private-market data.</w:t>
            </w:r>
          </w:p>
        </w:tc>
      </w:tr>
      <w:tr>
        <w:trPr>
          <w:cantSplit/>
        </w:trPr>
        <w:tc>
          <w:tcPr>
            <w:tcW w:type="dxa" w:w="2592"/>
            <w:tcMar>
              <w:top w:w="90" w:type="dxa"/>
              <w:start w:w="110" w:type="dxa"/>
              <w:bottom w:w="90" w:type="dxa"/>
              <w:end w:w="110" w:type="dxa"/>
            </w:tcMar>
            <w:vAlign w:val="top"/>
          </w:tcPr>
          <w:p>
            <w:r>
              <w:t>Private-market technology integration</w:t>
            </w:r>
          </w:p>
        </w:tc>
        <w:tc>
          <w:tcPr>
            <w:tcW w:type="dxa" w:w="8208"/>
            <w:tcMar>
              <w:top w:w="90" w:type="dxa"/>
              <w:start w:w="110" w:type="dxa"/>
              <w:bottom w:w="90" w:type="dxa"/>
              <w:end w:w="110" w:type="dxa"/>
            </w:tcMar>
            <w:vAlign w:val="top"/>
          </w:tcPr>
          <w:p>
            <w:r>
              <w:t>In February 2026 BlackRock integrated Preqin data and technology into eFront, bringing pre-investment intelligence and post-investment workflows closer together.</w:t>
            </w:r>
          </w:p>
        </w:tc>
      </w:tr>
      <w:tr>
        <w:trPr>
          <w:cantSplit/>
        </w:trPr>
        <w:tc>
          <w:tcPr>
            <w:tcW w:type="dxa" w:w="2592"/>
            <w:tcMar>
              <w:top w:w="90" w:type="dxa"/>
              <w:start w:w="110" w:type="dxa"/>
              <w:bottom w:w="90" w:type="dxa"/>
              <w:end w:w="110" w:type="dxa"/>
            </w:tcMar>
            <w:vAlign w:val="top"/>
          </w:tcPr>
          <w:p>
            <w:r>
              <w:t>Scale</w:t>
            </w:r>
          </w:p>
        </w:tc>
        <w:tc>
          <w:tcPr>
            <w:tcW w:type="dxa" w:w="8208"/>
            <w:tcMar>
              <w:top w:w="90" w:type="dxa"/>
              <w:start w:w="110" w:type="dxa"/>
              <w:bottom w:w="90" w:type="dxa"/>
              <w:end w:w="110" w:type="dxa"/>
            </w:tcMar>
            <w:vAlign w:val="top"/>
          </w:tcPr>
          <w:p>
            <w:r>
              <w:t>Preqin states that its data supports more than 200,000 professionals across more than 67,000 firms, which implies platform design must consider reliability, repeatability, governance and broad downstream reuse.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shd w:fill="E2F0D9"/>
            <w:tcMar>
              <w:top w:w="120" w:type="dxa"/>
              <w:start w:w="140" w:type="dxa"/>
              <w:bottom w:w="120" w:type="dxa"/>
              <w:end w:w="140" w:type="dxa"/>
            </w:tcMar>
          </w:tcPr>
          <w:p>
            <w:r>
              <w:rPr>
                <w:b/>
                <w:color w:val="18365D"/>
              </w:rPr>
              <w:t>Strategic interpretation</w:t>
              <w:br/>
            </w:r>
            <w:r>
              <w:t>The Company Intelligence engineering problem is a data-trust problem at scale. Private-company data is sparse, delayed, inconsistent and often revised. A strong answer should repeatedly connect architecture choices to provenance, entity identity, point-in-time history, quality, reproducibility and analyst confidence.</w:t>
            </w:r>
          </w:p>
        </w:tc>
      </w:tr>
    </w:tbl>
    <w:p>
      <w:pPr>
        <w:pStyle w:val="Heading1"/>
        <w:keepNext/>
      </w:pPr>
      <w:r>
        <w:t>7. Interviewer Context and Likely Angles</w:t>
      </w:r>
    </w:p>
    <w:p>
      <w:pPr>
        <w:spacing w:after="80" w:line="245" w:lineRule="auto"/>
      </w:pPr>
      <w:r>
        <w:t>The following is based on public profile information and is an inference, not an internal view of the interview plan.</w:t>
      </w:r>
    </w:p>
    <w:tbl>
      <w:tblPr>
        <w:tblStyle w:val="TableGrid"/>
        <w:tblW w:type="auto" w:w="0"/>
        <w:jc w:val="center"/>
        <w:tblLook w:firstColumn="1" w:firstRow="1" w:lastColumn="0" w:lastRow="0" w:noHBand="0" w:noVBand="1" w:val="04A0"/>
      </w:tblPr>
      <w:tblGrid>
        <w:gridCol w:w="5227"/>
        <w:gridCol w:w="5227"/>
      </w:tblGrid>
      <w:tr>
        <w:trPr>
          <w:cantSplit/>
        </w:trPr>
        <w:tc>
          <w:tcPr>
            <w:tcW w:type="dxa" w:w="2160"/>
            <w:shd w:fill="18365D"/>
            <w:vAlign w:val="center"/>
            <w:tcMar>
              <w:top w:w="90" w:type="dxa"/>
              <w:start w:w="110" w:type="dxa"/>
              <w:bottom w:w="90" w:type="dxa"/>
              <w:end w:w="110" w:type="dxa"/>
            </w:tcMar>
          </w:tcPr>
          <w:p>
            <w:r>
              <w:rPr>
                <w:b/>
                <w:color w:val="FFFFFF"/>
              </w:rPr>
              <w:t>Interviewer</w:t>
            </w:r>
          </w:p>
        </w:tc>
        <w:tc>
          <w:tcPr>
            <w:tcW w:type="dxa" w:w="8640"/>
            <w:shd w:fill="18365D"/>
            <w:vAlign w:val="center"/>
            <w:tcMar>
              <w:top w:w="90" w:type="dxa"/>
              <w:start w:w="110" w:type="dxa"/>
              <w:bottom w:w="90" w:type="dxa"/>
              <w:end w:w="110" w:type="dxa"/>
            </w:tcMar>
          </w:tcPr>
          <w:p>
            <w:r>
              <w:rPr>
                <w:b/>
                <w:color w:val="FFFFFF"/>
              </w:rPr>
              <w:t>Prepare for</w:t>
            </w:r>
          </w:p>
        </w:tc>
      </w:tr>
      <w:tr>
        <w:trPr>
          <w:cantSplit/>
        </w:trPr>
        <w:tc>
          <w:tcPr>
            <w:tcW w:type="dxa" w:w="2160"/>
            <w:tcMar>
              <w:top w:w="90" w:type="dxa"/>
              <w:start w:w="110" w:type="dxa"/>
              <w:bottom w:w="90" w:type="dxa"/>
              <w:end w:w="110" w:type="dxa"/>
            </w:tcMar>
            <w:vAlign w:val="top"/>
          </w:tcPr>
          <w:p>
            <w:r>
              <w:t>Andrew Loh</w:t>
            </w:r>
          </w:p>
        </w:tc>
        <w:tc>
          <w:tcPr>
            <w:tcW w:type="dxa" w:w="8640"/>
            <w:tcMar>
              <w:top w:w="90" w:type="dxa"/>
              <w:start w:w="110" w:type="dxa"/>
              <w:bottom w:w="90" w:type="dxa"/>
              <w:end w:w="110" w:type="dxa"/>
            </w:tcMar>
            <w:vAlign w:val="top"/>
          </w:tcPr>
          <w:p>
            <w:r>
              <w:t>Public profile describes broad interest in data, including analytics, development and migration. Likely angles: practical data architecture, migration/modernisation, data quality, production support, analytical usability and how you make engineering decisions.</w:t>
            </w:r>
          </w:p>
        </w:tc>
      </w:tr>
      <w:tr>
        <w:trPr>
          <w:cantSplit/>
        </w:trPr>
        <w:tc>
          <w:tcPr>
            <w:tcW w:type="dxa" w:w="2160"/>
            <w:tcMar>
              <w:top w:w="90" w:type="dxa"/>
              <w:start w:w="110" w:type="dxa"/>
              <w:bottom w:w="90" w:type="dxa"/>
              <w:end w:w="110" w:type="dxa"/>
            </w:tcMar>
            <w:vAlign w:val="top"/>
          </w:tcPr>
          <w:p>
            <w:r>
              <w:t>James Madge</w:t>
            </w:r>
          </w:p>
        </w:tc>
        <w:tc>
          <w:tcPr>
            <w:tcW w:type="dxa" w:w="8640"/>
            <w:tcMar>
              <w:top w:w="90" w:type="dxa"/>
              <w:start w:w="110" w:type="dxa"/>
              <w:bottom w:w="90" w:type="dxa"/>
              <w:end w:w="110" w:type="dxa"/>
            </w:tcMar>
            <w:vAlign w:val="top"/>
          </w:tcPr>
          <w:p>
            <w:r>
              <w:t>Public profile shows BlackRock experience and the invitation identifies him as a Modelling Data Scientist / Data Science Team Manager. Likely angles: how data engineering supports modelling teams, point-in-time correctness, reproducibility, feature datasets, analytical modelling, stakeholder partnership and leadership.</w:t>
            </w:r>
          </w:p>
        </w:tc>
      </w:tr>
    </w:tbl>
    <w:p>
      <w:pPr>
        <w:pStyle w:val="Heading1"/>
        <w:keepNext/>
      </w:pPr>
      <w:r>
        <w:t>8. Story Bank: Five Examples to Reuse</w:t>
      </w:r>
    </w:p>
    <w:p>
      <w:pPr>
        <w:pStyle w:val="Heading2"/>
        <w:keepNext/>
      </w:pPr>
      <w:r>
        <w:t>8.1 BlackRock - Player-Coach Leadership</w:t>
      </w:r>
    </w:p>
    <w:p>
      <w:pPr>
        <w:pStyle w:val="ListBullet"/>
        <w:spacing w:after="50" w:line="240" w:lineRule="auto"/>
      </w:pPr>
      <w:r>
        <w:t>Situation: Mission-critical Fixed Income investment modelling environment with multiple investment teams and a senior quant engineering team.</w:t>
      </w:r>
    </w:p>
    <w:p>
      <w:pPr>
        <w:pStyle w:val="ListBullet"/>
        <w:spacing w:after="50" w:line="240" w:lineRule="auto"/>
      </w:pPr>
      <w:r>
        <w:t>Role: Vice President and Regional Team Lead of SFI Alpha Generation, leading three Senior Quant Developers while remaining hands-on.</w:t>
      </w:r>
    </w:p>
    <w:p>
      <w:pPr>
        <w:pStyle w:val="ListBullet"/>
        <w:spacing w:after="50" w:line="240" w:lineRule="auto"/>
      </w:pPr>
      <w:r>
        <w:t>Actions: Set engineering practices, supported architecture decisions, coordinated delivery, partnered with quantitative researchers, and productionised alpha, transaction-cost, risk and optimisation models.</w:t>
      </w:r>
    </w:p>
    <w:p>
      <w:pPr>
        <w:pStyle w:val="ListBullet"/>
        <w:spacing w:after="50" w:line="240" w:lineRule="auto"/>
      </w:pPr>
      <w:r>
        <w:t>Additional evidence: Led Defence in Depth modernisation across six critical applications and worked on reusable Aladdin Alpha components with Snowflake integration.</w:t>
      </w:r>
    </w:p>
    <w:p>
      <w:pPr>
        <w:pStyle w:val="ListBullet"/>
        <w:spacing w:after="50" w:line="240" w:lineRule="auto"/>
      </w:pPr>
      <w:r>
        <w:t>Use for: people leadership, technical standards, stakeholder management, cross-team delivery, architecture trade-offs, hands-on VP credibility.</w:t>
      </w:r>
    </w:p>
    <w:p>
      <w:pPr>
        <w:pStyle w:val="Heading2"/>
        <w:keepNext/>
      </w:pPr>
      <w:r>
        <w:t>8.2 Pemberton - Private Credit and End-to-End Ownership</w:t>
      </w:r>
    </w:p>
    <w:p>
      <w:pPr>
        <w:pStyle w:val="ListBullet"/>
        <w:spacing w:after="50" w:line="240" w:lineRule="auto"/>
      </w:pPr>
      <w:r>
        <w:t>Situation: Around 20 spreadsheet-based fund models created governance, consistency and scalability challenges.</w:t>
      </w:r>
    </w:p>
    <w:p>
      <w:pPr>
        <w:pStyle w:val="ListBullet"/>
        <w:spacing w:after="50" w:line="240" w:lineRule="auto"/>
      </w:pPr>
      <w:r>
        <w:t>Role: Senior Python Developer with architecture and delivery ownership.</w:t>
      </w:r>
    </w:p>
    <w:p>
      <w:pPr>
        <w:pStyle w:val="ListBullet"/>
        <w:spacing w:after="50" w:line="240" w:lineRule="auto"/>
      </w:pPr>
      <w:r>
        <w:t>Actions: Designed Python/FastAPI backend services, SQLAlchemy data models, SQL Server persistence, Dash/Plotly interfaces, Pydantic validation and Pytest automated testing.</w:t>
      </w:r>
    </w:p>
    <w:p>
      <w:pPr>
        <w:pStyle w:val="ListBullet"/>
        <w:spacing w:after="50" w:line="240" w:lineRule="auto"/>
      </w:pPr>
      <w:r>
        <w:t>Domain: Private Credit, fund analytics, carry and time-series modelling; worked directly with investment stakeholders to translate complex rules and validate outputs.</w:t>
      </w:r>
    </w:p>
    <w:p>
      <w:pPr>
        <w:pStyle w:val="ListBullet"/>
        <w:spacing w:after="50" w:line="240" w:lineRule="auto"/>
      </w:pPr>
      <w:r>
        <w:t>Use for: private markets, requirements discovery, analytical modelling, replacing Excel, data quality, controlled delivery and measurable business value.</w:t>
      </w:r>
    </w:p>
    <w:p>
      <w:pPr>
        <w:pStyle w:val="Heading2"/>
        <w:keepNext/>
      </w:pPr>
      <w:r>
        <w:t>8.3 illio - Cloud Data Platform and Team Build</w:t>
      </w:r>
    </w:p>
    <w:p>
      <w:pPr>
        <w:pStyle w:val="ListBullet"/>
        <w:spacing w:after="50" w:line="240" w:lineRule="auto"/>
      </w:pPr>
      <w:r>
        <w:t>Situation: Needed a scalable cloud-native analytics and application platform plus a data function.</w:t>
      </w:r>
    </w:p>
    <w:p>
      <w:pPr>
        <w:pStyle w:val="ListBullet"/>
        <w:spacing w:after="50" w:line="240" w:lineRule="auto"/>
      </w:pPr>
      <w:r>
        <w:t>Role: Senior Data Engineer with architecture and technical leadership responsibilities.</w:t>
      </w:r>
    </w:p>
    <w:p>
      <w:pPr>
        <w:pStyle w:val="ListBullet"/>
        <w:spacing w:after="50" w:line="240" w:lineRule="auto"/>
      </w:pPr>
      <w:r>
        <w:t>Actions: Designed AWS-based pipelines with S3, Glue, Airflow, Lambda/API Gateway, PostgreSQL/RDS and APIs; used Docker/Kubernetes; built and mentored a data engineer and data scientist.</w:t>
      </w:r>
    </w:p>
    <w:p>
      <w:pPr>
        <w:pStyle w:val="ListBullet"/>
        <w:spacing w:after="50" w:line="240" w:lineRule="auto"/>
      </w:pPr>
      <w:r>
        <w:t>Use for: AWS architecture, Airflow, platform strategy, reusable services, technical leadership, mentoring and build-versus-buy decisions.</w:t>
      </w:r>
    </w:p>
    <w:p>
      <w:pPr>
        <w:pStyle w:val="Heading2"/>
        <w:keepNext/>
      </w:pPr>
      <w:r>
        <w:t>8.4 BlackRock Aladdin Core Data - Scale and Modernisation</w:t>
      </w:r>
    </w:p>
    <w:p>
      <w:pPr>
        <w:pStyle w:val="ListBullet"/>
        <w:spacing w:after="50" w:line="240" w:lineRule="auto"/>
      </w:pPr>
      <w:r>
        <w:t>Re-architected a mission-critical J2EE/Java data platform into Python microservices and reusable data services.</w:t>
      </w:r>
    </w:p>
    <w:p>
      <w:pPr>
        <w:pStyle w:val="ListBullet"/>
        <w:spacing w:after="50" w:line="240" w:lineRule="auto"/>
      </w:pPr>
      <w:r>
        <w:t>Built PySpark and Scala pipelines over Hadoop/HDFS for large datasets.</w:t>
      </w:r>
    </w:p>
    <w:p>
      <w:pPr>
        <w:pStyle w:val="ListBullet"/>
        <w:spacing w:after="50" w:line="240" w:lineRule="auto"/>
      </w:pPr>
      <w:r>
        <w:t>Designed data models and integration patterns serving internal investment teams.</w:t>
      </w:r>
    </w:p>
    <w:p>
      <w:pPr>
        <w:pStyle w:val="ListBullet"/>
        <w:spacing w:after="50" w:line="240" w:lineRule="auto"/>
      </w:pPr>
      <w:r>
        <w:t>Use for: enterprise scale, migration, data modelling, distributed processing, platform reuse and BlackRock context.</w:t>
      </w:r>
    </w:p>
    <w:p>
      <w:pPr>
        <w:pStyle w:val="Heading2"/>
        <w:keepNext/>
      </w:pPr>
      <w:r>
        <w:t>8.5 Brevan Howard / EDF - Current Technical Credibility</w:t>
      </w:r>
    </w:p>
    <w:p>
      <w:pPr>
        <w:pStyle w:val="ListBullet"/>
        <w:spacing w:after="50" w:line="240" w:lineRule="auto"/>
      </w:pPr>
      <w:r>
        <w:t>Brevan: production Python, SQL, Snowflake, AWS, backend services, data pipelines, Prefect and front-office investment stakeholders.</w:t>
      </w:r>
    </w:p>
    <w:p>
      <w:pPr>
        <w:pStyle w:val="ListBullet"/>
        <w:spacing w:after="50" w:line="240" w:lineRule="auto"/>
      </w:pPr>
      <w:r>
        <w:t>EDF Trading: Python, SQL, Spark, data products for Gas, Power and LNG, Dagster orchestration and operational resilience.</w:t>
      </w:r>
    </w:p>
    <w:p>
      <w:pPr>
        <w:pStyle w:val="ListBullet"/>
        <w:spacing w:after="50" w:line="240" w:lineRule="auto"/>
      </w:pPr>
      <w:r>
        <w:t>Use for: recent hands-on coding, production support, orchestration, data quality and modern tooling.</w:t>
      </w:r>
    </w:p>
    <w:p>
      <w:pPr>
        <w:pStyle w:val="Heading1"/>
        <w:keepNext/>
      </w:pPr>
      <w:r>
        <w:t>9. High-Probability Motivation and CV Questions</w:t>
      </w:r>
    </w:p>
    <w:p>
      <w:pPr>
        <w:pStyle w:val="Heading2"/>
        <w:keepNext/>
      </w:pPr>
      <w:r>
        <w:t>Why BlackRock again?</w:t>
      </w:r>
    </w:p>
    <w:p>
      <w:pPr>
        <w:spacing w:after="80" w:line="245" w:lineRule="auto"/>
      </w:pPr>
      <w:r>
        <w:t>Suggested answer: I know BlackRock well, but I am not looking to return simply because it is familiar. My time outside BlackRock has broadened my experience materially across Private Credit at Pemberton, energy trading at EDF, hedge-fund technology at Brevan Howard and hands-on AWS platform design at illio. This role is attractive because it brings those experiences together in a different part of the firm: Preqin, private markets data and a player-coach data engineering role. I can bring knowledge of BlackRock standards while also bringing approaches I have learned externally.</w:t>
      </w:r>
    </w:p>
    <w:p>
      <w:pPr>
        <w:pStyle w:val="Heading2"/>
        <w:keepNext/>
      </w:pPr>
      <w:r>
        <w:t>Why Preqin / Company Intelligence?</w:t>
      </w:r>
    </w:p>
    <w:p>
      <w:pPr>
        <w:spacing w:after="80" w:line="245" w:lineRule="auto"/>
      </w:pPr>
      <w:r>
        <w:t>Suggested answer: Private markets have a real data-engineering problem because the underlying information is less standardized and less transparent than public markets. Company Intelligence is interesting because it connects company, deal, ownership, fund and performance data, which means engineering quality directly affects sourcing, due diligence, valuation and analytics. My Pemberton experience gives me relevant Private Credit context, while my wider background gives me the platform and data-engineering skills to build reliable, reusable datasets at scale.</w:t>
      </w:r>
    </w:p>
    <w:p>
      <w:pPr>
        <w:pStyle w:val="Heading2"/>
        <w:keepNext/>
      </w:pPr>
      <w:r>
        <w:t>Why move from contracts to a permanent role?</w:t>
      </w:r>
    </w:p>
    <w:p>
      <w:pPr>
        <w:spacing w:after="80" w:line="245" w:lineRule="auto"/>
      </w:pPr>
      <w:r>
        <w:t>Suggested answer: The recent contract roles gave me the opportunity to broaden my experience quickly across Private Credit, energy trading and different platform stacks. I am now interested in a role where I can own a platform over a longer horizon, develop a team, improve engineering standards over time and see the impact of architectural decisions through multiple product cycles. That is particularly attractive in a role with both hands-on and leadership responsibility.</w:t>
      </w:r>
    </w:p>
    <w:p>
      <w:pPr>
        <w:pStyle w:val="Heading2"/>
        <w:keepNext/>
      </w:pPr>
      <w:r>
        <w:t>Why are you leaving / why are you available?</w:t>
      </w:r>
    </w:p>
    <w:p>
      <w:pPr>
        <w:spacing w:after="80" w:line="245" w:lineRule="auto"/>
      </w:pPr>
      <w:r>
        <w:t>Keep this concise and factual. Focus on the next role rather than criticism of any previous employer. The positive story is long-term ownership, private markets data, leadership and a strong match to your technical background.</w:t>
      </w:r>
    </w:p>
    <w:p>
      <w:pPr>
        <w:pStyle w:val="Heading2"/>
        <w:keepNext/>
      </w:pPr>
      <w:r>
        <w:t>You have held senior roles. How hands-on are you?</w:t>
      </w:r>
    </w:p>
    <w:p>
      <w:pPr>
        <w:spacing w:after="80" w:line="245" w:lineRule="auto"/>
      </w:pPr>
      <w:r>
        <w:t>Suggested answer: Very hands-on. I have led teams, but my leadership style is based on technical credibility. I still design systems, review code, troubleshoot production issues and work through data-model and architecture decisions. The player-coach description is one of the main reasons this role appeals to me.</w:t>
      </w:r>
    </w:p>
    <w:p>
      <w:pPr>
        <w:pStyle w:val="Heading2"/>
        <w:keepNext/>
      </w:pPr>
      <w:r>
        <w:t>What changed since your previous BlackRock role?</w:t>
      </w:r>
    </w:p>
    <w:p>
      <w:pPr>
        <w:spacing w:after="80" w:line="245" w:lineRule="auto"/>
      </w:pPr>
      <w:r>
        <w:t>Suggested answer: I have broadened my cloud and data-platform experience significantly. I have since designed AWS serverless and orchestration platforms, delivered Private Credit analytics, worked in energy trading, used Snowflake in front-office environments and worked with newer orchestration and AI-assisted engineering approaches. I would return with a wider view of how different firms solve similar data problems.</w:t>
      </w:r>
    </w:p>
    <w:p>
      <w:pPr>
        <w:pStyle w:val="Heading1"/>
        <w:keepNext/>
      </w:pPr>
      <w:r>
        <w:t>10. Private Markets and Company Intelligence Primer</w:t>
      </w:r>
    </w:p>
    <w:tbl>
      <w:tblPr>
        <w:tblStyle w:val="TableGrid"/>
        <w:tblW w:type="auto" w:w="0"/>
        <w:jc w:val="center"/>
        <w:tblLook w:firstColumn="1" w:firstRow="1" w:lastColumn="0" w:lastRow="0" w:noHBand="0" w:noVBand="1" w:val="04A0"/>
      </w:tblPr>
      <w:tblGrid>
        <w:gridCol w:w="5227"/>
        <w:gridCol w:w="5227"/>
      </w:tblGrid>
      <w:tr>
        <w:trPr>
          <w:cantSplit/>
        </w:trPr>
        <w:tc>
          <w:tcPr>
            <w:tcW w:type="dxa" w:w="2304"/>
            <w:shd w:fill="18365D"/>
            <w:vAlign w:val="center"/>
            <w:tcMar>
              <w:top w:w="90" w:type="dxa"/>
              <w:start w:w="110" w:type="dxa"/>
              <w:bottom w:w="90" w:type="dxa"/>
              <w:end w:w="110" w:type="dxa"/>
            </w:tcMar>
          </w:tcPr>
          <w:p>
            <w:r>
              <w:rPr>
                <w:b/>
                <w:color w:val="FFFFFF"/>
              </w:rPr>
              <w:t>Term</w:t>
            </w:r>
          </w:p>
        </w:tc>
        <w:tc>
          <w:tcPr>
            <w:tcW w:type="dxa" w:w="8496"/>
            <w:shd w:fill="18365D"/>
            <w:vAlign w:val="center"/>
            <w:tcMar>
              <w:top w:w="90" w:type="dxa"/>
              <w:start w:w="110" w:type="dxa"/>
              <w:bottom w:w="90" w:type="dxa"/>
              <w:end w:w="110" w:type="dxa"/>
            </w:tcMar>
          </w:tcPr>
          <w:p>
            <w:r>
              <w:rPr>
                <w:b/>
                <w:color w:val="FFFFFF"/>
              </w:rPr>
              <w:t>Interview-level definition</w:t>
            </w:r>
          </w:p>
        </w:tc>
      </w:tr>
      <w:tr>
        <w:trPr>
          <w:cantSplit/>
        </w:trPr>
        <w:tc>
          <w:tcPr>
            <w:tcW w:type="dxa" w:w="2304"/>
            <w:tcMar>
              <w:top w:w="90" w:type="dxa"/>
              <w:start w:w="110" w:type="dxa"/>
              <w:bottom w:w="90" w:type="dxa"/>
              <w:end w:w="110" w:type="dxa"/>
            </w:tcMar>
            <w:vAlign w:val="top"/>
          </w:tcPr>
          <w:p>
            <w:r>
              <w:t>GP</w:t>
            </w:r>
          </w:p>
        </w:tc>
        <w:tc>
          <w:tcPr>
            <w:tcW w:type="dxa" w:w="8496"/>
            <w:tcMar>
              <w:top w:w="90" w:type="dxa"/>
              <w:start w:w="110" w:type="dxa"/>
              <w:bottom w:w="90" w:type="dxa"/>
              <w:end w:w="110" w:type="dxa"/>
            </w:tcMar>
            <w:vAlign w:val="top"/>
          </w:tcPr>
          <w:p>
            <w:r>
              <w:t>General Partner; manages a private-market fund and makes investment decisions.</w:t>
            </w:r>
          </w:p>
        </w:tc>
      </w:tr>
      <w:tr>
        <w:trPr>
          <w:cantSplit/>
        </w:trPr>
        <w:tc>
          <w:tcPr>
            <w:tcW w:type="dxa" w:w="2304"/>
            <w:tcMar>
              <w:top w:w="90" w:type="dxa"/>
              <w:start w:w="110" w:type="dxa"/>
              <w:bottom w:w="90" w:type="dxa"/>
              <w:end w:w="110" w:type="dxa"/>
            </w:tcMar>
            <w:vAlign w:val="top"/>
          </w:tcPr>
          <w:p>
            <w:r>
              <w:t>LP</w:t>
            </w:r>
          </w:p>
        </w:tc>
        <w:tc>
          <w:tcPr>
            <w:tcW w:type="dxa" w:w="8496"/>
            <w:tcMar>
              <w:top w:w="90" w:type="dxa"/>
              <w:start w:w="110" w:type="dxa"/>
              <w:bottom w:w="90" w:type="dxa"/>
              <w:end w:w="110" w:type="dxa"/>
            </w:tcMar>
            <w:vAlign w:val="top"/>
          </w:tcPr>
          <w:p>
            <w:r>
              <w:t>Limited Partner; investor in a fund, such as a pension fund, insurer, sovereign wealth fund or family office.</w:t>
            </w:r>
          </w:p>
        </w:tc>
      </w:tr>
      <w:tr>
        <w:trPr>
          <w:cantSplit/>
        </w:trPr>
        <w:tc>
          <w:tcPr>
            <w:tcW w:type="dxa" w:w="2304"/>
            <w:tcMar>
              <w:top w:w="90" w:type="dxa"/>
              <w:start w:w="110" w:type="dxa"/>
              <w:bottom w:w="90" w:type="dxa"/>
              <w:end w:w="110" w:type="dxa"/>
            </w:tcMar>
            <w:vAlign w:val="top"/>
          </w:tcPr>
          <w:p>
            <w:r>
              <w:t>Portfolio company</w:t>
            </w:r>
          </w:p>
        </w:tc>
        <w:tc>
          <w:tcPr>
            <w:tcW w:type="dxa" w:w="8496"/>
            <w:tcMar>
              <w:top w:w="90" w:type="dxa"/>
              <w:start w:w="110" w:type="dxa"/>
              <w:bottom w:w="90" w:type="dxa"/>
              <w:end w:w="110" w:type="dxa"/>
            </w:tcMar>
            <w:vAlign w:val="top"/>
          </w:tcPr>
          <w:p>
            <w:r>
              <w:t>Private company held by a fund or investment vehicle.</w:t>
            </w:r>
          </w:p>
        </w:tc>
      </w:tr>
      <w:tr>
        <w:trPr>
          <w:cantSplit/>
        </w:trPr>
        <w:tc>
          <w:tcPr>
            <w:tcW w:type="dxa" w:w="2304"/>
            <w:tcMar>
              <w:top w:w="90" w:type="dxa"/>
              <w:start w:w="110" w:type="dxa"/>
              <w:bottom w:w="90" w:type="dxa"/>
              <w:end w:w="110" w:type="dxa"/>
            </w:tcMar>
            <w:vAlign w:val="top"/>
          </w:tcPr>
          <w:p>
            <w:r>
              <w:t>Deal / transaction</w:t>
            </w:r>
          </w:p>
        </w:tc>
        <w:tc>
          <w:tcPr>
            <w:tcW w:type="dxa" w:w="8496"/>
            <w:tcMar>
              <w:top w:w="90" w:type="dxa"/>
              <w:start w:w="110" w:type="dxa"/>
              <w:bottom w:w="90" w:type="dxa"/>
              <w:end w:w="110" w:type="dxa"/>
            </w:tcMar>
            <w:vAlign w:val="top"/>
          </w:tcPr>
          <w:p>
            <w:r>
              <w:t>Investment, acquisition, financing round, exit or other capital event involving a company.</w:t>
            </w:r>
          </w:p>
        </w:tc>
      </w:tr>
      <w:tr>
        <w:trPr>
          <w:cantSplit/>
        </w:trPr>
        <w:tc>
          <w:tcPr>
            <w:tcW w:type="dxa" w:w="2304"/>
            <w:tcMar>
              <w:top w:w="90" w:type="dxa"/>
              <w:start w:w="110" w:type="dxa"/>
              <w:bottom w:w="90" w:type="dxa"/>
              <w:end w:w="110" w:type="dxa"/>
            </w:tcMar>
            <w:vAlign w:val="top"/>
          </w:tcPr>
          <w:p>
            <w:r>
              <w:t>Ownership / cap table</w:t>
            </w:r>
          </w:p>
        </w:tc>
        <w:tc>
          <w:tcPr>
            <w:tcW w:type="dxa" w:w="8496"/>
            <w:tcMar>
              <w:top w:w="90" w:type="dxa"/>
              <w:start w:w="110" w:type="dxa"/>
              <w:bottom w:w="90" w:type="dxa"/>
              <w:end w:w="110" w:type="dxa"/>
            </w:tcMar>
            <w:vAlign w:val="top"/>
          </w:tcPr>
          <w:p>
            <w:r>
              <w:t>Who owns the company and in what proportion or security class, often changing over time.</w:t>
            </w:r>
          </w:p>
        </w:tc>
      </w:tr>
      <w:tr>
        <w:trPr>
          <w:cantSplit/>
        </w:trPr>
        <w:tc>
          <w:tcPr>
            <w:tcW w:type="dxa" w:w="2304"/>
            <w:tcMar>
              <w:top w:w="90" w:type="dxa"/>
              <w:start w:w="110" w:type="dxa"/>
              <w:bottom w:w="90" w:type="dxa"/>
              <w:end w:w="110" w:type="dxa"/>
            </w:tcMar>
            <w:vAlign w:val="top"/>
          </w:tcPr>
          <w:p>
            <w:r>
              <w:t>Vintage</w:t>
            </w:r>
          </w:p>
        </w:tc>
        <w:tc>
          <w:tcPr>
            <w:tcW w:type="dxa" w:w="8496"/>
            <w:tcMar>
              <w:top w:w="90" w:type="dxa"/>
              <w:start w:w="110" w:type="dxa"/>
              <w:bottom w:w="90" w:type="dxa"/>
              <w:end w:w="110" w:type="dxa"/>
            </w:tcMar>
            <w:vAlign w:val="top"/>
          </w:tcPr>
          <w:p>
            <w:r>
              <w:t>Year in which a fund begins investing or is formed; commonly used for peer comparisons.</w:t>
            </w:r>
          </w:p>
        </w:tc>
      </w:tr>
      <w:tr>
        <w:trPr>
          <w:cantSplit/>
        </w:trPr>
        <w:tc>
          <w:tcPr>
            <w:tcW w:type="dxa" w:w="2304"/>
            <w:tcMar>
              <w:top w:w="90" w:type="dxa"/>
              <w:start w:w="110" w:type="dxa"/>
              <w:bottom w:w="90" w:type="dxa"/>
              <w:end w:w="110" w:type="dxa"/>
            </w:tcMar>
            <w:vAlign w:val="top"/>
          </w:tcPr>
          <w:p>
            <w:r>
              <w:t>Commitment</w:t>
            </w:r>
          </w:p>
        </w:tc>
        <w:tc>
          <w:tcPr>
            <w:tcW w:type="dxa" w:w="8496"/>
            <w:tcMar>
              <w:top w:w="90" w:type="dxa"/>
              <w:start w:w="110" w:type="dxa"/>
              <w:bottom w:w="90" w:type="dxa"/>
              <w:end w:w="110" w:type="dxa"/>
            </w:tcMar>
            <w:vAlign w:val="top"/>
          </w:tcPr>
          <w:p>
            <w:r>
              <w:t>Capital an LP agrees to provide to a fund.</w:t>
            </w:r>
          </w:p>
        </w:tc>
      </w:tr>
      <w:tr>
        <w:trPr>
          <w:cantSplit/>
        </w:trPr>
        <w:tc>
          <w:tcPr>
            <w:tcW w:type="dxa" w:w="2304"/>
            <w:tcMar>
              <w:top w:w="90" w:type="dxa"/>
              <w:start w:w="110" w:type="dxa"/>
              <w:bottom w:w="90" w:type="dxa"/>
              <w:end w:w="110" w:type="dxa"/>
            </w:tcMar>
            <w:vAlign w:val="top"/>
          </w:tcPr>
          <w:p>
            <w:r>
              <w:t>Called / paid-in capital</w:t>
            </w:r>
          </w:p>
        </w:tc>
        <w:tc>
          <w:tcPr>
            <w:tcW w:type="dxa" w:w="8496"/>
            <w:tcMar>
              <w:top w:w="90" w:type="dxa"/>
              <w:start w:w="110" w:type="dxa"/>
              <w:bottom w:w="90" w:type="dxa"/>
              <w:end w:w="110" w:type="dxa"/>
            </w:tcMar>
            <w:vAlign w:val="top"/>
          </w:tcPr>
          <w:p>
            <w:r>
              <w:t>Capital actually drawn from investors.</w:t>
            </w:r>
          </w:p>
        </w:tc>
      </w:tr>
      <w:tr>
        <w:trPr>
          <w:cantSplit/>
        </w:trPr>
        <w:tc>
          <w:tcPr>
            <w:tcW w:type="dxa" w:w="2304"/>
            <w:tcMar>
              <w:top w:w="90" w:type="dxa"/>
              <w:start w:w="110" w:type="dxa"/>
              <w:bottom w:w="90" w:type="dxa"/>
              <w:end w:w="110" w:type="dxa"/>
            </w:tcMar>
            <w:vAlign w:val="top"/>
          </w:tcPr>
          <w:p>
            <w:r>
              <w:t>Distribution</w:t>
            </w:r>
          </w:p>
        </w:tc>
        <w:tc>
          <w:tcPr>
            <w:tcW w:type="dxa" w:w="8496"/>
            <w:tcMar>
              <w:top w:w="90" w:type="dxa"/>
              <w:start w:w="110" w:type="dxa"/>
              <w:bottom w:w="90" w:type="dxa"/>
              <w:end w:w="110" w:type="dxa"/>
            </w:tcMar>
            <w:vAlign w:val="top"/>
          </w:tcPr>
          <w:p>
            <w:r>
              <w:t>Capital returned from the fund to LPs.</w:t>
            </w:r>
          </w:p>
        </w:tc>
      </w:tr>
      <w:tr>
        <w:trPr>
          <w:cantSplit/>
        </w:trPr>
        <w:tc>
          <w:tcPr>
            <w:tcW w:type="dxa" w:w="2304"/>
            <w:tcMar>
              <w:top w:w="90" w:type="dxa"/>
              <w:start w:w="110" w:type="dxa"/>
              <w:bottom w:w="90" w:type="dxa"/>
              <w:end w:w="110" w:type="dxa"/>
            </w:tcMar>
            <w:vAlign w:val="top"/>
          </w:tcPr>
          <w:p>
            <w:r>
              <w:t>NAV</w:t>
            </w:r>
          </w:p>
        </w:tc>
        <w:tc>
          <w:tcPr>
            <w:tcW w:type="dxa" w:w="8496"/>
            <w:tcMar>
              <w:top w:w="90" w:type="dxa"/>
              <w:start w:w="110" w:type="dxa"/>
              <w:bottom w:w="90" w:type="dxa"/>
              <w:end w:w="110" w:type="dxa"/>
            </w:tcMar>
            <w:vAlign w:val="top"/>
          </w:tcPr>
          <w:p>
            <w:r>
              <w:t>Net asset value of remaining investments.</w:t>
            </w:r>
          </w:p>
        </w:tc>
      </w:tr>
      <w:tr>
        <w:trPr>
          <w:cantSplit/>
        </w:trPr>
        <w:tc>
          <w:tcPr>
            <w:tcW w:type="dxa" w:w="2304"/>
            <w:tcMar>
              <w:top w:w="90" w:type="dxa"/>
              <w:start w:w="110" w:type="dxa"/>
              <w:bottom w:w="90" w:type="dxa"/>
              <w:end w:w="110" w:type="dxa"/>
            </w:tcMar>
            <w:vAlign w:val="top"/>
          </w:tcPr>
          <w:p>
            <w:r>
              <w:t>TVPI</w:t>
            </w:r>
          </w:p>
        </w:tc>
        <w:tc>
          <w:tcPr>
            <w:tcW w:type="dxa" w:w="8496"/>
            <w:tcMar>
              <w:top w:w="90" w:type="dxa"/>
              <w:start w:w="110" w:type="dxa"/>
              <w:bottom w:w="90" w:type="dxa"/>
              <w:end w:w="110" w:type="dxa"/>
            </w:tcMar>
            <w:vAlign w:val="top"/>
          </w:tcPr>
          <w:p>
            <w:r>
              <w:t>Total Value to Paid-In: distributions plus NAV divided by paid-in capital.</w:t>
            </w:r>
          </w:p>
        </w:tc>
      </w:tr>
      <w:tr>
        <w:trPr>
          <w:cantSplit/>
        </w:trPr>
        <w:tc>
          <w:tcPr>
            <w:tcW w:type="dxa" w:w="2304"/>
            <w:tcMar>
              <w:top w:w="90" w:type="dxa"/>
              <w:start w:w="110" w:type="dxa"/>
              <w:bottom w:w="90" w:type="dxa"/>
              <w:end w:w="110" w:type="dxa"/>
            </w:tcMar>
            <w:vAlign w:val="top"/>
          </w:tcPr>
          <w:p>
            <w:r>
              <w:t>DPI</w:t>
            </w:r>
          </w:p>
        </w:tc>
        <w:tc>
          <w:tcPr>
            <w:tcW w:type="dxa" w:w="8496"/>
            <w:tcMar>
              <w:top w:w="90" w:type="dxa"/>
              <w:start w:w="110" w:type="dxa"/>
              <w:bottom w:w="90" w:type="dxa"/>
              <w:end w:w="110" w:type="dxa"/>
            </w:tcMar>
            <w:vAlign w:val="top"/>
          </w:tcPr>
          <w:p>
            <w:r>
              <w:t>Distributions to Paid-In: realized cash returned divided by paid-in capital.</w:t>
            </w:r>
          </w:p>
        </w:tc>
      </w:tr>
      <w:tr>
        <w:trPr>
          <w:cantSplit/>
        </w:trPr>
        <w:tc>
          <w:tcPr>
            <w:tcW w:type="dxa" w:w="2304"/>
            <w:tcMar>
              <w:top w:w="90" w:type="dxa"/>
              <w:start w:w="110" w:type="dxa"/>
              <w:bottom w:w="90" w:type="dxa"/>
              <w:end w:w="110" w:type="dxa"/>
            </w:tcMar>
            <w:vAlign w:val="top"/>
          </w:tcPr>
          <w:p>
            <w:r>
              <w:t>RVPI</w:t>
            </w:r>
          </w:p>
        </w:tc>
        <w:tc>
          <w:tcPr>
            <w:tcW w:type="dxa" w:w="8496"/>
            <w:tcMar>
              <w:top w:w="90" w:type="dxa"/>
              <w:start w:w="110" w:type="dxa"/>
              <w:bottom w:w="90" w:type="dxa"/>
              <w:end w:w="110" w:type="dxa"/>
            </w:tcMar>
            <w:vAlign w:val="top"/>
          </w:tcPr>
          <w:p>
            <w:r>
              <w:t>Residual Value to Paid-In: remaining NAV divided by paid-in capital.</w:t>
            </w:r>
          </w:p>
        </w:tc>
      </w:tr>
      <w:tr>
        <w:trPr>
          <w:cantSplit/>
        </w:trPr>
        <w:tc>
          <w:tcPr>
            <w:tcW w:type="dxa" w:w="2304"/>
            <w:tcMar>
              <w:top w:w="90" w:type="dxa"/>
              <w:start w:w="110" w:type="dxa"/>
              <w:bottom w:w="90" w:type="dxa"/>
              <w:end w:w="110" w:type="dxa"/>
            </w:tcMar>
            <w:vAlign w:val="top"/>
          </w:tcPr>
          <w:p>
            <w:r>
              <w:t>IRR</w:t>
            </w:r>
          </w:p>
        </w:tc>
        <w:tc>
          <w:tcPr>
            <w:tcW w:type="dxa" w:w="8496"/>
            <w:tcMar>
              <w:top w:w="90" w:type="dxa"/>
              <w:start w:w="110" w:type="dxa"/>
              <w:bottom w:w="90" w:type="dxa"/>
              <w:end w:w="110" w:type="dxa"/>
            </w:tcMar>
            <w:vAlign w:val="top"/>
          </w:tcPr>
          <w:p>
            <w:r>
              <w:t>Discount rate that sets net present value of cash flows to zero; timing-sensitive performance measure.</w:t>
            </w:r>
          </w:p>
        </w:tc>
      </w:tr>
      <w:tr>
        <w:trPr>
          <w:cantSplit/>
        </w:trPr>
        <w:tc>
          <w:tcPr>
            <w:tcW w:type="dxa" w:w="2304"/>
            <w:tcMar>
              <w:top w:w="90" w:type="dxa"/>
              <w:start w:w="110" w:type="dxa"/>
              <w:bottom w:w="90" w:type="dxa"/>
              <w:end w:w="110" w:type="dxa"/>
            </w:tcMar>
            <w:vAlign w:val="top"/>
          </w:tcPr>
          <w:p>
            <w:r>
              <w:t>MOIC</w:t>
            </w:r>
          </w:p>
        </w:tc>
        <w:tc>
          <w:tcPr>
            <w:tcW w:type="dxa" w:w="8496"/>
            <w:tcMar>
              <w:top w:w="90" w:type="dxa"/>
              <w:start w:w="110" w:type="dxa"/>
              <w:bottom w:w="90" w:type="dxa"/>
              <w:end w:w="110" w:type="dxa"/>
            </w:tcMar>
            <w:vAlign w:val="top"/>
          </w:tcPr>
          <w:p>
            <w:r>
              <w:t>Multiple on invested capital; value relative to invested capital, less sensitive to timing than IRR.</w:t>
            </w:r>
          </w:p>
        </w:tc>
      </w:tr>
      <w:tr>
        <w:trPr>
          <w:cantSplit/>
        </w:trPr>
        <w:tc>
          <w:tcPr>
            <w:tcW w:type="dxa" w:w="2304"/>
            <w:tcMar>
              <w:top w:w="90" w:type="dxa"/>
              <w:start w:w="110" w:type="dxa"/>
              <w:bottom w:w="90" w:type="dxa"/>
              <w:end w:w="110" w:type="dxa"/>
            </w:tcMar>
            <w:vAlign w:val="top"/>
          </w:tcPr>
          <w:p>
            <w:r>
              <w:t>Dry powder</w:t>
            </w:r>
          </w:p>
        </w:tc>
        <w:tc>
          <w:tcPr>
            <w:tcW w:type="dxa" w:w="8496"/>
            <w:tcMar>
              <w:top w:w="90" w:type="dxa"/>
              <w:start w:w="110" w:type="dxa"/>
              <w:bottom w:w="90" w:type="dxa"/>
              <w:end w:w="110" w:type="dxa"/>
            </w:tcMar>
            <w:vAlign w:val="top"/>
          </w:tcPr>
          <w:p>
            <w:r>
              <w:t>Committed but not yet deployed investment capital.</w:t>
            </w:r>
          </w:p>
        </w:tc>
      </w:tr>
    </w:tbl>
    <w:p>
      <w:pPr>
        <w:pStyle w:val="Heading1"/>
        <w:keepNext/>
      </w:pPr>
      <w:r>
        <w:t>11. What Makes Private-Company Data Hard?</w:t>
      </w:r>
    </w:p>
    <w:p>
      <w:pPr>
        <w:pStyle w:val="ListBullet"/>
        <w:spacing w:after="50" w:line="240" w:lineRule="auto"/>
      </w:pPr>
      <w:r>
        <w:t>No single clean exchange feed. Data can come from filings, manager reports, research, vendors, websites, documents and manual curation.</w:t>
      </w:r>
    </w:p>
    <w:p>
      <w:pPr>
        <w:pStyle w:val="ListBullet"/>
        <w:spacing w:after="50" w:line="240" w:lineRule="auto"/>
      </w:pPr>
      <w:r>
        <w:t>Entity identity is difficult. Company names, legal entities, subsidiaries, rebrands and acquisitions create duplicate and ambiguous records.</w:t>
      </w:r>
    </w:p>
    <w:p>
      <w:pPr>
        <w:pStyle w:val="ListBullet"/>
        <w:spacing w:after="50" w:line="240" w:lineRule="auto"/>
      </w:pPr>
      <w:r>
        <w:t>Ownership is time-varying and many-to-many. A company can have multiple investors, funds and vehicles, with changing percentages over time.</w:t>
      </w:r>
    </w:p>
    <w:p>
      <w:pPr>
        <w:pStyle w:val="ListBullet"/>
        <w:spacing w:after="50" w:line="240" w:lineRule="auto"/>
      </w:pPr>
      <w:r>
        <w:t>Data arrives late and can be restated. You need observed-at and effective-at concepts so users can reconstruct what was known at a historical point.</w:t>
      </w:r>
    </w:p>
    <w:p>
      <w:pPr>
        <w:pStyle w:val="ListBullet"/>
        <w:spacing w:after="50" w:line="240" w:lineRule="auto"/>
      </w:pPr>
      <w:r>
        <w:t>Source confidence differs. The platform should preserve provenance and potentially confidence or source-priority rules rather than silently overwriting values.</w:t>
      </w:r>
    </w:p>
    <w:p>
      <w:pPr>
        <w:pStyle w:val="ListBullet"/>
        <w:spacing w:after="50" w:line="240" w:lineRule="auto"/>
      </w:pPr>
      <w:r>
        <w:t>Coverage itself is a product metric. Missing data is not always a pipeline error, but the system should make completeness and freshness measurable.</w:t>
      </w:r>
    </w:p>
    <w:p>
      <w:pPr>
        <w:pStyle w:val="ListBullet"/>
        <w:spacing w:after="50" w:line="240" w:lineRule="auto"/>
      </w:pPr>
      <w:r>
        <w:t>Data licensing and sensitivity matter. Entitlements and downstream-use restrictions can be as important as technical access controls.</w:t>
      </w:r>
    </w:p>
    <w:tbl>
      <w:tblPr>
        <w:tblW w:type="auto" w:w="0"/>
        <w:jc w:val="center"/>
        <w:tblLayout w:type="autofit"/>
        <w:tblLook w:firstColumn="1" w:firstRow="1" w:lastColumn="0" w:lastRow="0" w:noHBand="0" w:noVBand="1" w:val="04A0"/>
      </w:tblPr>
      <w:tblGrid>
        <w:gridCol w:w="10454"/>
      </w:tblGrid>
      <w:tr>
        <w:trPr>
          <w:cantSplit/>
        </w:trPr>
        <w:tc>
          <w:tcPr>
            <w:tcW w:type="dxa" w:w="10454"/>
            <w:shd w:fill="FFF2CC"/>
            <w:tcMar>
              <w:top w:w="120" w:type="dxa"/>
              <w:start w:w="140" w:type="dxa"/>
              <w:bottom w:w="120" w:type="dxa"/>
              <w:end w:w="140" w:type="dxa"/>
            </w:tcMar>
          </w:tcPr>
          <w:p>
            <w:r>
              <w:rPr>
                <w:b/>
                <w:color w:val="18365D"/>
              </w:rPr>
              <w:t>Senior design principle</w:t>
              <w:br/>
            </w:r>
            <w:r>
              <w:t>For private markets, the canonical model should not erase uncertainty. Preserve source, effective date, observation date, transformation version and lineage so that consumers can understand both the value and the evidence behind it.</w:t>
            </w:r>
          </w:p>
        </w:tc>
      </w:tr>
    </w:tbl>
    <w:p>
      <w:pPr>
        <w:pStyle w:val="Heading1"/>
        <w:keepNext/>
      </w:pPr>
      <w:r>
        <w:t>12. Analytical Data Modelling for Company Intelligence</w:t>
      </w:r>
    </w:p>
    <w:p>
      <w:pPr>
        <w:spacing w:after="80" w:line="245" w:lineRule="auto"/>
      </w:pPr>
      <w:r>
        <w:t>Start every modelling answer with grain. A good model makes the business grain explicit before choosing table names or technologies.</w:t>
      </w:r>
    </w:p>
    <w:tbl>
      <w:tblPr>
        <w:tblStyle w:val="TableGrid"/>
        <w:tblW w:type="auto" w:w="0"/>
        <w:jc w:val="center"/>
        <w:tblLook w:firstColumn="1" w:firstRow="1" w:lastColumn="0" w:lastRow="0" w:noHBand="0" w:noVBand="1" w:val="04A0"/>
      </w:tblPr>
      <w:tblGrid>
        <w:gridCol w:w="5227"/>
        <w:gridCol w:w="5227"/>
      </w:tblGrid>
      <w:tr>
        <w:trPr>
          <w:cantSplit/>
        </w:trPr>
        <w:tc>
          <w:tcPr>
            <w:tcW w:type="dxa" w:w="2592"/>
            <w:shd w:fill="18365D"/>
            <w:vAlign w:val="center"/>
            <w:tcMar>
              <w:top w:w="90" w:type="dxa"/>
              <w:start w:w="110" w:type="dxa"/>
              <w:bottom w:w="90" w:type="dxa"/>
              <w:end w:w="110" w:type="dxa"/>
            </w:tcMar>
          </w:tcPr>
          <w:p>
            <w:r>
              <w:rPr>
                <w:b/>
                <w:color w:val="FFFFFF"/>
              </w:rPr>
              <w:t>Model element</w:t>
            </w:r>
          </w:p>
        </w:tc>
        <w:tc>
          <w:tcPr>
            <w:tcW w:type="dxa" w:w="8208"/>
            <w:shd w:fill="18365D"/>
            <w:vAlign w:val="center"/>
            <w:tcMar>
              <w:top w:w="90" w:type="dxa"/>
              <w:start w:w="110" w:type="dxa"/>
              <w:bottom w:w="90" w:type="dxa"/>
              <w:end w:w="110" w:type="dxa"/>
            </w:tcMar>
          </w:tcPr>
          <w:p>
            <w:r>
              <w:rPr>
                <w:b/>
                <w:color w:val="FFFFFF"/>
              </w:rPr>
              <w:t>Design notes</w:t>
            </w:r>
          </w:p>
        </w:tc>
      </w:tr>
      <w:tr>
        <w:trPr>
          <w:cantSplit/>
        </w:trPr>
        <w:tc>
          <w:tcPr>
            <w:tcW w:type="dxa" w:w="2592"/>
            <w:tcMar>
              <w:top w:w="90" w:type="dxa"/>
              <w:start w:w="110" w:type="dxa"/>
              <w:bottom w:w="90" w:type="dxa"/>
              <w:end w:w="110" w:type="dxa"/>
            </w:tcMar>
            <w:vAlign w:val="top"/>
          </w:tcPr>
          <w:p>
            <w:r>
              <w:t>dim_company</w:t>
            </w:r>
          </w:p>
        </w:tc>
        <w:tc>
          <w:tcPr>
            <w:tcW w:type="dxa" w:w="8208"/>
            <w:tcMar>
              <w:top w:w="90" w:type="dxa"/>
              <w:start w:w="110" w:type="dxa"/>
              <w:bottom w:w="90" w:type="dxa"/>
              <w:end w:w="110" w:type="dxa"/>
            </w:tcMar>
            <w:vAlign w:val="top"/>
          </w:tcPr>
          <w:p>
            <w:r>
              <w:t>One row per canonical company version. Use stable company_id; attributes such as name, sector, geography, status; consider SCD Type 2 for historically important changes.</w:t>
            </w:r>
          </w:p>
        </w:tc>
      </w:tr>
      <w:tr>
        <w:trPr>
          <w:cantSplit/>
        </w:trPr>
        <w:tc>
          <w:tcPr>
            <w:tcW w:type="dxa" w:w="2592"/>
            <w:tcMar>
              <w:top w:w="90" w:type="dxa"/>
              <w:start w:w="110" w:type="dxa"/>
              <w:bottom w:w="90" w:type="dxa"/>
              <w:end w:w="110" w:type="dxa"/>
            </w:tcMar>
            <w:vAlign w:val="top"/>
          </w:tcPr>
          <w:p>
            <w:r>
              <w:t>dim_fund</w:t>
            </w:r>
          </w:p>
        </w:tc>
        <w:tc>
          <w:tcPr>
            <w:tcW w:type="dxa" w:w="8208"/>
            <w:tcMar>
              <w:top w:w="90" w:type="dxa"/>
              <w:start w:w="110" w:type="dxa"/>
              <w:bottom w:w="90" w:type="dxa"/>
              <w:end w:w="110" w:type="dxa"/>
            </w:tcMar>
            <w:vAlign w:val="top"/>
          </w:tcPr>
          <w:p>
            <w:r>
              <w:t>Fund identity, strategy, vintage, geography, manager relationship and status.</w:t>
            </w:r>
          </w:p>
        </w:tc>
      </w:tr>
      <w:tr>
        <w:trPr>
          <w:cantSplit/>
        </w:trPr>
        <w:tc>
          <w:tcPr>
            <w:tcW w:type="dxa" w:w="2592"/>
            <w:tcMar>
              <w:top w:w="90" w:type="dxa"/>
              <w:start w:w="110" w:type="dxa"/>
              <w:bottom w:w="90" w:type="dxa"/>
              <w:end w:w="110" w:type="dxa"/>
            </w:tcMar>
            <w:vAlign w:val="top"/>
          </w:tcPr>
          <w:p>
            <w:r>
              <w:t>dim_manager</w:t>
            </w:r>
          </w:p>
        </w:tc>
        <w:tc>
          <w:tcPr>
            <w:tcW w:type="dxa" w:w="8208"/>
            <w:tcMar>
              <w:top w:w="90" w:type="dxa"/>
              <w:start w:w="110" w:type="dxa"/>
              <w:bottom w:w="90" w:type="dxa"/>
              <w:end w:w="110" w:type="dxa"/>
            </w:tcMar>
            <w:vAlign w:val="top"/>
          </w:tcPr>
          <w:p>
            <w:r>
              <w:t>GP / investment manager entity and attributes.</w:t>
            </w:r>
          </w:p>
        </w:tc>
      </w:tr>
      <w:tr>
        <w:trPr>
          <w:cantSplit/>
        </w:trPr>
        <w:tc>
          <w:tcPr>
            <w:tcW w:type="dxa" w:w="2592"/>
            <w:tcMar>
              <w:top w:w="90" w:type="dxa"/>
              <w:start w:w="110" w:type="dxa"/>
              <w:bottom w:w="90" w:type="dxa"/>
              <w:end w:w="110" w:type="dxa"/>
            </w:tcMar>
            <w:vAlign w:val="top"/>
          </w:tcPr>
          <w:p>
            <w:r>
              <w:t>fact_deal</w:t>
            </w:r>
          </w:p>
        </w:tc>
        <w:tc>
          <w:tcPr>
            <w:tcW w:type="dxa" w:w="8208"/>
            <w:tcMar>
              <w:top w:w="90" w:type="dxa"/>
              <w:start w:w="110" w:type="dxa"/>
              <w:bottom w:w="90" w:type="dxa"/>
              <w:end w:w="110" w:type="dxa"/>
            </w:tcMar>
            <w:vAlign w:val="top"/>
          </w:tcPr>
          <w:p>
            <w:r>
              <w:t>One row per deal or deal event at an agreed grain; company_id, deal date, deal type, amount, valuation, currency, source and confidence.</w:t>
            </w:r>
          </w:p>
        </w:tc>
      </w:tr>
      <w:tr>
        <w:trPr>
          <w:cantSplit/>
        </w:trPr>
        <w:tc>
          <w:tcPr>
            <w:tcW w:type="dxa" w:w="2592"/>
            <w:tcMar>
              <w:top w:w="90" w:type="dxa"/>
              <w:start w:w="110" w:type="dxa"/>
              <w:bottom w:w="90" w:type="dxa"/>
              <w:end w:w="110" w:type="dxa"/>
            </w:tcMar>
            <w:vAlign w:val="top"/>
          </w:tcPr>
          <w:p>
            <w:r>
              <w:t>bridge_company_owner</w:t>
            </w:r>
          </w:p>
        </w:tc>
        <w:tc>
          <w:tcPr>
            <w:tcW w:type="dxa" w:w="8208"/>
            <w:tcMar>
              <w:top w:w="90" w:type="dxa"/>
              <w:start w:w="110" w:type="dxa"/>
              <w:bottom w:w="90" w:type="dxa"/>
              <w:end w:w="110" w:type="dxa"/>
            </w:tcMar>
            <w:vAlign w:val="top"/>
          </w:tcPr>
          <w:p>
            <w:r>
              <w:t>Many-to-many company-to-owner relationship with effective_from/effective_to and ownership attributes.</w:t>
            </w:r>
          </w:p>
        </w:tc>
      </w:tr>
      <w:tr>
        <w:trPr>
          <w:cantSplit/>
        </w:trPr>
        <w:tc>
          <w:tcPr>
            <w:tcW w:type="dxa" w:w="2592"/>
            <w:tcMar>
              <w:top w:w="90" w:type="dxa"/>
              <w:start w:w="110" w:type="dxa"/>
              <w:bottom w:w="90" w:type="dxa"/>
              <w:end w:w="110" w:type="dxa"/>
            </w:tcMar>
            <w:vAlign w:val="top"/>
          </w:tcPr>
          <w:p>
            <w:r>
              <w:t>fact_company_financial</w:t>
            </w:r>
          </w:p>
        </w:tc>
        <w:tc>
          <w:tcPr>
            <w:tcW w:type="dxa" w:w="8208"/>
            <w:tcMar>
              <w:top w:w="90" w:type="dxa"/>
              <w:start w:w="110" w:type="dxa"/>
              <w:bottom w:w="90" w:type="dxa"/>
              <w:end w:w="110" w:type="dxa"/>
            </w:tcMar>
            <w:vAlign w:val="top"/>
          </w:tcPr>
          <w:p>
            <w:r>
              <w:t>Company-period metric grain, e.g. company_id + period_end + metric_id + accounting basis + source.</w:t>
            </w:r>
          </w:p>
        </w:tc>
      </w:tr>
      <w:tr>
        <w:trPr>
          <w:cantSplit/>
        </w:trPr>
        <w:tc>
          <w:tcPr>
            <w:tcW w:type="dxa" w:w="2592"/>
            <w:tcMar>
              <w:top w:w="90" w:type="dxa"/>
              <w:start w:w="110" w:type="dxa"/>
              <w:bottom w:w="90" w:type="dxa"/>
              <w:end w:w="110" w:type="dxa"/>
            </w:tcMar>
            <w:vAlign w:val="top"/>
          </w:tcPr>
          <w:p>
            <w:r>
              <w:t>fact_valuation</w:t>
            </w:r>
          </w:p>
        </w:tc>
        <w:tc>
          <w:tcPr>
            <w:tcW w:type="dxa" w:w="8208"/>
            <w:tcMar>
              <w:top w:w="90" w:type="dxa"/>
              <w:start w:w="110" w:type="dxa"/>
              <w:bottom w:w="90" w:type="dxa"/>
              <w:end w:w="110" w:type="dxa"/>
            </w:tcMar>
            <w:vAlign w:val="top"/>
          </w:tcPr>
          <w:p>
            <w:r>
              <w:t>Valuation observation or valuation event with method, value, currency, effective date, observed date and provenance.</w:t>
            </w:r>
          </w:p>
        </w:tc>
      </w:tr>
      <w:tr>
        <w:trPr>
          <w:cantSplit/>
        </w:trPr>
        <w:tc>
          <w:tcPr>
            <w:tcW w:type="dxa" w:w="2592"/>
            <w:tcMar>
              <w:top w:w="90" w:type="dxa"/>
              <w:start w:w="110" w:type="dxa"/>
              <w:bottom w:w="90" w:type="dxa"/>
              <w:end w:w="110" w:type="dxa"/>
            </w:tcMar>
            <w:vAlign w:val="top"/>
          </w:tcPr>
          <w:p>
            <w:r>
              <w:t>fact_fund_performance</w:t>
            </w:r>
          </w:p>
        </w:tc>
        <w:tc>
          <w:tcPr>
            <w:tcW w:type="dxa" w:w="8208"/>
            <w:tcMar>
              <w:top w:w="90" w:type="dxa"/>
              <w:start w:w="110" w:type="dxa"/>
              <w:bottom w:w="90" w:type="dxa"/>
              <w:end w:w="110" w:type="dxa"/>
            </w:tcMar>
            <w:vAlign w:val="top"/>
          </w:tcPr>
          <w:p>
            <w:r>
              <w:t>Fund-period performance metrics such as NAV, contributions, distributions, TVPI/DPI/RVPI/IRR with as-of date and methodology.</w:t>
            </w:r>
          </w:p>
        </w:tc>
      </w:tr>
      <w:tr>
        <w:trPr>
          <w:cantSplit/>
        </w:trPr>
        <w:tc>
          <w:tcPr>
            <w:tcW w:type="dxa" w:w="2592"/>
            <w:tcMar>
              <w:top w:w="90" w:type="dxa"/>
              <w:start w:w="110" w:type="dxa"/>
              <w:bottom w:w="90" w:type="dxa"/>
              <w:end w:w="110" w:type="dxa"/>
            </w:tcMar>
            <w:vAlign w:val="top"/>
          </w:tcPr>
          <w:p>
            <w:r>
              <w:t>source_record / lineage</w:t>
            </w:r>
          </w:p>
        </w:tc>
        <w:tc>
          <w:tcPr>
            <w:tcW w:type="dxa" w:w="8208"/>
            <w:tcMar>
              <w:top w:w="90" w:type="dxa"/>
              <w:start w:w="110" w:type="dxa"/>
              <w:bottom w:w="90" w:type="dxa"/>
              <w:end w:w="110" w:type="dxa"/>
            </w:tcMar>
            <w:vAlign w:val="top"/>
          </w:tcPr>
          <w:p>
            <w:r>
              <w:t>Source document or provider record, ingestion timestamp, hash/version, extraction method and link to canonical records.</w:t>
            </w:r>
          </w:p>
        </w:tc>
      </w:tr>
      <w:tr>
        <w:trPr>
          <w:cantSplit/>
        </w:trPr>
        <w:tc>
          <w:tcPr>
            <w:tcW w:type="dxa" w:w="2592"/>
            <w:tcMar>
              <w:top w:w="90" w:type="dxa"/>
              <w:start w:w="110" w:type="dxa"/>
              <w:bottom w:w="90" w:type="dxa"/>
              <w:end w:w="110" w:type="dxa"/>
            </w:tcMar>
            <w:vAlign w:val="top"/>
          </w:tcPr>
          <w:p>
            <w:r>
              <w:t>entity_match_audit</w:t>
            </w:r>
          </w:p>
        </w:tc>
        <w:tc>
          <w:tcPr>
            <w:tcW w:type="dxa" w:w="8208"/>
            <w:tcMar>
              <w:top w:w="90" w:type="dxa"/>
              <w:start w:w="110" w:type="dxa"/>
              <w:bottom w:w="90" w:type="dxa"/>
              <w:end w:w="110" w:type="dxa"/>
            </w:tcMar>
            <w:vAlign w:val="top"/>
          </w:tcPr>
          <w:p>
            <w:r>
              <w:t>Candidate matches, score/rules, decision, reviewer where applicable, and model/rule version for explainable entity resolution.</w:t>
            </w:r>
          </w:p>
        </w:tc>
      </w:tr>
    </w:tbl>
    <w:p>
      <w:pPr>
        <w:pStyle w:val="Heading2"/>
        <w:keepNext/>
      </w:pPr>
      <w:r>
        <w:t>Point-in-Time and Bitemporal Thinking</w:t>
      </w:r>
    </w:p>
    <w:p>
      <w:pPr>
        <w:pStyle w:val="ListBullet"/>
        <w:spacing w:after="50" w:line="240" w:lineRule="auto"/>
      </w:pPr>
      <w:r>
        <w:t>Effective time: when the fact was true in the business world.</w:t>
      </w:r>
    </w:p>
    <w:p>
      <w:pPr>
        <w:pStyle w:val="ListBullet"/>
        <w:spacing w:after="50" w:line="240" w:lineRule="auto"/>
      </w:pPr>
      <w:r>
        <w:t>Observation/system time: when the platform learned or stored the fact.</w:t>
      </w:r>
    </w:p>
    <w:p>
      <w:pPr>
        <w:pStyle w:val="ListBullet"/>
        <w:spacing w:after="50" w:line="240" w:lineRule="auto"/>
      </w:pPr>
      <w:r>
        <w:t>For model training and historical analytics, point-in-time datasets should use only information that would have been available at that historical date.</w:t>
      </w:r>
    </w:p>
    <w:p>
      <w:pPr>
        <w:pStyle w:val="ListBullet"/>
        <w:spacing w:after="50" w:line="240" w:lineRule="auto"/>
      </w:pPr>
      <w:r>
        <w:t>Late-arriving corrections should create a new system-time version rather than rewriting history invisibly if auditability matters.</w:t>
      </w:r>
    </w:p>
    <w:p>
      <w:pPr>
        <w:pStyle w:val="Heading2"/>
        <w:keepNext/>
      </w:pPr>
      <w:r>
        <w:t>SCD Type 1 vs Type 2</w:t>
      </w:r>
    </w:p>
    <w:p>
      <w:pPr>
        <w:spacing w:after="80" w:line="245" w:lineRule="auto"/>
      </w:pPr>
      <w:r>
        <w:t>Type 1 overwrites history and is appropriate for corrections where historical values are not analytically meaningful. Type 2 preserves versions using effective dates and current flags. For company sector, ownership, status or other historically meaningful attributes, Type 2 or an event/effective-dated model is often preferable. The choice is a business requirement, not a default fashion.</w:t>
      </w:r>
    </w:p>
    <w:p>
      <w:pPr>
        <w:pStyle w:val="Heading1"/>
        <w:keepNext/>
      </w:pPr>
      <w:r>
        <w:t>13. dbt - High-Priority Revision and Gap Strategy</w:t>
      </w:r>
    </w:p>
    <w:tbl>
      <w:tblPr>
        <w:tblW w:type="auto" w:w="0"/>
        <w:jc w:val="center"/>
        <w:tblLayout w:type="autofit"/>
        <w:tblLook w:firstColumn="1" w:firstRow="1" w:lastColumn="0" w:lastRow="0" w:noHBand="0" w:noVBand="1" w:val="04A0"/>
      </w:tblPr>
      <w:tblGrid>
        <w:gridCol w:w="10454"/>
      </w:tblGrid>
      <w:tr>
        <w:trPr>
          <w:cantSplit/>
        </w:trPr>
        <w:tc>
          <w:tcPr>
            <w:tcW w:type="dxa" w:w="10454"/>
            <w:shd w:fill="FFF2CC"/>
            <w:tcMar>
              <w:top w:w="120" w:type="dxa"/>
              <w:start w:w="140" w:type="dxa"/>
              <w:bottom w:w="120" w:type="dxa"/>
              <w:end w:w="140" w:type="dxa"/>
            </w:tcMar>
          </w:tcPr>
          <w:p>
            <w:r>
              <w:rPr>
                <w:b/>
                <w:color w:val="18365D"/>
              </w:rPr>
              <w:t>How to position your experience</w:t>
              <w:br/>
            </w:r>
            <w:r>
              <w:t>I have not used dbt as my primary production transformation framework, so I would not claim deep operational ownership. The underlying practices are very familiar to me: version-controlled SQL transformations, modular data models, automated tests, CI/CD, orchestration, documentation and data quality. I understand the dbt execution model and I would expect to become productive quickly.</w:t>
            </w:r>
          </w:p>
        </w:tc>
      </w:tr>
    </w:tbl>
    <w:tbl>
      <w:tblPr>
        <w:tblStyle w:val="TableGrid"/>
        <w:tblW w:type="auto" w:w="0"/>
        <w:jc w:val="center"/>
        <w:tblLook w:firstColumn="1" w:firstRow="1" w:lastColumn="0" w:lastRow="0" w:noHBand="0" w:noVBand="1" w:val="04A0"/>
      </w:tblPr>
      <w:tblGrid>
        <w:gridCol w:w="5227"/>
        <w:gridCol w:w="5227"/>
      </w:tblGrid>
      <w:tr>
        <w:trPr>
          <w:cantSplit/>
        </w:trPr>
        <w:tc>
          <w:tcPr>
            <w:tcW w:type="dxa" w:w="2232"/>
            <w:shd w:fill="18365D"/>
            <w:vAlign w:val="center"/>
            <w:tcMar>
              <w:top w:w="90" w:type="dxa"/>
              <w:start w:w="110" w:type="dxa"/>
              <w:bottom w:w="90" w:type="dxa"/>
              <w:end w:w="110" w:type="dxa"/>
            </w:tcMar>
          </w:tcPr>
          <w:p>
            <w:r>
              <w:rPr>
                <w:b/>
                <w:color w:val="FFFFFF"/>
              </w:rPr>
              <w:t>dbt concept</w:t>
            </w:r>
          </w:p>
        </w:tc>
        <w:tc>
          <w:tcPr>
            <w:tcW w:type="dxa" w:w="8568"/>
            <w:shd w:fill="18365D"/>
            <w:vAlign w:val="center"/>
            <w:tcMar>
              <w:top w:w="90" w:type="dxa"/>
              <w:start w:w="110" w:type="dxa"/>
              <w:bottom w:w="90" w:type="dxa"/>
              <w:end w:w="110" w:type="dxa"/>
            </w:tcMar>
          </w:tcPr>
          <w:p>
            <w:r>
              <w:rPr>
                <w:b/>
                <w:color w:val="FFFFFF"/>
              </w:rPr>
              <w:t>Interview answer</w:t>
            </w:r>
          </w:p>
        </w:tc>
      </w:tr>
      <w:tr>
        <w:trPr>
          <w:cantSplit/>
        </w:trPr>
        <w:tc>
          <w:tcPr>
            <w:tcW w:type="dxa" w:w="2232"/>
            <w:tcMar>
              <w:top w:w="90" w:type="dxa"/>
              <w:start w:w="110" w:type="dxa"/>
              <w:bottom w:w="90" w:type="dxa"/>
              <w:end w:w="110" w:type="dxa"/>
            </w:tcMar>
            <w:vAlign w:val="top"/>
          </w:tcPr>
          <w:p>
            <w:r>
              <w:t>model</w:t>
            </w:r>
          </w:p>
        </w:tc>
        <w:tc>
          <w:tcPr>
            <w:tcW w:type="dxa" w:w="8568"/>
            <w:tcMar>
              <w:top w:w="90" w:type="dxa"/>
              <w:start w:w="110" w:type="dxa"/>
              <w:bottom w:w="90" w:type="dxa"/>
              <w:end w:w="110" w:type="dxa"/>
            </w:tcMar>
            <w:vAlign w:val="top"/>
          </w:tcPr>
          <w:p>
            <w:r>
              <w:t>A SQL SELECT statement that dbt materializes as a view, table, incremental model or ephemeral relation depending on configuration.</w:t>
            </w:r>
          </w:p>
        </w:tc>
      </w:tr>
      <w:tr>
        <w:trPr>
          <w:cantSplit/>
        </w:trPr>
        <w:tc>
          <w:tcPr>
            <w:tcW w:type="dxa" w:w="2232"/>
            <w:tcMar>
              <w:top w:w="90" w:type="dxa"/>
              <w:start w:w="110" w:type="dxa"/>
              <w:bottom w:w="90" w:type="dxa"/>
              <w:end w:w="110" w:type="dxa"/>
            </w:tcMar>
            <w:vAlign w:val="top"/>
          </w:tcPr>
          <w:p>
            <w:r>
              <w:t>source()</w:t>
            </w:r>
          </w:p>
        </w:tc>
        <w:tc>
          <w:tcPr>
            <w:tcW w:type="dxa" w:w="8568"/>
            <w:tcMar>
              <w:top w:w="90" w:type="dxa"/>
              <w:start w:w="110" w:type="dxa"/>
              <w:bottom w:w="90" w:type="dxa"/>
              <w:end w:w="110" w:type="dxa"/>
            </w:tcMar>
            <w:vAlign w:val="top"/>
          </w:tcPr>
          <w:p>
            <w:r>
              <w:t>Declares an upstream source relation and enables lineage, freshness and tests.</w:t>
            </w:r>
          </w:p>
        </w:tc>
      </w:tr>
      <w:tr>
        <w:trPr>
          <w:cantSplit/>
        </w:trPr>
        <w:tc>
          <w:tcPr>
            <w:tcW w:type="dxa" w:w="2232"/>
            <w:tcMar>
              <w:top w:w="90" w:type="dxa"/>
              <w:start w:w="110" w:type="dxa"/>
              <w:bottom w:w="90" w:type="dxa"/>
              <w:end w:w="110" w:type="dxa"/>
            </w:tcMar>
            <w:vAlign w:val="top"/>
          </w:tcPr>
          <w:p>
            <w:r>
              <w:t>ref()</w:t>
            </w:r>
          </w:p>
        </w:tc>
        <w:tc>
          <w:tcPr>
            <w:tcW w:type="dxa" w:w="8568"/>
            <w:tcMar>
              <w:top w:w="90" w:type="dxa"/>
              <w:start w:w="110" w:type="dxa"/>
              <w:bottom w:w="90" w:type="dxa"/>
              <w:end w:w="110" w:type="dxa"/>
            </w:tcMar>
            <w:vAlign w:val="top"/>
          </w:tcPr>
          <w:p>
            <w:r>
              <w:t>References another dbt model and creates a dependency edge in the DAG.</w:t>
            </w:r>
          </w:p>
        </w:tc>
      </w:tr>
      <w:tr>
        <w:trPr>
          <w:cantSplit/>
        </w:trPr>
        <w:tc>
          <w:tcPr>
            <w:tcW w:type="dxa" w:w="2232"/>
            <w:tcMar>
              <w:top w:w="90" w:type="dxa"/>
              <w:start w:w="110" w:type="dxa"/>
              <w:bottom w:w="90" w:type="dxa"/>
              <w:end w:w="110" w:type="dxa"/>
            </w:tcMar>
            <w:vAlign w:val="top"/>
          </w:tcPr>
          <w:p>
            <w:r>
              <w:t>staging layer</w:t>
            </w:r>
          </w:p>
        </w:tc>
        <w:tc>
          <w:tcPr>
            <w:tcW w:type="dxa" w:w="8568"/>
            <w:tcMar>
              <w:top w:w="90" w:type="dxa"/>
              <w:start w:w="110" w:type="dxa"/>
              <w:bottom w:w="90" w:type="dxa"/>
              <w:end w:w="110" w:type="dxa"/>
            </w:tcMar>
            <w:vAlign w:val="top"/>
          </w:tcPr>
          <w:p>
            <w:r>
              <w:t>Light renaming, typing and source standardisation. Keep business logic limited.</w:t>
            </w:r>
          </w:p>
        </w:tc>
      </w:tr>
      <w:tr>
        <w:trPr>
          <w:cantSplit/>
        </w:trPr>
        <w:tc>
          <w:tcPr>
            <w:tcW w:type="dxa" w:w="2232"/>
            <w:tcMar>
              <w:top w:w="90" w:type="dxa"/>
              <w:start w:w="110" w:type="dxa"/>
              <w:bottom w:w="90" w:type="dxa"/>
              <w:end w:w="110" w:type="dxa"/>
            </w:tcMar>
            <w:vAlign w:val="top"/>
          </w:tcPr>
          <w:p>
            <w:r>
              <w:t>intermediate layer</w:t>
            </w:r>
          </w:p>
        </w:tc>
        <w:tc>
          <w:tcPr>
            <w:tcW w:type="dxa" w:w="8568"/>
            <w:tcMar>
              <w:top w:w="90" w:type="dxa"/>
              <w:start w:w="110" w:type="dxa"/>
              <w:bottom w:w="90" w:type="dxa"/>
              <w:end w:w="110" w:type="dxa"/>
            </w:tcMar>
            <w:vAlign w:val="top"/>
          </w:tcPr>
          <w:p>
            <w:r>
              <w:t>Reusable business logic, joins and transformations that support multiple marts.</w:t>
            </w:r>
          </w:p>
        </w:tc>
      </w:tr>
      <w:tr>
        <w:trPr>
          <w:cantSplit/>
        </w:trPr>
        <w:tc>
          <w:tcPr>
            <w:tcW w:type="dxa" w:w="2232"/>
            <w:tcMar>
              <w:top w:w="90" w:type="dxa"/>
              <w:start w:w="110" w:type="dxa"/>
              <w:bottom w:w="90" w:type="dxa"/>
              <w:end w:w="110" w:type="dxa"/>
            </w:tcMar>
            <w:vAlign w:val="top"/>
          </w:tcPr>
          <w:p>
            <w:r>
              <w:t>marts</w:t>
            </w:r>
          </w:p>
        </w:tc>
        <w:tc>
          <w:tcPr>
            <w:tcW w:type="dxa" w:w="8568"/>
            <w:tcMar>
              <w:top w:w="90" w:type="dxa"/>
              <w:start w:w="110" w:type="dxa"/>
              <w:bottom w:w="90" w:type="dxa"/>
              <w:end w:w="110" w:type="dxa"/>
            </w:tcMar>
            <w:vAlign w:val="top"/>
          </w:tcPr>
          <w:p>
            <w:r>
              <w:t>Business-facing datasets aligned to a domain or analytical use case.</w:t>
            </w:r>
          </w:p>
        </w:tc>
      </w:tr>
      <w:tr>
        <w:trPr>
          <w:cantSplit/>
        </w:trPr>
        <w:tc>
          <w:tcPr>
            <w:tcW w:type="dxa" w:w="2232"/>
            <w:tcMar>
              <w:top w:w="90" w:type="dxa"/>
              <w:start w:w="110" w:type="dxa"/>
              <w:bottom w:w="90" w:type="dxa"/>
              <w:end w:w="110" w:type="dxa"/>
            </w:tcMar>
            <w:vAlign w:val="top"/>
          </w:tcPr>
          <w:p>
            <w:r>
              <w:t>generic tests</w:t>
            </w:r>
          </w:p>
        </w:tc>
        <w:tc>
          <w:tcPr>
            <w:tcW w:type="dxa" w:w="8568"/>
            <w:tcMar>
              <w:top w:w="90" w:type="dxa"/>
              <w:start w:w="110" w:type="dxa"/>
              <w:bottom w:w="90" w:type="dxa"/>
              <w:end w:w="110" w:type="dxa"/>
            </w:tcMar>
            <w:vAlign w:val="top"/>
          </w:tcPr>
          <w:p>
            <w:r>
              <w:t>Reusable checks such as unique, not_null, relationships and accepted_values.</w:t>
            </w:r>
          </w:p>
        </w:tc>
      </w:tr>
      <w:tr>
        <w:trPr>
          <w:cantSplit/>
        </w:trPr>
        <w:tc>
          <w:tcPr>
            <w:tcW w:type="dxa" w:w="2232"/>
            <w:tcMar>
              <w:top w:w="90" w:type="dxa"/>
              <w:start w:w="110" w:type="dxa"/>
              <w:bottom w:w="90" w:type="dxa"/>
              <w:end w:w="110" w:type="dxa"/>
            </w:tcMar>
            <w:vAlign w:val="top"/>
          </w:tcPr>
          <w:p>
            <w:r>
              <w:t>singular tests</w:t>
            </w:r>
          </w:p>
        </w:tc>
        <w:tc>
          <w:tcPr>
            <w:tcW w:type="dxa" w:w="8568"/>
            <w:tcMar>
              <w:top w:w="90" w:type="dxa"/>
              <w:start w:w="110" w:type="dxa"/>
              <w:bottom w:w="90" w:type="dxa"/>
              <w:end w:w="110" w:type="dxa"/>
            </w:tcMar>
            <w:vAlign w:val="top"/>
          </w:tcPr>
          <w:p>
            <w:r>
              <w:t>Custom SQL queries that return failing rows.</w:t>
            </w:r>
          </w:p>
        </w:tc>
      </w:tr>
      <w:tr>
        <w:trPr>
          <w:cantSplit/>
        </w:trPr>
        <w:tc>
          <w:tcPr>
            <w:tcW w:type="dxa" w:w="2232"/>
            <w:tcMar>
              <w:top w:w="90" w:type="dxa"/>
              <w:start w:w="110" w:type="dxa"/>
              <w:bottom w:w="90" w:type="dxa"/>
              <w:end w:w="110" w:type="dxa"/>
            </w:tcMar>
            <w:vAlign w:val="top"/>
          </w:tcPr>
          <w:p>
            <w:r>
              <w:t>snapshots</w:t>
            </w:r>
          </w:p>
        </w:tc>
        <w:tc>
          <w:tcPr>
            <w:tcW w:type="dxa" w:w="8568"/>
            <w:tcMar>
              <w:top w:w="90" w:type="dxa"/>
              <w:start w:w="110" w:type="dxa"/>
              <w:bottom w:w="90" w:type="dxa"/>
              <w:end w:w="110" w:type="dxa"/>
            </w:tcMar>
            <w:vAlign w:val="top"/>
          </w:tcPr>
          <w:p>
            <w:r>
              <w:t>Capture row changes over time, often for SCD Type 2 style history.</w:t>
            </w:r>
          </w:p>
        </w:tc>
      </w:tr>
      <w:tr>
        <w:trPr>
          <w:cantSplit/>
        </w:trPr>
        <w:tc>
          <w:tcPr>
            <w:tcW w:type="dxa" w:w="2232"/>
            <w:tcMar>
              <w:top w:w="90" w:type="dxa"/>
              <w:start w:w="110" w:type="dxa"/>
              <w:bottom w:w="90" w:type="dxa"/>
              <w:end w:w="110" w:type="dxa"/>
            </w:tcMar>
            <w:vAlign w:val="top"/>
          </w:tcPr>
          <w:p>
            <w:r>
              <w:t>incremental model</w:t>
            </w:r>
          </w:p>
        </w:tc>
        <w:tc>
          <w:tcPr>
            <w:tcW w:type="dxa" w:w="8568"/>
            <w:tcMar>
              <w:top w:w="90" w:type="dxa"/>
              <w:start w:w="110" w:type="dxa"/>
              <w:bottom w:w="90" w:type="dxa"/>
              <w:end w:w="110" w:type="dxa"/>
            </w:tcMar>
            <w:vAlign w:val="top"/>
          </w:tcPr>
          <w:p>
            <w:r>
              <w:t>Processes only new/changed records after the first build; requires deterministic incremental logic and usually a unique key.</w:t>
            </w:r>
          </w:p>
        </w:tc>
      </w:tr>
      <w:tr>
        <w:trPr>
          <w:cantSplit/>
        </w:trPr>
        <w:tc>
          <w:tcPr>
            <w:tcW w:type="dxa" w:w="2232"/>
            <w:tcMar>
              <w:top w:w="90" w:type="dxa"/>
              <w:start w:w="110" w:type="dxa"/>
              <w:bottom w:w="90" w:type="dxa"/>
              <w:end w:w="110" w:type="dxa"/>
            </w:tcMar>
            <w:vAlign w:val="top"/>
          </w:tcPr>
          <w:p>
            <w:r>
              <w:t>macros / Jinja</w:t>
            </w:r>
          </w:p>
        </w:tc>
        <w:tc>
          <w:tcPr>
            <w:tcW w:type="dxa" w:w="8568"/>
            <w:tcMar>
              <w:top w:w="90" w:type="dxa"/>
              <w:start w:w="110" w:type="dxa"/>
              <w:bottom w:w="90" w:type="dxa"/>
              <w:end w:w="110" w:type="dxa"/>
            </w:tcMar>
            <w:vAlign w:val="top"/>
          </w:tcPr>
          <w:p>
            <w:r>
              <w:t>Reusable parameterized SQL generation. Useful, but overuse can make models hard to read.</w:t>
            </w:r>
          </w:p>
        </w:tc>
      </w:tr>
      <w:tr>
        <w:trPr>
          <w:cantSplit/>
        </w:trPr>
        <w:tc>
          <w:tcPr>
            <w:tcW w:type="dxa" w:w="2232"/>
            <w:tcMar>
              <w:top w:w="90" w:type="dxa"/>
              <w:start w:w="110" w:type="dxa"/>
              <w:bottom w:w="90" w:type="dxa"/>
              <w:end w:w="110" w:type="dxa"/>
            </w:tcMar>
            <w:vAlign w:val="top"/>
          </w:tcPr>
          <w:p>
            <w:r>
              <w:t>docs / lineage</w:t>
            </w:r>
          </w:p>
        </w:tc>
        <w:tc>
          <w:tcPr>
            <w:tcW w:type="dxa" w:w="8568"/>
            <w:tcMar>
              <w:top w:w="90" w:type="dxa"/>
              <w:start w:w="110" w:type="dxa"/>
              <w:bottom w:w="90" w:type="dxa"/>
              <w:end w:w="110" w:type="dxa"/>
            </w:tcMar>
            <w:vAlign w:val="top"/>
          </w:tcPr>
          <w:p>
            <w:r>
              <w:t>dbt can generate documentation and a DAG from sources, refs, descriptions and metadata.</w:t>
            </w:r>
          </w:p>
        </w:tc>
      </w:tr>
      <w:tr>
        <w:trPr>
          <w:cantSplit/>
        </w:trPr>
        <w:tc>
          <w:tcPr>
            <w:tcW w:type="dxa" w:w="2232"/>
            <w:tcMar>
              <w:top w:w="90" w:type="dxa"/>
              <w:start w:w="110" w:type="dxa"/>
              <w:bottom w:w="90" w:type="dxa"/>
              <w:end w:w="110" w:type="dxa"/>
            </w:tcMar>
            <w:vAlign w:val="top"/>
          </w:tcPr>
          <w:p>
            <w:r>
              <w:t>exposures</w:t>
            </w:r>
          </w:p>
        </w:tc>
        <w:tc>
          <w:tcPr>
            <w:tcW w:type="dxa" w:w="8568"/>
            <w:tcMar>
              <w:top w:w="90" w:type="dxa"/>
              <w:start w:w="110" w:type="dxa"/>
              <w:bottom w:w="90" w:type="dxa"/>
              <w:end w:w="110" w:type="dxa"/>
            </w:tcMar>
            <w:vAlign w:val="top"/>
          </w:tcPr>
          <w:p>
            <w:r>
              <w:t>Declare downstream uses such as dashboards, applications or ML workflows to improve lineage context.</w:t>
            </w:r>
          </w:p>
        </w:tc>
      </w:tr>
      <w:tr>
        <w:trPr>
          <w:cantSplit/>
        </w:trPr>
        <w:tc>
          <w:tcPr>
            <w:tcW w:type="dxa" w:w="2232"/>
            <w:tcMar>
              <w:top w:w="90" w:type="dxa"/>
              <w:start w:w="110" w:type="dxa"/>
              <w:bottom w:w="90" w:type="dxa"/>
              <w:end w:w="110" w:type="dxa"/>
            </w:tcMar>
            <w:vAlign w:val="top"/>
          </w:tcPr>
          <w:p>
            <w:r>
              <w:t>CI pattern</w:t>
            </w:r>
          </w:p>
        </w:tc>
        <w:tc>
          <w:tcPr>
            <w:tcW w:type="dxa" w:w="8568"/>
            <w:tcMar>
              <w:top w:w="90" w:type="dxa"/>
              <w:start w:w="110" w:type="dxa"/>
              <w:bottom w:w="90" w:type="dxa"/>
              <w:end w:w="110" w:type="dxa"/>
            </w:tcMar>
            <w:vAlign w:val="top"/>
          </w:tcPr>
          <w:p>
            <w:r>
              <w:t>Compile/build changed models in an isolated environment, run tests, review generated SQL and deploy through controlled promotion.</w:t>
            </w:r>
          </w:p>
        </w:tc>
      </w:tr>
    </w:tbl>
    <w:p>
      <w:pPr>
        <w:pStyle w:val="Heading2"/>
        <w:keepNext/>
      </w:pPr>
      <w:r>
        <w:t>Example dbt incremental model</w:t>
      </w:r>
    </w:p>
    <w:p>
      <w:pPr>
        <w:pStyle w:val="CodeBlock"/>
      </w:pPr>
      <w:r>
        <w:t>{{ config(materialized='incremental', unique_key='company_id') }}</w:t>
        <w:br/>
        <w:br/>
        <w:t>select</w:t>
        <w:br/>
        <w:t xml:space="preserve">    company_id,</w:t>
        <w:br/>
        <w:t xml:space="preserve">    company_name,</w:t>
        <w:br/>
        <w:t xml:space="preserve">    sector,</w:t>
        <w:br/>
        <w:t xml:space="preserve">    updated_at</w:t>
        <w:br/>
        <w:t>from {{ ref('stg_company') }}</w:t>
        <w:br/>
        <w:t>{% if is_incremental() %}</w:t>
        <w:br/>
        <w:t>where updated_at &gt; (select coalesce(max(updated_at), '1900-01-01') from {{ this }})</w:t>
        <w:br/>
        <w:t>{% endif %}</w:t>
      </w:r>
    </w:p>
    <w:p>
      <w:pPr>
        <w:spacing w:after="80" w:line="245" w:lineRule="auto"/>
      </w:pPr>
      <w:r>
        <w:t>Senior caveat: A max(updated_at) watermark can miss late-arriving records or equal timestamps. In a real design, use overlap windows, source sequence numbers, change tables or deterministic event keys and then deduplicate before merge.</w:t>
      </w:r>
    </w:p>
    <w:p>
      <w:pPr>
        <w:pStyle w:val="Heading2"/>
        <w:keepNext/>
      </w:pPr>
      <w:r>
        <w:t>Example dbt tests</w:t>
      </w:r>
    </w:p>
    <w:p>
      <w:pPr>
        <w:pStyle w:val="CodeBlock"/>
      </w:pPr>
      <w:r>
        <w:t>version: 2</w:t>
        <w:br/>
        <w:t>models:</w:t>
        <w:br/>
        <w:t xml:space="preserve">  - name: dim_company</w:t>
        <w:br/>
        <w:t xml:space="preserve">    columns:</w:t>
        <w:br/>
        <w:t xml:space="preserve">      - name: company_id</w:t>
        <w:br/>
        <w:t xml:space="preserve">        tests: [not_null, unique]</w:t>
        <w:br/>
        <w:t xml:space="preserve">      - name: sector</w:t>
        <w:br/>
        <w:t xml:space="preserve">        tests:</w:t>
        <w:br/>
        <w:t xml:space="preserve">          - accepted_values:</w:t>
        <w:br/>
        <w:t xml:space="preserve">              values: ['Technology', 'Healthcare', 'Industrials', 'Financials']</w:t>
      </w:r>
    </w:p>
    <w:p>
      <w:pPr>
        <w:pStyle w:val="Heading2"/>
        <w:keepNext/>
      </w:pPr>
      <w:r>
        <w:t>Likely dbt questions</w:t>
      </w:r>
    </w:p>
    <w:p>
      <w:pPr>
        <w:pStyle w:val="ListBullet"/>
        <w:spacing w:after="50" w:line="240" w:lineRule="auto"/>
      </w:pPr>
      <w:r>
        <w:t>What is the difference between dbt and Airflow? dbt manages SQL transformation dependencies and tests inside the warehouse; Airflow orchestrates broader workflows across systems and can invoke dbt.</w:t>
      </w:r>
    </w:p>
    <w:p>
      <w:pPr>
        <w:pStyle w:val="ListBullet"/>
        <w:spacing w:after="50" w:line="240" w:lineRule="auto"/>
      </w:pPr>
      <w:r>
        <w:t>When would you use an incremental model? Large stable datasets where only a subset changes and you can define reliable change capture and merge semantics.</w:t>
      </w:r>
    </w:p>
    <w:p>
      <w:pPr>
        <w:pStyle w:val="ListBullet"/>
        <w:spacing w:after="50" w:line="240" w:lineRule="auto"/>
      </w:pPr>
      <w:r>
        <w:t>How do you handle late-arriving data? Watermark overlap, source sequence/change tracking, deterministic keys, reprocessing windows and idempotent merge logic.</w:t>
      </w:r>
    </w:p>
    <w:p>
      <w:pPr>
        <w:pStyle w:val="ListBullet"/>
        <w:spacing w:after="50" w:line="240" w:lineRule="auto"/>
      </w:pPr>
      <w:r>
        <w:t>Snapshots versus incremental models? Snapshots preserve row history; incremental models reduce processing cost. They solve different problems.</w:t>
      </w:r>
    </w:p>
    <w:p>
      <w:pPr>
        <w:pStyle w:val="ListBullet"/>
        <w:spacing w:after="50" w:line="240" w:lineRule="auto"/>
      </w:pPr>
      <w:r>
        <w:t>How do you stop a dbt project becoming a SQL monolith? Clear layer conventions, small models, domain ownership, contracts/descriptions, tests, code review, macros only where they improve reuse, and regular model pruning.</w:t>
      </w:r>
    </w:p>
    <w:p>
      <w:pPr>
        <w:pStyle w:val="Heading1"/>
        <w:keepNext/>
      </w:pPr>
      <w:r>
        <w:t>14. SQL - Senior Interview Revision</w:t>
      </w:r>
    </w:p>
    <w:p>
      <w:pPr>
        <w:spacing w:after="80" w:line="245" w:lineRule="auto"/>
      </w:pPr>
      <w:r>
        <w:t>Be fluent in joins, grouping, window functions, CTEs, deduplication, effective-dated joins, transactions, query plans and modelling grain.</w:t>
      </w:r>
    </w:p>
    <w:p>
      <w:pPr>
        <w:pStyle w:val="Heading2"/>
        <w:keepNext/>
      </w:pPr>
      <w:r>
        <w:t>Latest source record per company</w:t>
      </w:r>
    </w:p>
    <w:p>
      <w:pPr>
        <w:pStyle w:val="CodeBlock"/>
      </w:pPr>
      <w:r>
        <w:t>select *</w:t>
        <w:br/>
        <w:t>from (</w:t>
        <w:br/>
        <w:t xml:space="preserve">    select s.*,</w:t>
        <w:br/>
        <w:t xml:space="preserve">           row_number() over (</w:t>
        <w:br/>
        <w:t xml:space="preserve">               partition by source_system, source_company_id</w:t>
        <w:br/>
        <w:t xml:space="preserve">               order by observed_at desc, ingestion_id desc</w:t>
        <w:br/>
        <w:t xml:space="preserve">           ) as rn</w:t>
        <w:br/>
        <w:t xml:space="preserve">    from raw_company_source s</w:t>
        <w:br/>
        <w:t>) x</w:t>
        <w:br/>
        <w:t>where rn = 1;</w:t>
      </w:r>
    </w:p>
    <w:p>
      <w:pPr>
        <w:pStyle w:val="Heading2"/>
        <w:keepNext/>
      </w:pPr>
      <w:r>
        <w:t>Current ownership as of a date</w:t>
      </w:r>
    </w:p>
    <w:p>
      <w:pPr>
        <w:pStyle w:val="CodeBlock"/>
      </w:pPr>
      <w:r>
        <w:t>select company_id, owner_id, ownership_pct</w:t>
        <w:br/>
        <w:t>from company_ownership</w:t>
        <w:br/>
        <w:t>where effective_from &lt;= :as_of_date</w:t>
        <w:br/>
        <w:t xml:space="preserve">  and (effective_to &gt; :as_of_date or effective_to is null);</w:t>
      </w:r>
    </w:p>
    <w:p>
      <w:pPr>
        <w:pStyle w:val="Heading2"/>
        <w:keepNext/>
      </w:pPr>
      <w:r>
        <w:t>Find duplicate canonical companies</w:t>
      </w:r>
    </w:p>
    <w:p>
      <w:pPr>
        <w:pStyle w:val="CodeBlock"/>
      </w:pPr>
      <w:r>
        <w:t>select normalized_name, country_code, count(*) as cnt</w:t>
        <w:br/>
        <w:t>from dim_company</w:t>
        <w:br/>
        <w:t>where is_current = true</w:t>
        <w:br/>
        <w:t>group by normalized_name, country_code</w:t>
        <w:br/>
        <w:t>having count(*) &gt; 1;</w:t>
      </w:r>
    </w:p>
    <w:p>
      <w:pPr>
        <w:spacing w:after="80" w:line="245" w:lineRule="auto"/>
      </w:pPr>
      <w:r>
        <w:t>Senior point: Treat this as a candidate duplicate query, not proof of duplication. Legal name, jurisdiction, registration identifiers, parent/subsidiary relationships and source evidence determine whether records should merge.</w:t>
      </w:r>
    </w:p>
    <w:p>
      <w:pPr>
        <w:pStyle w:val="Heading2"/>
        <w:keepNext/>
      </w:pPr>
      <w:r>
        <w:t>As-of feature dataset</w:t>
      </w:r>
    </w:p>
    <w:p>
      <w:pPr>
        <w:pStyle w:val="CodeBlock"/>
      </w:pPr>
      <w:r>
        <w:t>select d.company_id,</w:t>
        <w:br/>
        <w:t xml:space="preserve">       d.deal_date,</w:t>
        <w:br/>
        <w:t xml:space="preserve">       f.revenue,</w:t>
        <w:br/>
        <w:t xml:space="preserve">       f.ebitda</w:t>
        <w:br/>
        <w:t>from deals d</w:t>
        <w:br/>
        <w:t>left join company_financials f</w:t>
        <w:br/>
        <w:t xml:space="preserve">  on f.company_id = d.company_id</w:t>
        <w:br/>
        <w:t xml:space="preserve"> and f.effective_date &lt;= d.deal_date</w:t>
        <w:br/>
        <w:t>qualify row_number() over (</w:t>
        <w:br/>
        <w:t xml:space="preserve">    partition by d.deal_id</w:t>
        <w:br/>
        <w:t xml:space="preserve">    order by f.effective_date desc, f.observed_at desc</w:t>
        <w:br/>
        <w:t>) = 1;</w:t>
      </w:r>
    </w:p>
    <w:p>
      <w:pPr>
        <w:spacing w:after="80" w:line="245" w:lineRule="auto"/>
      </w:pPr>
      <w:r>
        <w:t>Point-in-time warning: For model training, also ensure observed_at was not after the deal date. Effective date alone can leak data that was published later.</w:t>
      </w:r>
    </w:p>
    <w:p>
      <w:pPr>
        <w:pStyle w:val="Heading2"/>
        <w:keepNext/>
      </w:pPr>
      <w:r>
        <w:t>Slow SQL approach</w:t>
      </w:r>
    </w:p>
    <w:p>
      <w:pPr>
        <w:spacing w:after="80" w:line="245" w:lineRule="auto"/>
      </w:pPr>
      <w:r>
        <w:t>Start from the execution profile rather than intuition. Check scan volume, pruning, join cardinality, data skew, spills, sorts, repeated calculations, unnecessary columns and filters applied too late. Confirm the data grain before changing SQL because unexpected many-to-many joins are both a performance and correctness problem.</w:t>
      </w:r>
    </w:p>
    <w:p>
      <w:pPr>
        <w:pStyle w:val="Heading1"/>
        <w:keepNext/>
      </w:pPr>
      <w:r>
        <w:t>15. Python - What a VP Data Engineer Should Sound Like</w:t>
      </w:r>
    </w:p>
    <w:tbl>
      <w:tblPr>
        <w:tblStyle w:val="TableGrid"/>
        <w:tblW w:type="auto" w:w="0"/>
        <w:jc w:val="center"/>
        <w:tblLook w:firstColumn="1" w:firstRow="1" w:lastColumn="0" w:lastRow="0" w:noHBand="0" w:noVBand="1" w:val="04A0"/>
      </w:tblPr>
      <w:tblGrid>
        <w:gridCol w:w="5227"/>
        <w:gridCol w:w="5227"/>
      </w:tblGrid>
      <w:tr>
        <w:trPr>
          <w:cantSplit/>
        </w:trPr>
        <w:tc>
          <w:tcPr>
            <w:tcW w:type="dxa" w:w="2160"/>
            <w:shd w:fill="18365D"/>
            <w:vAlign w:val="center"/>
            <w:tcMar>
              <w:top w:w="90" w:type="dxa"/>
              <w:start w:w="110" w:type="dxa"/>
              <w:bottom w:w="90" w:type="dxa"/>
              <w:end w:w="110" w:type="dxa"/>
            </w:tcMar>
          </w:tcPr>
          <w:p>
            <w:r>
              <w:rPr>
                <w:b/>
                <w:color w:val="FFFFFF"/>
              </w:rPr>
              <w:t>Area</w:t>
            </w:r>
          </w:p>
        </w:tc>
        <w:tc>
          <w:tcPr>
            <w:tcW w:type="dxa" w:w="8640"/>
            <w:shd w:fill="18365D"/>
            <w:vAlign w:val="center"/>
            <w:tcMar>
              <w:top w:w="90" w:type="dxa"/>
              <w:start w:w="110" w:type="dxa"/>
              <w:bottom w:w="90" w:type="dxa"/>
              <w:end w:w="110" w:type="dxa"/>
            </w:tcMar>
          </w:tcPr>
          <w:p>
            <w:r>
              <w:rPr>
                <w:b/>
                <w:color w:val="FFFFFF"/>
              </w:rPr>
              <w:t>Senior answer</w:t>
            </w:r>
          </w:p>
        </w:tc>
      </w:tr>
      <w:tr>
        <w:trPr>
          <w:cantSplit/>
        </w:trPr>
        <w:tc>
          <w:tcPr>
            <w:tcW w:type="dxa" w:w="2160"/>
            <w:tcMar>
              <w:top w:w="90" w:type="dxa"/>
              <w:start w:w="110" w:type="dxa"/>
              <w:bottom w:w="90" w:type="dxa"/>
              <w:end w:w="110" w:type="dxa"/>
            </w:tcMar>
            <w:vAlign w:val="top"/>
          </w:tcPr>
          <w:p>
            <w:r>
              <w:t>Design</w:t>
            </w:r>
          </w:p>
        </w:tc>
        <w:tc>
          <w:tcPr>
            <w:tcW w:type="dxa" w:w="8640"/>
            <w:tcMar>
              <w:top w:w="90" w:type="dxa"/>
              <w:start w:w="110" w:type="dxa"/>
              <w:bottom w:w="90" w:type="dxa"/>
              <w:end w:w="110" w:type="dxa"/>
            </w:tcMar>
            <w:vAlign w:val="top"/>
          </w:tcPr>
          <w:p>
            <w:r>
              <w:t>Small cohesive modules, clear interfaces, typed domain objects where useful, dependency injection/configuration boundaries, explicit side effects.</w:t>
            </w:r>
          </w:p>
        </w:tc>
      </w:tr>
      <w:tr>
        <w:trPr>
          <w:cantSplit/>
        </w:trPr>
        <w:tc>
          <w:tcPr>
            <w:tcW w:type="dxa" w:w="2160"/>
            <w:tcMar>
              <w:top w:w="90" w:type="dxa"/>
              <w:start w:w="110" w:type="dxa"/>
              <w:bottom w:w="90" w:type="dxa"/>
              <w:end w:w="110" w:type="dxa"/>
            </w:tcMar>
            <w:vAlign w:val="top"/>
          </w:tcPr>
          <w:p>
            <w:r>
              <w:t>Data processing</w:t>
            </w:r>
          </w:p>
        </w:tc>
        <w:tc>
          <w:tcPr>
            <w:tcW w:type="dxa" w:w="8640"/>
            <w:tcMar>
              <w:top w:w="90" w:type="dxa"/>
              <w:start w:w="110" w:type="dxa"/>
              <w:bottom w:w="90" w:type="dxa"/>
              <w:end w:w="110" w:type="dxa"/>
            </w:tcMar>
            <w:vAlign w:val="top"/>
          </w:tcPr>
          <w:p>
            <w:r>
              <w:t>Prefer vectorized SQL/Spark/Polars/Pandas appropriately. Stream/chunk when data is larger than memory; use distributed compute when scale requires it.</w:t>
            </w:r>
          </w:p>
        </w:tc>
      </w:tr>
      <w:tr>
        <w:trPr>
          <w:cantSplit/>
        </w:trPr>
        <w:tc>
          <w:tcPr>
            <w:tcW w:type="dxa" w:w="2160"/>
            <w:tcMar>
              <w:top w:w="90" w:type="dxa"/>
              <w:start w:w="110" w:type="dxa"/>
              <w:bottom w:w="90" w:type="dxa"/>
              <w:end w:w="110" w:type="dxa"/>
            </w:tcMar>
            <w:vAlign w:val="top"/>
          </w:tcPr>
          <w:p>
            <w:r>
              <w:t>Errors</w:t>
            </w:r>
          </w:p>
        </w:tc>
        <w:tc>
          <w:tcPr>
            <w:tcW w:type="dxa" w:w="8640"/>
            <w:tcMar>
              <w:top w:w="90" w:type="dxa"/>
              <w:start w:w="110" w:type="dxa"/>
              <w:bottom w:w="90" w:type="dxa"/>
              <w:end w:w="110" w:type="dxa"/>
            </w:tcMar>
            <w:vAlign w:val="top"/>
          </w:tcPr>
          <w:p>
            <w:r>
              <w:t>Classify transient vs permanent failures; bounded retries; quarantine bad records; include actionable context; never silently drop.</w:t>
            </w:r>
          </w:p>
        </w:tc>
      </w:tr>
      <w:tr>
        <w:trPr>
          <w:cantSplit/>
        </w:trPr>
        <w:tc>
          <w:tcPr>
            <w:tcW w:type="dxa" w:w="2160"/>
            <w:tcMar>
              <w:top w:w="90" w:type="dxa"/>
              <w:start w:w="110" w:type="dxa"/>
              <w:bottom w:w="90" w:type="dxa"/>
              <w:end w:w="110" w:type="dxa"/>
            </w:tcMar>
            <w:vAlign w:val="top"/>
          </w:tcPr>
          <w:p>
            <w:r>
              <w:t>Testing</w:t>
            </w:r>
          </w:p>
        </w:tc>
        <w:tc>
          <w:tcPr>
            <w:tcW w:type="dxa" w:w="8640"/>
            <w:tcMar>
              <w:top w:w="90" w:type="dxa"/>
              <w:start w:w="110" w:type="dxa"/>
              <w:bottom w:w="90" w:type="dxa"/>
              <w:end w:w="110" w:type="dxa"/>
            </w:tcMar>
            <w:vAlign w:val="top"/>
          </w:tcPr>
          <w:p>
            <w:r>
              <w:t>Unit tests for pure transformation logic, integration tests around external systems, contract/schema tests, end-to-end tests and business reconciliation.</w:t>
            </w:r>
          </w:p>
        </w:tc>
      </w:tr>
      <w:tr>
        <w:trPr>
          <w:cantSplit/>
        </w:trPr>
        <w:tc>
          <w:tcPr>
            <w:tcW w:type="dxa" w:w="2160"/>
            <w:tcMar>
              <w:top w:w="90" w:type="dxa"/>
              <w:start w:w="110" w:type="dxa"/>
              <w:bottom w:w="90" w:type="dxa"/>
              <w:end w:w="110" w:type="dxa"/>
            </w:tcMar>
            <w:vAlign w:val="top"/>
          </w:tcPr>
          <w:p>
            <w:r>
              <w:t>Observability</w:t>
            </w:r>
          </w:p>
        </w:tc>
        <w:tc>
          <w:tcPr>
            <w:tcW w:type="dxa" w:w="8640"/>
            <w:tcMar>
              <w:top w:w="90" w:type="dxa"/>
              <w:start w:w="110" w:type="dxa"/>
              <w:bottom w:w="90" w:type="dxa"/>
              <w:end w:w="110" w:type="dxa"/>
            </w:tcMar>
            <w:vAlign w:val="top"/>
          </w:tcPr>
          <w:p>
            <w:r>
              <w:t>Structured logs, metrics, traces where useful, run IDs, source/target counts, freshness, rejects, latency and cost.</w:t>
            </w:r>
          </w:p>
        </w:tc>
      </w:tr>
      <w:tr>
        <w:trPr>
          <w:cantSplit/>
        </w:trPr>
        <w:tc>
          <w:tcPr>
            <w:tcW w:type="dxa" w:w="2160"/>
            <w:tcMar>
              <w:top w:w="90" w:type="dxa"/>
              <w:start w:w="110" w:type="dxa"/>
              <w:bottom w:w="90" w:type="dxa"/>
              <w:end w:w="110" w:type="dxa"/>
            </w:tcMar>
            <w:vAlign w:val="top"/>
          </w:tcPr>
          <w:p>
            <w:r>
              <w:t>Packaging</w:t>
            </w:r>
          </w:p>
        </w:tc>
        <w:tc>
          <w:tcPr>
            <w:tcW w:type="dxa" w:w="8640"/>
            <w:tcMar>
              <w:top w:w="90" w:type="dxa"/>
              <w:start w:w="110" w:type="dxa"/>
              <w:bottom w:w="90" w:type="dxa"/>
              <w:end w:w="110" w:type="dxa"/>
            </w:tcMar>
            <w:vAlign w:val="top"/>
          </w:tcPr>
          <w:p>
            <w:r>
              <w:t>Pinned dependencies, reproducible builds, code review, CI/CD, containers where appropriate.</w:t>
            </w:r>
          </w:p>
        </w:tc>
      </w:tr>
      <w:tr>
        <w:trPr>
          <w:cantSplit/>
        </w:trPr>
        <w:tc>
          <w:tcPr>
            <w:tcW w:type="dxa" w:w="2160"/>
            <w:tcMar>
              <w:top w:w="90" w:type="dxa"/>
              <w:start w:w="110" w:type="dxa"/>
              <w:bottom w:w="90" w:type="dxa"/>
              <w:end w:w="110" w:type="dxa"/>
            </w:tcMar>
            <w:vAlign w:val="top"/>
          </w:tcPr>
          <w:p>
            <w:r>
              <w:t>Performance</w:t>
            </w:r>
          </w:p>
        </w:tc>
        <w:tc>
          <w:tcPr>
            <w:tcW w:type="dxa" w:w="8640"/>
            <w:tcMar>
              <w:top w:w="90" w:type="dxa"/>
              <w:start w:w="110" w:type="dxa"/>
              <w:bottom w:w="90" w:type="dxa"/>
              <w:end w:w="110" w:type="dxa"/>
            </w:tcMar>
            <w:vAlign w:val="top"/>
          </w:tcPr>
          <w:p>
            <w:r>
              <w:t>Profile before optimizing. Push filtering/aggregation down to the database when sensible; avoid unnecessary Python loops and materialization.</w:t>
            </w:r>
          </w:p>
        </w:tc>
      </w:tr>
      <w:tr>
        <w:trPr>
          <w:cantSplit/>
        </w:trPr>
        <w:tc>
          <w:tcPr>
            <w:tcW w:type="dxa" w:w="2160"/>
            <w:tcMar>
              <w:top w:w="90" w:type="dxa"/>
              <w:start w:w="110" w:type="dxa"/>
              <w:bottom w:w="90" w:type="dxa"/>
              <w:end w:w="110" w:type="dxa"/>
            </w:tcMar>
            <w:vAlign w:val="top"/>
          </w:tcPr>
          <w:p>
            <w:r>
              <w:t>Concurrency</w:t>
            </w:r>
          </w:p>
        </w:tc>
        <w:tc>
          <w:tcPr>
            <w:tcW w:type="dxa" w:w="8640"/>
            <w:tcMar>
              <w:top w:w="90" w:type="dxa"/>
              <w:start w:w="110" w:type="dxa"/>
              <w:bottom w:w="90" w:type="dxa"/>
              <w:end w:w="110" w:type="dxa"/>
            </w:tcMar>
            <w:vAlign w:val="top"/>
          </w:tcPr>
          <w:p>
            <w:r>
              <w:t>Async/threads for I/O-heavy workloads; multiprocessing or distributed engines for CPU-heavy workloads; understand GIL implications in CPython.</w:t>
            </w:r>
          </w:p>
        </w:tc>
      </w:tr>
    </w:tbl>
    <w:p>
      <w:pPr>
        <w:pStyle w:val="Heading2"/>
        <w:keepNext/>
      </w:pPr>
      <w:r>
        <w:t>Likely Python questions</w:t>
      </w:r>
    </w:p>
    <w:p>
      <w:pPr>
        <w:pStyle w:val="ListBullet"/>
        <w:spacing w:after="50" w:line="240" w:lineRule="auto"/>
      </w:pPr>
      <w:r>
        <w:t>How would you process 500 GB of files? Do not load into Pandas. Land raw data, partition and convert to columnar format; use Spark/Glue or warehouse compute for large transformations; design incremental processing and replay.</w:t>
      </w:r>
    </w:p>
    <w:p>
      <w:pPr>
        <w:pStyle w:val="ListBullet"/>
        <w:spacing w:after="50" w:line="240" w:lineRule="auto"/>
      </w:pPr>
      <w:r>
        <w:t>Generator versus list? Generators evaluate lazily and are useful for streaming/large sequences; lists materialize all values.</w:t>
      </w:r>
    </w:p>
    <w:p>
      <w:pPr>
        <w:pStyle w:val="ListBullet"/>
        <w:spacing w:after="50" w:line="240" w:lineRule="auto"/>
      </w:pPr>
      <w:r>
        <w:t>Context manager? Encapsulates resource acquisition and release through with, e.g. files, locks and database sessions.</w:t>
      </w:r>
    </w:p>
    <w:p>
      <w:pPr>
        <w:pStyle w:val="ListBullet"/>
        <w:spacing w:after="50" w:line="240" w:lineRule="auto"/>
      </w:pPr>
      <w:r>
        <w:t>What makes production Python different from a notebook? Packaging, tests, typing/contracts, configuration, logging, metrics, retries, deployment, security, ownership and supportability.</w:t>
      </w:r>
    </w:p>
    <w:p>
      <w:pPr>
        <w:pStyle w:val="ListBullet"/>
        <w:spacing w:after="50" w:line="240" w:lineRule="auto"/>
      </w:pPr>
      <w:r>
        <w:t>How would you structure a pipeline library? Separate source adapters, validation, domain transformations, persistence, orchestration and observability so logic can be tested independently.</w:t>
      </w:r>
    </w:p>
    <w:p>
      <w:pPr>
        <w:pStyle w:val="Heading1"/>
        <w:keepNext/>
      </w:pPr>
      <w:r>
        <w:t>16. Airflow / Orchestration</w:t>
      </w:r>
    </w:p>
    <w:tbl>
      <w:tblPr>
        <w:tblStyle w:val="TableGrid"/>
        <w:tblW w:type="auto" w:w="0"/>
        <w:jc w:val="center"/>
        <w:tblLook w:firstColumn="1" w:firstRow="1" w:lastColumn="0" w:lastRow="0" w:noHBand="0" w:noVBand="1" w:val="04A0"/>
      </w:tblPr>
      <w:tblGrid>
        <w:gridCol w:w="5227"/>
        <w:gridCol w:w="5227"/>
      </w:tblGrid>
      <w:tr>
        <w:trPr>
          <w:cantSplit/>
        </w:trPr>
        <w:tc>
          <w:tcPr>
            <w:tcW w:type="dxa" w:w="2160"/>
            <w:shd w:fill="18365D"/>
            <w:vAlign w:val="center"/>
            <w:tcMar>
              <w:top w:w="90" w:type="dxa"/>
              <w:start w:w="110" w:type="dxa"/>
              <w:bottom w:w="90" w:type="dxa"/>
              <w:end w:w="110" w:type="dxa"/>
            </w:tcMar>
          </w:tcPr>
          <w:p>
            <w:r>
              <w:rPr>
                <w:b/>
                <w:color w:val="FFFFFF"/>
              </w:rPr>
              <w:t>Concept</w:t>
            </w:r>
          </w:p>
        </w:tc>
        <w:tc>
          <w:tcPr>
            <w:tcW w:type="dxa" w:w="8640"/>
            <w:shd w:fill="18365D"/>
            <w:vAlign w:val="center"/>
            <w:tcMar>
              <w:top w:w="90" w:type="dxa"/>
              <w:start w:w="110" w:type="dxa"/>
              <w:bottom w:w="90" w:type="dxa"/>
              <w:end w:w="110" w:type="dxa"/>
            </w:tcMar>
          </w:tcPr>
          <w:p>
            <w:r>
              <w:rPr>
                <w:b/>
                <w:color w:val="FFFFFF"/>
              </w:rPr>
              <w:t>What to say</w:t>
            </w:r>
          </w:p>
        </w:tc>
      </w:tr>
      <w:tr>
        <w:trPr>
          <w:cantSplit/>
        </w:trPr>
        <w:tc>
          <w:tcPr>
            <w:tcW w:type="dxa" w:w="2160"/>
            <w:tcMar>
              <w:top w:w="90" w:type="dxa"/>
              <w:start w:w="110" w:type="dxa"/>
              <w:bottom w:w="90" w:type="dxa"/>
              <w:end w:w="110" w:type="dxa"/>
            </w:tcMar>
            <w:vAlign w:val="top"/>
          </w:tcPr>
          <w:p>
            <w:r>
              <w:t>DAG</w:t>
            </w:r>
          </w:p>
        </w:tc>
        <w:tc>
          <w:tcPr>
            <w:tcW w:type="dxa" w:w="8640"/>
            <w:tcMar>
              <w:top w:w="90" w:type="dxa"/>
              <w:start w:w="110" w:type="dxa"/>
              <w:bottom w:w="90" w:type="dxa"/>
              <w:end w:w="110" w:type="dxa"/>
            </w:tcMar>
            <w:vAlign w:val="top"/>
          </w:tcPr>
          <w:p>
            <w:r>
              <w:t>Directed acyclic graph describing task dependencies; keep business transformation logic outside orchestration code where possible.</w:t>
            </w:r>
          </w:p>
        </w:tc>
      </w:tr>
      <w:tr>
        <w:trPr>
          <w:cantSplit/>
        </w:trPr>
        <w:tc>
          <w:tcPr>
            <w:tcW w:type="dxa" w:w="2160"/>
            <w:tcMar>
              <w:top w:w="90" w:type="dxa"/>
              <w:start w:w="110" w:type="dxa"/>
              <w:bottom w:w="90" w:type="dxa"/>
              <w:end w:w="110" w:type="dxa"/>
            </w:tcMar>
            <w:vAlign w:val="top"/>
          </w:tcPr>
          <w:p>
            <w:r>
              <w:t>Idempotency</w:t>
            </w:r>
          </w:p>
        </w:tc>
        <w:tc>
          <w:tcPr>
            <w:tcW w:type="dxa" w:w="8640"/>
            <w:tcMar>
              <w:top w:w="90" w:type="dxa"/>
              <w:start w:w="110" w:type="dxa"/>
              <w:bottom w:w="90" w:type="dxa"/>
              <w:end w:w="110" w:type="dxa"/>
            </w:tcMar>
            <w:vAlign w:val="top"/>
          </w:tcPr>
          <w:p>
            <w:r>
              <w:t>A retry of the same logical input should not create duplicated business state.</w:t>
            </w:r>
          </w:p>
        </w:tc>
      </w:tr>
      <w:tr>
        <w:trPr>
          <w:cantSplit/>
        </w:trPr>
        <w:tc>
          <w:tcPr>
            <w:tcW w:type="dxa" w:w="2160"/>
            <w:tcMar>
              <w:top w:w="90" w:type="dxa"/>
              <w:start w:w="110" w:type="dxa"/>
              <w:bottom w:w="90" w:type="dxa"/>
              <w:end w:w="110" w:type="dxa"/>
            </w:tcMar>
            <w:vAlign w:val="top"/>
          </w:tcPr>
          <w:p>
            <w:r>
              <w:t>Retries</w:t>
            </w:r>
          </w:p>
        </w:tc>
        <w:tc>
          <w:tcPr>
            <w:tcW w:type="dxa" w:w="8640"/>
            <w:tcMar>
              <w:top w:w="90" w:type="dxa"/>
              <w:start w:w="110" w:type="dxa"/>
              <w:bottom w:w="90" w:type="dxa"/>
              <w:end w:w="110" w:type="dxa"/>
            </w:tcMar>
            <w:vAlign w:val="top"/>
          </w:tcPr>
          <w:p>
            <w:r>
              <w:t>Use only for transient failure classes, with sensible backoff and limits.</w:t>
            </w:r>
          </w:p>
        </w:tc>
      </w:tr>
      <w:tr>
        <w:trPr>
          <w:cantSplit/>
        </w:trPr>
        <w:tc>
          <w:tcPr>
            <w:tcW w:type="dxa" w:w="2160"/>
            <w:tcMar>
              <w:top w:w="90" w:type="dxa"/>
              <w:start w:w="110" w:type="dxa"/>
              <w:bottom w:w="90" w:type="dxa"/>
              <w:end w:w="110" w:type="dxa"/>
            </w:tcMar>
            <w:vAlign w:val="top"/>
          </w:tcPr>
          <w:p>
            <w:r>
              <w:t>Backfill</w:t>
            </w:r>
          </w:p>
        </w:tc>
        <w:tc>
          <w:tcPr>
            <w:tcW w:type="dxa" w:w="8640"/>
            <w:tcMar>
              <w:top w:w="90" w:type="dxa"/>
              <w:start w:w="110" w:type="dxa"/>
              <w:bottom w:w="90" w:type="dxa"/>
              <w:end w:w="110" w:type="dxa"/>
            </w:tcMar>
            <w:vAlign w:val="top"/>
          </w:tcPr>
          <w:p>
            <w:r>
              <w:t>Design partitioned/watermarked tasks so historical dates can be rerun safely.</w:t>
            </w:r>
          </w:p>
        </w:tc>
      </w:tr>
      <w:tr>
        <w:trPr>
          <w:cantSplit/>
        </w:trPr>
        <w:tc>
          <w:tcPr>
            <w:tcW w:type="dxa" w:w="2160"/>
            <w:tcMar>
              <w:top w:w="90" w:type="dxa"/>
              <w:start w:w="110" w:type="dxa"/>
              <w:bottom w:w="90" w:type="dxa"/>
              <w:end w:w="110" w:type="dxa"/>
            </w:tcMar>
            <w:vAlign w:val="top"/>
          </w:tcPr>
          <w:p>
            <w:r>
              <w:t>Sensors</w:t>
            </w:r>
          </w:p>
        </w:tc>
        <w:tc>
          <w:tcPr>
            <w:tcW w:type="dxa" w:w="8640"/>
            <w:tcMar>
              <w:top w:w="90" w:type="dxa"/>
              <w:start w:w="110" w:type="dxa"/>
              <w:bottom w:w="90" w:type="dxa"/>
              <w:end w:w="110" w:type="dxa"/>
            </w:tcMar>
            <w:vAlign w:val="top"/>
          </w:tcPr>
          <w:p>
            <w:r>
              <w:t>Avoid long-running inefficient polling where event-driven or deferrable patterns are available.</w:t>
            </w:r>
          </w:p>
        </w:tc>
      </w:tr>
      <w:tr>
        <w:trPr>
          <w:cantSplit/>
        </w:trPr>
        <w:tc>
          <w:tcPr>
            <w:tcW w:type="dxa" w:w="2160"/>
            <w:tcMar>
              <w:top w:w="90" w:type="dxa"/>
              <w:start w:w="110" w:type="dxa"/>
              <w:bottom w:w="90" w:type="dxa"/>
              <w:end w:w="110" w:type="dxa"/>
            </w:tcMar>
            <w:vAlign w:val="top"/>
          </w:tcPr>
          <w:p>
            <w:r>
              <w:t>XCom</w:t>
            </w:r>
          </w:p>
        </w:tc>
        <w:tc>
          <w:tcPr>
            <w:tcW w:type="dxa" w:w="8640"/>
            <w:tcMar>
              <w:top w:w="90" w:type="dxa"/>
              <w:start w:w="110" w:type="dxa"/>
              <w:bottom w:w="90" w:type="dxa"/>
              <w:end w:w="110" w:type="dxa"/>
            </w:tcMar>
            <w:vAlign w:val="top"/>
          </w:tcPr>
          <w:p>
            <w:r>
              <w:t>For small metadata, not large datasets.</w:t>
            </w:r>
          </w:p>
        </w:tc>
      </w:tr>
      <w:tr>
        <w:trPr>
          <w:cantSplit/>
        </w:trPr>
        <w:tc>
          <w:tcPr>
            <w:tcW w:type="dxa" w:w="2160"/>
            <w:tcMar>
              <w:top w:w="90" w:type="dxa"/>
              <w:start w:w="110" w:type="dxa"/>
              <w:bottom w:w="90" w:type="dxa"/>
              <w:end w:w="110" w:type="dxa"/>
            </w:tcMar>
            <w:vAlign w:val="top"/>
          </w:tcPr>
          <w:p>
            <w:r>
              <w:t>Observability</w:t>
            </w:r>
          </w:p>
        </w:tc>
        <w:tc>
          <w:tcPr>
            <w:tcW w:type="dxa" w:w="8640"/>
            <w:tcMar>
              <w:top w:w="90" w:type="dxa"/>
              <w:start w:w="110" w:type="dxa"/>
              <w:bottom w:w="90" w:type="dxa"/>
              <w:end w:w="110" w:type="dxa"/>
            </w:tcMar>
            <w:vAlign w:val="top"/>
          </w:tcPr>
          <w:p>
            <w:r>
              <w:t>Task duration, retries, SLA/freshness, row counts, rejects, data quality and dependency failures.</w:t>
            </w:r>
          </w:p>
        </w:tc>
      </w:tr>
      <w:tr>
        <w:trPr>
          <w:cantSplit/>
        </w:trPr>
        <w:tc>
          <w:tcPr>
            <w:tcW w:type="dxa" w:w="2160"/>
            <w:tcMar>
              <w:top w:w="90" w:type="dxa"/>
              <w:start w:w="110" w:type="dxa"/>
              <w:bottom w:w="90" w:type="dxa"/>
              <w:end w:w="110" w:type="dxa"/>
            </w:tcMar>
            <w:vAlign w:val="top"/>
          </w:tcPr>
          <w:p>
            <w:r>
              <w:t>Separation</w:t>
            </w:r>
          </w:p>
        </w:tc>
        <w:tc>
          <w:tcPr>
            <w:tcW w:type="dxa" w:w="8640"/>
            <w:tcMar>
              <w:top w:w="90" w:type="dxa"/>
              <w:start w:w="110" w:type="dxa"/>
              <w:bottom w:w="90" w:type="dxa"/>
              <w:end w:w="110" w:type="dxa"/>
            </w:tcMar>
            <w:vAlign w:val="top"/>
          </w:tcPr>
          <w:p>
            <w:r>
              <w:t>Airflow orchestrates; dbt/Spark/SQL/Python perform transformations; storage systems persist state.</w:t>
            </w:r>
          </w:p>
        </w:tc>
      </w:tr>
      <w:tr>
        <w:trPr>
          <w:cantSplit/>
        </w:trPr>
        <w:tc>
          <w:tcPr>
            <w:tcW w:type="dxa" w:w="2160"/>
            <w:tcMar>
              <w:top w:w="90" w:type="dxa"/>
              <w:start w:w="110" w:type="dxa"/>
              <w:bottom w:w="90" w:type="dxa"/>
              <w:end w:w="110" w:type="dxa"/>
            </w:tcMar>
            <w:vAlign w:val="top"/>
          </w:tcPr>
          <w:p>
            <w:r>
              <w:t>Deployment</w:t>
            </w:r>
          </w:p>
        </w:tc>
        <w:tc>
          <w:tcPr>
            <w:tcW w:type="dxa" w:w="8640"/>
            <w:tcMar>
              <w:top w:w="90" w:type="dxa"/>
              <w:start w:w="110" w:type="dxa"/>
              <w:bottom w:w="90" w:type="dxa"/>
              <w:end w:w="110" w:type="dxa"/>
            </w:tcMar>
            <w:vAlign w:val="top"/>
          </w:tcPr>
          <w:p>
            <w:r>
              <w:t>Version DAGs, test imports, use CI/CD and environment-specific configuration/secrets.</w:t>
            </w:r>
          </w:p>
        </w:tc>
      </w:tr>
    </w:tbl>
    <w:p>
      <w:pPr>
        <w:pStyle w:val="Heading1"/>
        <w:keepNext/>
      </w:pPr>
      <w:r>
        <w:t>17. Snowflake - Core Concepts, Performance and Cost</w:t>
      </w:r>
    </w:p>
    <w:p>
      <w:pPr>
        <w:pStyle w:val="ListBullet"/>
        <w:spacing w:after="50" w:line="240" w:lineRule="auto"/>
      </w:pPr>
      <w:r>
        <w:t>Separation of storage and compute: independent virtual warehouses provide workload isolation and elastic compute.</w:t>
      </w:r>
    </w:p>
    <w:p>
      <w:pPr>
        <w:pStyle w:val="ListBullet"/>
        <w:spacing w:after="50" w:line="240" w:lineRule="auto"/>
      </w:pPr>
      <w:r>
        <w:t>Micro-partitions and pruning: Snowflake stores columnar metadata that allows queries to skip irrelevant data; query shape and data distribution affect pruning.</w:t>
      </w:r>
    </w:p>
    <w:p>
      <w:pPr>
        <w:pStyle w:val="ListBullet"/>
        <w:spacing w:after="50" w:line="240" w:lineRule="auto"/>
      </w:pPr>
      <w:r>
        <w:t>Query Profile: inspect bytes scanned, pruning, join explosion, spilling, sorts, remote/local disk and queueing before changing warehouse size.</w:t>
      </w:r>
    </w:p>
    <w:p>
      <w:pPr>
        <w:pStyle w:val="ListBullet"/>
        <w:spacing w:after="50" w:line="240" w:lineRule="auto"/>
      </w:pPr>
      <w:r>
        <w:t>Clustering: use selectively when very large tables have recurring selective filters and natural clustering is poor. It adds maintenance cost.</w:t>
      </w:r>
    </w:p>
    <w:p>
      <w:pPr>
        <w:pStyle w:val="ListBullet"/>
        <w:spacing w:after="50" w:line="240" w:lineRule="auto"/>
      </w:pPr>
      <w:r>
        <w:t>Resource monitors / auto-suspend / auto-resume: control spend and idle compute.</w:t>
      </w:r>
    </w:p>
    <w:p>
      <w:pPr>
        <w:pStyle w:val="ListBullet"/>
        <w:spacing w:after="50" w:line="240" w:lineRule="auto"/>
      </w:pPr>
      <w:r>
        <w:t>Time Travel / zero-copy clone: useful for recovery, testing and controlled environment promotion.</w:t>
      </w:r>
    </w:p>
    <w:p>
      <w:pPr>
        <w:pStyle w:val="ListBullet"/>
        <w:spacing w:after="50" w:line="240" w:lineRule="auto"/>
      </w:pPr>
      <w:r>
        <w:t>Stages and COPY: bulk ingestion patterns; Snowpipe or equivalent continuous ingestion where latency warrants it.</w:t>
      </w:r>
    </w:p>
    <w:p>
      <w:pPr>
        <w:pStyle w:val="ListBullet"/>
        <w:spacing w:after="50" w:line="240" w:lineRule="auto"/>
      </w:pPr>
      <w:r>
        <w:t>Role-based access: separate object ownership, runtime and analyst access; apply least privilege and secure views/masking where required.</w:t>
      </w:r>
    </w:p>
    <w:tbl>
      <w:tblPr>
        <w:tblW w:type="auto" w:w="0"/>
        <w:jc w:val="center"/>
        <w:tblLayout w:type="autofit"/>
        <w:tblLook w:firstColumn="1" w:firstRow="1" w:lastColumn="0" w:lastRow="0" w:noHBand="0" w:noVBand="1" w:val="04A0"/>
      </w:tblPr>
      <w:tblGrid>
        <w:gridCol w:w="10454"/>
      </w:tblGrid>
      <w:tr>
        <w:trPr>
          <w:cantSplit/>
        </w:trPr>
        <w:tc>
          <w:tcPr>
            <w:tcW w:type="dxa" w:w="10454"/>
            <w:shd w:fill="D9EAF7"/>
            <w:tcMar>
              <w:top w:w="120" w:type="dxa"/>
              <w:start w:w="140" w:type="dxa"/>
              <w:bottom w:w="120" w:type="dxa"/>
              <w:end w:w="140" w:type="dxa"/>
            </w:tcMar>
          </w:tcPr>
          <w:p>
            <w:r>
              <w:rPr>
                <w:b/>
                <w:color w:val="18365D"/>
              </w:rPr>
              <w:t>Performance answer</w:t>
              <w:br/>
            </w:r>
            <w:r>
              <w:t>I would start with Query Profile and workload history, determine whether the issue is data volume, query shape, join cardinality, pruning, concurrency or warehouse sizing, then fix the actual bottleneck. Increasing warehouse size is sometimes correct, but it should not be the first response to inefficient SQL.</w:t>
            </w:r>
          </w:p>
        </w:tc>
      </w:tr>
    </w:tbl>
    <w:p>
      <w:pPr>
        <w:pStyle w:val="Heading1"/>
        <w:keepNext/>
      </w:pPr>
      <w:r>
        <w:t>18. AWS / Azure Platform Discussion</w:t>
      </w:r>
    </w:p>
    <w:p>
      <w:pPr>
        <w:spacing w:after="80" w:line="245" w:lineRule="auto"/>
      </w:pPr>
      <w:r>
        <w:t>For AWS, use illio as the primary ownership story. For Azure, use EDF/Pemberton/BlackRock exposure. The role accepts either cloud, so architecture judgement matters more than reciting every service.</w:t>
      </w:r>
    </w:p>
    <w:p>
      <w:pPr>
        <w:pStyle w:val="CodeBlock"/>
      </w:pPr>
      <w:r>
        <w:t>External sources / files / APIs / documents</w:t>
        <w:br/>
        <w:t xml:space="preserve">                |</w:t>
        <w:br/>
        <w:t xml:space="preserve">                v</w:t>
        <w:br/>
        <w:t xml:space="preserve">        Ingestion / event layer</w:t>
        <w:br/>
        <w:t xml:space="preserve">                |</w:t>
        <w:br/>
        <w:t xml:space="preserve">                v</w:t>
        <w:br/>
        <w:t xml:space="preserve">      Object storage RAW zone</w:t>
        <w:br/>
        <w:t xml:space="preserve">      immutable + source metadata</w:t>
        <w:br/>
        <w:t xml:space="preserve">                |</w:t>
        <w:br/>
        <w:t xml:space="preserve">         validation / schema</w:t>
        <w:br/>
        <w:t xml:space="preserve">                |</w:t>
        <w:br/>
        <w:t xml:space="preserve">                v</w:t>
        <w:br/>
        <w:t xml:space="preserve">      Python / Spark / dbt transforms</w:t>
        <w:br/>
        <w:t xml:space="preserve">                |</w:t>
        <w:br/>
        <w:t xml:space="preserve">                v</w:t>
        <w:br/>
        <w:t xml:space="preserve">        Snowflake canonical layer</w:t>
        <w:br/>
        <w:t xml:space="preserve">         RAW -&gt; CORE -&gt; MARTS</w:t>
        <w:br/>
        <w:t xml:space="preserve">                |</w:t>
        <w:br/>
        <w:t xml:space="preserve">       +--------+---------+</w:t>
        <w:br/>
        <w:t xml:space="preserve">       |        |         |</w:t>
        <w:br/>
        <w:t xml:space="preserve">   Product   Analytics  Data Science</w:t>
        <w:br/>
      </w:r>
    </w:p>
    <w:p>
      <w:pPr>
        <w:pStyle w:val="ListBullet"/>
        <w:spacing w:after="50" w:line="240" w:lineRule="auto"/>
      </w:pPr>
      <w:r>
        <w:t>Raw layer: retain source payloads and metadata so bugs or changed logic can be replayed.</w:t>
      </w:r>
    </w:p>
    <w:p>
      <w:pPr>
        <w:pStyle w:val="ListBullet"/>
        <w:spacing w:after="50" w:line="240" w:lineRule="auto"/>
      </w:pPr>
      <w:r>
        <w:t>Compute: use the simplest service that meets scale and SLA. Lightweight Lambda/Functions for event integrations; Spark/Glue/Databricks for distributed transforms; Snowflake for warehouse-centric transformations.</w:t>
      </w:r>
    </w:p>
    <w:p>
      <w:pPr>
        <w:pStyle w:val="ListBullet"/>
        <w:spacing w:after="50" w:line="240" w:lineRule="auto"/>
      </w:pPr>
      <w:r>
        <w:t>Identity/security: IAM roles or managed identities, short-lived credentials, secrets management, private networking where appropriate and encryption.</w:t>
      </w:r>
    </w:p>
    <w:p>
      <w:pPr>
        <w:pStyle w:val="ListBullet"/>
        <w:spacing w:after="50" w:line="240" w:lineRule="auto"/>
      </w:pPr>
      <w:r>
        <w:t>Infrastructure as code: you have AWS CDK experience. If Terraform is used, emphasize transferable IaC principles: reviewed plans, modularity, state controls, environment promotion and drift management.</w:t>
      </w:r>
    </w:p>
    <w:p>
      <w:pPr>
        <w:pStyle w:val="ListBullet"/>
        <w:spacing w:after="50" w:line="240" w:lineRule="auto"/>
      </w:pPr>
      <w:r>
        <w:t>Containers/Kubernetes: use where long-running services, standard deployment/runtime control or portability justify the operational overhead; do not containerize every data transformation by default.</w:t>
      </w:r>
    </w:p>
    <w:p>
      <w:pPr>
        <w:pStyle w:val="Heading1"/>
        <w:keepNext/>
      </w:pPr>
      <w:r>
        <w:t>19. Data Quality, Governance, Lineage and Observability</w:t>
      </w:r>
    </w:p>
    <w:tbl>
      <w:tblPr>
        <w:tblStyle w:val="TableGrid"/>
        <w:tblW w:type="auto" w:w="0"/>
        <w:jc w:val="center"/>
        <w:tblLook w:firstColumn="1" w:firstRow="1" w:lastColumn="0" w:lastRow="0" w:noHBand="0" w:noVBand="1" w:val="04A0"/>
      </w:tblPr>
      <w:tblGrid>
        <w:gridCol w:w="5227"/>
        <w:gridCol w:w="5227"/>
      </w:tblGrid>
      <w:tr>
        <w:trPr>
          <w:cantSplit/>
        </w:trPr>
        <w:tc>
          <w:tcPr>
            <w:tcW w:type="dxa" w:w="2448"/>
            <w:shd w:fill="18365D"/>
            <w:vAlign w:val="center"/>
            <w:tcMar>
              <w:top w:w="90" w:type="dxa"/>
              <w:start w:w="110" w:type="dxa"/>
              <w:bottom w:w="90" w:type="dxa"/>
              <w:end w:w="110" w:type="dxa"/>
            </w:tcMar>
          </w:tcPr>
          <w:p>
            <w:r>
              <w:rPr>
                <w:b/>
                <w:color w:val="FFFFFF"/>
              </w:rPr>
              <w:t>Dimension</w:t>
            </w:r>
          </w:p>
        </w:tc>
        <w:tc>
          <w:tcPr>
            <w:tcW w:type="dxa" w:w="8352"/>
            <w:shd w:fill="18365D"/>
            <w:vAlign w:val="center"/>
            <w:tcMar>
              <w:top w:w="90" w:type="dxa"/>
              <w:start w:w="110" w:type="dxa"/>
              <w:bottom w:w="90" w:type="dxa"/>
              <w:end w:w="110" w:type="dxa"/>
            </w:tcMar>
          </w:tcPr>
          <w:p>
            <w:r>
              <w:rPr>
                <w:b/>
                <w:color w:val="FFFFFF"/>
              </w:rPr>
              <w:t>What it means</w:t>
            </w:r>
          </w:p>
        </w:tc>
      </w:tr>
      <w:tr>
        <w:trPr>
          <w:cantSplit/>
        </w:trPr>
        <w:tc>
          <w:tcPr>
            <w:tcW w:type="dxa" w:w="2448"/>
            <w:tcMar>
              <w:top w:w="90" w:type="dxa"/>
              <w:start w:w="110" w:type="dxa"/>
              <w:bottom w:w="90" w:type="dxa"/>
              <w:end w:w="110" w:type="dxa"/>
            </w:tcMar>
            <w:vAlign w:val="top"/>
          </w:tcPr>
          <w:p>
            <w:r>
              <w:t>Accuracy</w:t>
            </w:r>
          </w:p>
        </w:tc>
        <w:tc>
          <w:tcPr>
            <w:tcW w:type="dxa" w:w="8352"/>
            <w:tcMar>
              <w:top w:w="90" w:type="dxa"/>
              <w:start w:w="110" w:type="dxa"/>
              <w:bottom w:w="90" w:type="dxa"/>
              <w:end w:w="110" w:type="dxa"/>
            </w:tcMar>
            <w:vAlign w:val="top"/>
          </w:tcPr>
          <w:p>
            <w:r>
              <w:t>Values correctly reflect the source/business reality. Often validated through source reconciliation, independent rules or expert review.</w:t>
            </w:r>
          </w:p>
        </w:tc>
      </w:tr>
      <w:tr>
        <w:trPr>
          <w:cantSplit/>
        </w:trPr>
        <w:tc>
          <w:tcPr>
            <w:tcW w:type="dxa" w:w="2448"/>
            <w:tcMar>
              <w:top w:w="90" w:type="dxa"/>
              <w:start w:w="110" w:type="dxa"/>
              <w:bottom w:w="90" w:type="dxa"/>
              <w:end w:w="110" w:type="dxa"/>
            </w:tcMar>
            <w:vAlign w:val="top"/>
          </w:tcPr>
          <w:p>
            <w:r>
              <w:t>Completeness</w:t>
            </w:r>
          </w:p>
        </w:tc>
        <w:tc>
          <w:tcPr>
            <w:tcW w:type="dxa" w:w="8352"/>
            <w:tcMar>
              <w:top w:w="90" w:type="dxa"/>
              <w:start w:w="110" w:type="dxa"/>
              <w:bottom w:w="90" w:type="dxa"/>
              <w:end w:w="110" w:type="dxa"/>
            </w:tcMar>
            <w:vAlign w:val="top"/>
          </w:tcPr>
          <w:p>
            <w:r>
              <w:t>Expected records and fields are present. Measure coverage by source, company, region, period and product.</w:t>
            </w:r>
          </w:p>
        </w:tc>
      </w:tr>
      <w:tr>
        <w:trPr>
          <w:cantSplit/>
        </w:trPr>
        <w:tc>
          <w:tcPr>
            <w:tcW w:type="dxa" w:w="2448"/>
            <w:tcMar>
              <w:top w:w="90" w:type="dxa"/>
              <w:start w:w="110" w:type="dxa"/>
              <w:bottom w:w="90" w:type="dxa"/>
              <w:end w:w="110" w:type="dxa"/>
            </w:tcMar>
            <w:vAlign w:val="top"/>
          </w:tcPr>
          <w:p>
            <w:r>
              <w:t>Timeliness / freshness</w:t>
            </w:r>
          </w:p>
        </w:tc>
        <w:tc>
          <w:tcPr>
            <w:tcW w:type="dxa" w:w="8352"/>
            <w:tcMar>
              <w:top w:w="90" w:type="dxa"/>
              <w:start w:w="110" w:type="dxa"/>
              <w:bottom w:w="90" w:type="dxa"/>
              <w:end w:w="110" w:type="dxa"/>
            </w:tcMar>
            <w:vAlign w:val="top"/>
          </w:tcPr>
          <w:p>
            <w:r>
              <w:t>Data arrives within agreed SLA and has not silently stopped updating.</w:t>
            </w:r>
          </w:p>
        </w:tc>
      </w:tr>
      <w:tr>
        <w:trPr>
          <w:cantSplit/>
        </w:trPr>
        <w:tc>
          <w:tcPr>
            <w:tcW w:type="dxa" w:w="2448"/>
            <w:tcMar>
              <w:top w:w="90" w:type="dxa"/>
              <w:start w:w="110" w:type="dxa"/>
              <w:bottom w:w="90" w:type="dxa"/>
              <w:end w:w="110" w:type="dxa"/>
            </w:tcMar>
            <w:vAlign w:val="top"/>
          </w:tcPr>
          <w:p>
            <w:r>
              <w:t>Uniqueness</w:t>
            </w:r>
          </w:p>
        </w:tc>
        <w:tc>
          <w:tcPr>
            <w:tcW w:type="dxa" w:w="8352"/>
            <w:tcMar>
              <w:top w:w="90" w:type="dxa"/>
              <w:start w:w="110" w:type="dxa"/>
              <w:bottom w:w="90" w:type="dxa"/>
              <w:end w:w="110" w:type="dxa"/>
            </w:tcMar>
            <w:vAlign w:val="top"/>
          </w:tcPr>
          <w:p>
            <w:r>
              <w:t>Business entities/events are not duplicated. Requires correct keys and entity-resolution semantics.</w:t>
            </w:r>
          </w:p>
        </w:tc>
      </w:tr>
      <w:tr>
        <w:trPr>
          <w:cantSplit/>
        </w:trPr>
        <w:tc>
          <w:tcPr>
            <w:tcW w:type="dxa" w:w="2448"/>
            <w:tcMar>
              <w:top w:w="90" w:type="dxa"/>
              <w:start w:w="110" w:type="dxa"/>
              <w:bottom w:w="90" w:type="dxa"/>
              <w:end w:w="110" w:type="dxa"/>
            </w:tcMar>
            <w:vAlign w:val="top"/>
          </w:tcPr>
          <w:p>
            <w:r>
              <w:t>Validity</w:t>
            </w:r>
          </w:p>
        </w:tc>
        <w:tc>
          <w:tcPr>
            <w:tcW w:type="dxa" w:w="8352"/>
            <w:tcMar>
              <w:top w:w="90" w:type="dxa"/>
              <w:start w:w="110" w:type="dxa"/>
              <w:bottom w:w="90" w:type="dxa"/>
              <w:end w:w="110" w:type="dxa"/>
            </w:tcMar>
            <w:vAlign w:val="top"/>
          </w:tcPr>
          <w:p>
            <w:r>
              <w:t>Values conform to schema, type, range, reference and business constraints.</w:t>
            </w:r>
          </w:p>
        </w:tc>
      </w:tr>
      <w:tr>
        <w:trPr>
          <w:cantSplit/>
        </w:trPr>
        <w:tc>
          <w:tcPr>
            <w:tcW w:type="dxa" w:w="2448"/>
            <w:tcMar>
              <w:top w:w="90" w:type="dxa"/>
              <w:start w:w="110" w:type="dxa"/>
              <w:bottom w:w="90" w:type="dxa"/>
              <w:end w:w="110" w:type="dxa"/>
            </w:tcMar>
            <w:vAlign w:val="top"/>
          </w:tcPr>
          <w:p>
            <w:r>
              <w:t>Consistency</w:t>
            </w:r>
          </w:p>
        </w:tc>
        <w:tc>
          <w:tcPr>
            <w:tcW w:type="dxa" w:w="8352"/>
            <w:tcMar>
              <w:top w:w="90" w:type="dxa"/>
              <w:start w:w="110" w:type="dxa"/>
              <w:bottom w:w="90" w:type="dxa"/>
              <w:end w:w="110" w:type="dxa"/>
            </w:tcMar>
            <w:vAlign w:val="top"/>
          </w:tcPr>
          <w:p>
            <w:r>
              <w:t>The same concept agrees across related tables and systems or differences are explicitly explained.</w:t>
            </w:r>
          </w:p>
        </w:tc>
      </w:tr>
      <w:tr>
        <w:trPr>
          <w:cantSplit/>
        </w:trPr>
        <w:tc>
          <w:tcPr>
            <w:tcW w:type="dxa" w:w="2448"/>
            <w:tcMar>
              <w:top w:w="90" w:type="dxa"/>
              <w:start w:w="110" w:type="dxa"/>
              <w:bottom w:w="90" w:type="dxa"/>
              <w:end w:w="110" w:type="dxa"/>
            </w:tcMar>
            <w:vAlign w:val="top"/>
          </w:tcPr>
          <w:p>
            <w:r>
              <w:t>Provenance</w:t>
            </w:r>
          </w:p>
        </w:tc>
        <w:tc>
          <w:tcPr>
            <w:tcW w:type="dxa" w:w="8352"/>
            <w:tcMar>
              <w:top w:w="90" w:type="dxa"/>
              <w:start w:w="110" w:type="dxa"/>
              <w:bottom w:w="90" w:type="dxa"/>
              <w:end w:w="110" w:type="dxa"/>
            </w:tcMar>
            <w:vAlign w:val="top"/>
          </w:tcPr>
          <w:p>
            <w:r>
              <w:t>Every important value can be traced to source record/document and transformation logic.</w:t>
            </w:r>
          </w:p>
        </w:tc>
      </w:tr>
      <w:tr>
        <w:trPr>
          <w:cantSplit/>
        </w:trPr>
        <w:tc>
          <w:tcPr>
            <w:tcW w:type="dxa" w:w="2448"/>
            <w:tcMar>
              <w:top w:w="90" w:type="dxa"/>
              <w:start w:w="110" w:type="dxa"/>
              <w:bottom w:w="90" w:type="dxa"/>
              <w:end w:w="110" w:type="dxa"/>
            </w:tcMar>
            <w:vAlign w:val="top"/>
          </w:tcPr>
          <w:p>
            <w:r>
              <w:t>Lineage</w:t>
            </w:r>
          </w:p>
        </w:tc>
        <w:tc>
          <w:tcPr>
            <w:tcW w:type="dxa" w:w="8352"/>
            <w:tcMar>
              <w:top w:w="90" w:type="dxa"/>
              <w:start w:w="110" w:type="dxa"/>
              <w:bottom w:w="90" w:type="dxa"/>
              <w:end w:w="110" w:type="dxa"/>
            </w:tcMar>
            <w:vAlign w:val="top"/>
          </w:tcPr>
          <w:p>
            <w:r>
              <w:t>Track upstream/downstream dependencies so impact analysis and incident diagnosis are possible.</w:t>
            </w:r>
          </w:p>
        </w:tc>
      </w:tr>
      <w:tr>
        <w:trPr>
          <w:cantSplit/>
        </w:trPr>
        <w:tc>
          <w:tcPr>
            <w:tcW w:type="dxa" w:w="2448"/>
            <w:tcMar>
              <w:top w:w="90" w:type="dxa"/>
              <w:start w:w="110" w:type="dxa"/>
              <w:bottom w:w="90" w:type="dxa"/>
              <w:end w:w="110" w:type="dxa"/>
            </w:tcMar>
            <w:vAlign w:val="top"/>
          </w:tcPr>
          <w:p>
            <w:r>
              <w:t>Observability</w:t>
            </w:r>
          </w:p>
        </w:tc>
        <w:tc>
          <w:tcPr>
            <w:tcW w:type="dxa" w:w="8352"/>
            <w:tcMar>
              <w:top w:w="90" w:type="dxa"/>
              <w:start w:w="110" w:type="dxa"/>
              <w:bottom w:w="90" w:type="dxa"/>
              <w:end w:w="110" w:type="dxa"/>
            </w:tcMar>
            <w:vAlign w:val="top"/>
          </w:tcPr>
          <w:p>
            <w:r>
              <w:t>Metrics and alerts for pipeline health plus data health, not only application exceptions.</w:t>
            </w:r>
          </w:p>
        </w:tc>
      </w:tr>
    </w:tbl>
    <w:p>
      <w:pPr>
        <w:pStyle w:val="Heading2"/>
        <w:keepNext/>
      </w:pPr>
      <w:r>
        <w:t>Data quality layers</w:t>
      </w:r>
    </w:p>
    <w:p>
      <w:pPr>
        <w:pStyle w:val="CodeBlock"/>
      </w:pPr>
      <w:r>
        <w:t>Schema -&gt; field validity -&gt; referential integrity -&gt; entity resolution -&gt; business rules -&gt; reconciliation -&gt; freshness/completeness -&gt; distribution/drift -&gt; consumer SLA</w:t>
      </w:r>
    </w:p>
    <w:p>
      <w:pPr>
        <w:pStyle w:val="Heading2"/>
        <w:keepNext/>
      </w:pPr>
      <w:r>
        <w:t>What would you monitor?</w:t>
      </w:r>
    </w:p>
    <w:p>
      <w:pPr>
        <w:pStyle w:val="ListBullet"/>
        <w:spacing w:after="50" w:line="240" w:lineRule="auto"/>
      </w:pPr>
      <w:r>
        <w:t>Run status, duration, retries and queue time.</w:t>
      </w:r>
    </w:p>
    <w:p>
      <w:pPr>
        <w:pStyle w:val="ListBullet"/>
        <w:spacing w:after="50" w:line="240" w:lineRule="auto"/>
      </w:pPr>
      <w:r>
        <w:t>Source watermark / latest source timestamp and expected delivery windows.</w:t>
      </w:r>
    </w:p>
    <w:p>
      <w:pPr>
        <w:pStyle w:val="ListBullet"/>
        <w:spacing w:after="50" w:line="240" w:lineRule="auto"/>
      </w:pPr>
      <w:r>
        <w:t>Source count, accepted count, rejected count, duplicates and merge counts.</w:t>
      </w:r>
    </w:p>
    <w:p>
      <w:pPr>
        <w:pStyle w:val="ListBullet"/>
        <w:spacing w:after="50" w:line="240" w:lineRule="auto"/>
      </w:pPr>
      <w:r>
        <w:t>Coverage by key dimensions such as geography, sector and source.</w:t>
      </w:r>
    </w:p>
    <w:p>
      <w:pPr>
        <w:pStyle w:val="ListBullet"/>
        <w:spacing w:after="50" w:line="240" w:lineRule="auto"/>
      </w:pPr>
      <w:r>
        <w:t>Null/invalid rates for critical fields.</w:t>
      </w:r>
    </w:p>
    <w:p>
      <w:pPr>
        <w:pStyle w:val="ListBullet"/>
        <w:spacing w:after="50" w:line="240" w:lineRule="auto"/>
      </w:pPr>
      <w:r>
        <w:t>Entity-match confidence distribution and manual-review backlog if entity resolution is probabilistic.</w:t>
      </w:r>
    </w:p>
    <w:p>
      <w:pPr>
        <w:pStyle w:val="ListBullet"/>
        <w:spacing w:after="50" w:line="240" w:lineRule="auto"/>
      </w:pPr>
      <w:r>
        <w:t>Warehouse scan/compute cost and abnormal query patterns.</w:t>
      </w:r>
    </w:p>
    <w:p>
      <w:pPr>
        <w:pStyle w:val="ListBullet"/>
        <w:spacing w:after="50" w:line="240" w:lineRule="auto"/>
      </w:pPr>
      <w:r>
        <w:t>Downstream dataset freshness and failed tests linked to owners.</w:t>
      </w:r>
    </w:p>
    <w:p>
      <w:pPr>
        <w:pStyle w:val="Heading2"/>
        <w:keepNext/>
      </w:pPr>
      <w:r>
        <w:t>Data contracts</w:t>
      </w:r>
    </w:p>
    <w:p>
      <w:pPr>
        <w:spacing w:after="80" w:line="245" w:lineRule="auto"/>
      </w:pPr>
      <w:r>
        <w:t>A data contract should make schema, semantics, ownership, freshness expectations, quality rules and change process explicit. For internal analytical products, the contract should also identify grain and point-in-time semantics so consumers do not interpret a table differently.</w:t>
      </w:r>
    </w:p>
    <w:p>
      <w:pPr>
        <w:pStyle w:val="Heading1"/>
        <w:keepNext/>
      </w:pPr>
      <w:r>
        <w:t>20. Working with Data Scientists and Analytical Users</w:t>
      </w:r>
    </w:p>
    <w:p>
      <w:pPr>
        <w:spacing w:after="80" w:line="245" w:lineRule="auto"/>
      </w:pPr>
      <w:r>
        <w:t>Because both interviewers are in data science / analytics, this section is high priority.</w:t>
      </w:r>
    </w:p>
    <w:tbl>
      <w:tblPr>
        <w:tblStyle w:val="TableGrid"/>
        <w:tblW w:type="auto" w:w="0"/>
        <w:jc w:val="center"/>
        <w:tblLook w:firstColumn="1" w:firstRow="1" w:lastColumn="0" w:lastRow="0" w:noHBand="0" w:noVBand="1" w:val="04A0"/>
      </w:tblPr>
      <w:tblGrid>
        <w:gridCol w:w="5227"/>
        <w:gridCol w:w="5227"/>
      </w:tblGrid>
      <w:tr>
        <w:trPr>
          <w:cantSplit/>
        </w:trPr>
        <w:tc>
          <w:tcPr>
            <w:tcW w:type="dxa" w:w="2880"/>
            <w:shd w:fill="18365D"/>
            <w:vAlign w:val="center"/>
            <w:tcMar>
              <w:top w:w="90" w:type="dxa"/>
              <w:start w:w="110" w:type="dxa"/>
              <w:bottom w:w="90" w:type="dxa"/>
              <w:end w:w="110" w:type="dxa"/>
            </w:tcMar>
          </w:tcPr>
          <w:p>
            <w:r>
              <w:rPr>
                <w:b/>
                <w:color w:val="FFFFFF"/>
              </w:rPr>
              <w:t>Concern</w:t>
            </w:r>
          </w:p>
        </w:tc>
        <w:tc>
          <w:tcPr>
            <w:tcW w:type="dxa" w:w="7920"/>
            <w:shd w:fill="18365D"/>
            <w:vAlign w:val="center"/>
            <w:tcMar>
              <w:top w:w="90" w:type="dxa"/>
              <w:start w:w="110" w:type="dxa"/>
              <w:bottom w:w="90" w:type="dxa"/>
              <w:end w:w="110" w:type="dxa"/>
            </w:tcMar>
          </w:tcPr>
          <w:p>
            <w:r>
              <w:rPr>
                <w:b/>
                <w:color w:val="FFFFFF"/>
              </w:rPr>
              <w:t>Data engineering response</w:t>
            </w:r>
          </w:p>
        </w:tc>
      </w:tr>
      <w:tr>
        <w:trPr>
          <w:cantSplit/>
        </w:trPr>
        <w:tc>
          <w:tcPr>
            <w:tcW w:type="dxa" w:w="2880"/>
            <w:tcMar>
              <w:top w:w="90" w:type="dxa"/>
              <w:start w:w="110" w:type="dxa"/>
              <w:bottom w:w="90" w:type="dxa"/>
              <w:end w:w="110" w:type="dxa"/>
            </w:tcMar>
            <w:vAlign w:val="top"/>
          </w:tcPr>
          <w:p>
            <w:r>
              <w:t>Point-in-time correctness</w:t>
            </w:r>
          </w:p>
        </w:tc>
        <w:tc>
          <w:tcPr>
            <w:tcW w:type="dxa" w:w="7920"/>
            <w:tcMar>
              <w:top w:w="90" w:type="dxa"/>
              <w:start w:w="110" w:type="dxa"/>
              <w:bottom w:w="90" w:type="dxa"/>
              <w:end w:w="110" w:type="dxa"/>
            </w:tcMar>
            <w:vAlign w:val="top"/>
          </w:tcPr>
          <w:p>
            <w:r>
              <w:t>Training data must contain only information available at prediction time. Use effective and observation timestamps and reproducible snapshots.</w:t>
            </w:r>
          </w:p>
        </w:tc>
      </w:tr>
      <w:tr>
        <w:trPr>
          <w:cantSplit/>
        </w:trPr>
        <w:tc>
          <w:tcPr>
            <w:tcW w:type="dxa" w:w="2880"/>
            <w:tcMar>
              <w:top w:w="90" w:type="dxa"/>
              <w:start w:w="110" w:type="dxa"/>
              <w:bottom w:w="90" w:type="dxa"/>
              <w:end w:w="110" w:type="dxa"/>
            </w:tcMar>
            <w:vAlign w:val="top"/>
          </w:tcPr>
          <w:p>
            <w:r>
              <w:t>Leakage prevention</w:t>
            </w:r>
          </w:p>
        </w:tc>
        <w:tc>
          <w:tcPr>
            <w:tcW w:type="dxa" w:w="7920"/>
            <w:tcMar>
              <w:top w:w="90" w:type="dxa"/>
              <w:start w:w="110" w:type="dxa"/>
              <w:bottom w:w="90" w:type="dxa"/>
              <w:end w:w="110" w:type="dxa"/>
            </w:tcMar>
            <w:vAlign w:val="top"/>
          </w:tcPr>
          <w:p>
            <w:r>
              <w:t>Do not allow future deal outcomes, revised financials or labels to leak into historical feature rows.</w:t>
            </w:r>
          </w:p>
        </w:tc>
      </w:tr>
      <w:tr>
        <w:trPr>
          <w:cantSplit/>
        </w:trPr>
        <w:tc>
          <w:tcPr>
            <w:tcW w:type="dxa" w:w="2880"/>
            <w:tcMar>
              <w:top w:w="90" w:type="dxa"/>
              <w:start w:w="110" w:type="dxa"/>
              <w:bottom w:w="90" w:type="dxa"/>
              <w:end w:w="110" w:type="dxa"/>
            </w:tcMar>
            <w:vAlign w:val="top"/>
          </w:tcPr>
          <w:p>
            <w:r>
              <w:t>Reproducibility</w:t>
            </w:r>
          </w:p>
        </w:tc>
        <w:tc>
          <w:tcPr>
            <w:tcW w:type="dxa" w:w="7920"/>
            <w:tcMar>
              <w:top w:w="90" w:type="dxa"/>
              <w:start w:w="110" w:type="dxa"/>
              <w:bottom w:w="90" w:type="dxa"/>
              <w:end w:w="110" w:type="dxa"/>
            </w:tcMar>
            <w:vAlign w:val="top"/>
          </w:tcPr>
          <w:p>
            <w:r>
              <w:t>Version source snapshots, transformation code, feature definitions and model inputs so an experiment can be recreated.</w:t>
            </w:r>
          </w:p>
        </w:tc>
      </w:tr>
      <w:tr>
        <w:trPr>
          <w:cantSplit/>
        </w:trPr>
        <w:tc>
          <w:tcPr>
            <w:tcW w:type="dxa" w:w="2880"/>
            <w:tcMar>
              <w:top w:w="90" w:type="dxa"/>
              <w:start w:w="110" w:type="dxa"/>
              <w:bottom w:w="90" w:type="dxa"/>
              <w:end w:w="110" w:type="dxa"/>
            </w:tcMar>
            <w:vAlign w:val="top"/>
          </w:tcPr>
          <w:p>
            <w:r>
              <w:t>Feature quality</w:t>
            </w:r>
          </w:p>
        </w:tc>
        <w:tc>
          <w:tcPr>
            <w:tcW w:type="dxa" w:w="7920"/>
            <w:tcMar>
              <w:top w:w="90" w:type="dxa"/>
              <w:start w:w="110" w:type="dxa"/>
              <w:bottom w:w="90" w:type="dxa"/>
              <w:end w:w="110" w:type="dxa"/>
            </w:tcMar>
            <w:vAlign w:val="top"/>
          </w:tcPr>
          <w:p>
            <w:r>
              <w:t>Define owner, data type, business meaning, refresh frequency, null rules and distribution expectations.</w:t>
            </w:r>
          </w:p>
        </w:tc>
      </w:tr>
      <w:tr>
        <w:trPr>
          <w:cantSplit/>
        </w:trPr>
        <w:tc>
          <w:tcPr>
            <w:tcW w:type="dxa" w:w="2880"/>
            <w:tcMar>
              <w:top w:w="90" w:type="dxa"/>
              <w:start w:w="110" w:type="dxa"/>
              <w:bottom w:w="90" w:type="dxa"/>
              <w:end w:w="110" w:type="dxa"/>
            </w:tcMar>
            <w:vAlign w:val="top"/>
          </w:tcPr>
          <w:p>
            <w:r>
              <w:t>Training / serving consistency</w:t>
            </w:r>
          </w:p>
        </w:tc>
        <w:tc>
          <w:tcPr>
            <w:tcW w:type="dxa" w:w="7920"/>
            <w:tcMar>
              <w:top w:w="90" w:type="dxa"/>
              <w:start w:w="110" w:type="dxa"/>
              <w:bottom w:w="90" w:type="dxa"/>
              <w:end w:w="110" w:type="dxa"/>
            </w:tcMar>
            <w:vAlign w:val="top"/>
          </w:tcPr>
          <w:p>
            <w:r>
              <w:t>Where online serving is needed, keep transformation logic consistent or generated from shared definitions.</w:t>
            </w:r>
          </w:p>
        </w:tc>
      </w:tr>
      <w:tr>
        <w:trPr>
          <w:cantSplit/>
        </w:trPr>
        <w:tc>
          <w:tcPr>
            <w:tcW w:type="dxa" w:w="2880"/>
            <w:tcMar>
              <w:top w:w="90" w:type="dxa"/>
              <w:start w:w="110" w:type="dxa"/>
              <w:bottom w:w="90" w:type="dxa"/>
              <w:end w:w="110" w:type="dxa"/>
            </w:tcMar>
            <w:vAlign w:val="top"/>
          </w:tcPr>
          <w:p>
            <w:r>
              <w:t>Backfills</w:t>
            </w:r>
          </w:p>
        </w:tc>
        <w:tc>
          <w:tcPr>
            <w:tcW w:type="dxa" w:w="7920"/>
            <w:tcMar>
              <w:top w:w="90" w:type="dxa"/>
              <w:start w:w="110" w:type="dxa"/>
              <w:bottom w:w="90" w:type="dxa"/>
              <w:end w:w="110" w:type="dxa"/>
            </w:tcMar>
            <w:vAlign w:val="top"/>
          </w:tcPr>
          <w:p>
            <w:r>
              <w:t>Backfill features using historical point-in-time logic, not current-state tables.</w:t>
            </w:r>
          </w:p>
        </w:tc>
      </w:tr>
      <w:tr>
        <w:trPr>
          <w:cantSplit/>
        </w:trPr>
        <w:tc>
          <w:tcPr>
            <w:tcW w:type="dxa" w:w="2880"/>
            <w:tcMar>
              <w:top w:w="90" w:type="dxa"/>
              <w:start w:w="110" w:type="dxa"/>
              <w:bottom w:w="90" w:type="dxa"/>
              <w:end w:w="110" w:type="dxa"/>
            </w:tcMar>
            <w:vAlign w:val="top"/>
          </w:tcPr>
          <w:p>
            <w:r>
              <w:t>Schema changes</w:t>
            </w:r>
          </w:p>
        </w:tc>
        <w:tc>
          <w:tcPr>
            <w:tcW w:type="dxa" w:w="7920"/>
            <w:tcMar>
              <w:top w:w="90" w:type="dxa"/>
              <w:start w:w="110" w:type="dxa"/>
              <w:bottom w:w="90" w:type="dxa"/>
              <w:end w:w="110" w:type="dxa"/>
            </w:tcMar>
            <w:vAlign w:val="top"/>
          </w:tcPr>
          <w:p>
            <w:r>
              <w:t>Use contracts/versioning so model pipelines do not silently consume incompatible fields.</w:t>
            </w:r>
          </w:p>
        </w:tc>
      </w:tr>
      <w:tr>
        <w:trPr>
          <w:cantSplit/>
        </w:trPr>
        <w:tc>
          <w:tcPr>
            <w:tcW w:type="dxa" w:w="2880"/>
            <w:tcMar>
              <w:top w:w="90" w:type="dxa"/>
              <w:start w:w="110" w:type="dxa"/>
              <w:bottom w:w="90" w:type="dxa"/>
              <w:end w:w="110" w:type="dxa"/>
            </w:tcMar>
            <w:vAlign w:val="top"/>
          </w:tcPr>
          <w:p>
            <w:r>
              <w:t>Communication</w:t>
            </w:r>
          </w:p>
        </w:tc>
        <w:tc>
          <w:tcPr>
            <w:tcW w:type="dxa" w:w="7920"/>
            <w:tcMar>
              <w:top w:w="90" w:type="dxa"/>
              <w:start w:w="110" w:type="dxa"/>
              <w:bottom w:w="90" w:type="dxa"/>
              <w:end w:w="110" w:type="dxa"/>
            </w:tcMar>
            <w:vAlign w:val="top"/>
          </w:tcPr>
          <w:p>
            <w:r>
              <w:t>Ask what decision/model needs the data, required grain, label horizon, latency and acceptable missingness before designing the dataset.</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shd w:fill="E2F0D9"/>
            <w:tcMar>
              <w:top w:w="120" w:type="dxa"/>
              <w:start w:w="140" w:type="dxa"/>
              <w:bottom w:w="120" w:type="dxa"/>
              <w:end w:w="140" w:type="dxa"/>
            </w:tcMar>
          </w:tcPr>
          <w:p>
            <w:r>
              <w:rPr>
                <w:b/>
                <w:color w:val="18365D"/>
              </w:rPr>
              <w:t>Relevant product example</w:t>
              <w:br/>
            </w:r>
            <w:r>
              <w:t>Preqin public material mentions an Actionability Signal that identifies companies likely to become open for investment in the coming months. If asked about supporting a model of this type, focus on point-in-time labels/features, leakage prevention, reproducible training datasets, source provenance, feature freshness and monitoring. Do not speculate about the actual model architecture.</w:t>
            </w:r>
          </w:p>
        </w:tc>
      </w:tr>
    </w:tbl>
    <w:p>
      <w:pPr>
        <w:pStyle w:val="Heading1"/>
        <w:keepNext/>
      </w:pPr>
      <w:r>
        <w:t>21. Technical Scenario: Expand the Private Company Universe</w:t>
      </w:r>
    </w:p>
    <w:p>
      <w:pPr>
        <w:spacing w:after="80" w:line="245" w:lineRule="auto"/>
      </w:pPr>
      <w:r>
        <w:t>Question: Design a platform to ingest and curate millions of private-company records from heterogeneous sources while supporting product analytics and data science.</w:t>
      </w:r>
    </w:p>
    <w:p>
      <w:pPr>
        <w:pStyle w:val="Heading2"/>
        <w:keepNext/>
      </w:pPr>
      <w:r>
        <w:t>Clarify first</w:t>
      </w:r>
    </w:p>
    <w:p>
      <w:pPr>
        <w:pStyle w:val="ListBullet"/>
        <w:spacing w:after="50" w:line="240" w:lineRule="auto"/>
      </w:pPr>
      <w:r>
        <w:t>Sources and contracts: APIs, files, documents, research feeds, manual curation?</w:t>
      </w:r>
    </w:p>
    <w:p>
      <w:pPr>
        <w:pStyle w:val="ListBullet"/>
        <w:spacing w:after="50" w:line="240" w:lineRule="auto"/>
      </w:pPr>
      <w:r>
        <w:t>Volume, frequency and latency requirements.</w:t>
      </w:r>
    </w:p>
    <w:p>
      <w:pPr>
        <w:pStyle w:val="ListBullet"/>
        <w:spacing w:after="50" w:line="240" w:lineRule="auto"/>
      </w:pPr>
      <w:r>
        <w:t>Are records append-only events, current snapshots or both?</w:t>
      </w:r>
    </w:p>
    <w:p>
      <w:pPr>
        <w:pStyle w:val="ListBullet"/>
        <w:spacing w:after="50" w:line="240" w:lineRule="auto"/>
      </w:pPr>
      <w:r>
        <w:t>What is the canonical company identity and which identifiers are trusted?</w:t>
      </w:r>
    </w:p>
    <w:p>
      <w:pPr>
        <w:pStyle w:val="ListBullet"/>
        <w:spacing w:after="50" w:line="240" w:lineRule="auto"/>
      </w:pPr>
      <w:r>
        <w:t>How are source disagreements resolved and which values require human review?</w:t>
      </w:r>
    </w:p>
    <w:p>
      <w:pPr>
        <w:pStyle w:val="ListBullet"/>
        <w:spacing w:after="50" w:line="240" w:lineRule="auto"/>
      </w:pPr>
      <w:r>
        <w:t>Downstream use: product search, API, dashboards, data science, exports?</w:t>
      </w:r>
    </w:p>
    <w:p>
      <w:pPr>
        <w:pStyle w:val="ListBullet"/>
        <w:spacing w:after="50" w:line="240" w:lineRule="auto"/>
      </w:pPr>
      <w:r>
        <w:t>Regulatory/licensing constraints and row/field entitlements?</w:t>
      </w:r>
    </w:p>
    <w:p>
      <w:pPr>
        <w:pStyle w:val="ListBullet"/>
        <w:spacing w:after="50" w:line="240" w:lineRule="auto"/>
      </w:pPr>
      <w:r>
        <w:t>Recovery, audit, point-in-time and historical reconstruction requirements?</w:t>
      </w:r>
    </w:p>
    <w:p>
      <w:pPr>
        <w:pStyle w:val="Heading2"/>
        <w:keepNext/>
      </w:pPr>
      <w:r>
        <w:t>Proposed design</w:t>
      </w:r>
    </w:p>
    <w:p>
      <w:pPr>
        <w:pStyle w:val="ListBullet"/>
        <w:spacing w:after="50" w:line="240" w:lineRule="auto"/>
      </w:pPr>
      <w:r>
        <w:t>Land every source in an immutable raw zone with source ID, ingestion time, file/object hash, schema version and effective/observation dates.</w:t>
      </w:r>
    </w:p>
    <w:p>
      <w:pPr>
        <w:pStyle w:val="ListBullet"/>
        <w:spacing w:after="50" w:line="240" w:lineRule="auto"/>
      </w:pPr>
      <w:r>
        <w:t>Run structural validation and quarantine malformed records without losing raw evidence.</w:t>
      </w:r>
    </w:p>
    <w:p>
      <w:pPr>
        <w:pStyle w:val="ListBullet"/>
        <w:spacing w:after="50" w:line="240" w:lineRule="auto"/>
      </w:pPr>
      <w:r>
        <w:t>Normalize source-specific schemas into standardized staging models.</w:t>
      </w:r>
    </w:p>
    <w:p>
      <w:pPr>
        <w:pStyle w:val="ListBullet"/>
        <w:spacing w:after="50" w:line="240" w:lineRule="auto"/>
      </w:pPr>
      <w:r>
        <w:t>Run entity-resolution pipeline using strong identifiers first, deterministic normalized attributes second and probabilistic/fuzzy matching only where needed. Preserve candidate score, rule/model version and review decision.</w:t>
      </w:r>
    </w:p>
    <w:p>
      <w:pPr>
        <w:pStyle w:val="ListBullet"/>
        <w:spacing w:after="50" w:line="240" w:lineRule="auto"/>
      </w:pPr>
      <w:r>
        <w:t>Publish canonical company/deal/ownership datasets in Snowflake with effective dating and provenance links.</w:t>
      </w:r>
    </w:p>
    <w:p>
      <w:pPr>
        <w:pStyle w:val="ListBullet"/>
        <w:spacing w:after="50" w:line="240" w:lineRule="auto"/>
      </w:pPr>
      <w:r>
        <w:t>Use dbt-style transformations and tests for warehouse models; Airflow for end-to-end orchestration and backfills.</w:t>
      </w:r>
    </w:p>
    <w:p>
      <w:pPr>
        <w:pStyle w:val="ListBullet"/>
        <w:spacing w:after="50" w:line="240" w:lineRule="auto"/>
      </w:pPr>
      <w:r>
        <w:t>Expose domain marts and model-ready feature datasets rather than allowing every consumer to recreate entity joins independently.</w:t>
      </w:r>
    </w:p>
    <w:p>
      <w:pPr>
        <w:pStyle w:val="ListBullet"/>
        <w:spacing w:after="50" w:line="240" w:lineRule="auto"/>
      </w:pPr>
      <w:r>
        <w:t>Monitor coverage, freshness, duplicate rates, unresolved matches, schema changes, source/target counts and compute cost.</w:t>
      </w:r>
    </w:p>
    <w:p>
      <w:pPr>
        <w:pStyle w:val="ListBullet"/>
        <w:spacing w:after="50" w:line="240" w:lineRule="auto"/>
      </w:pPr>
      <w:r>
        <w:t>Use RBAC, data classification, secrets management and licensed-use controls appropriate to the data.</w:t>
      </w:r>
    </w:p>
    <w:p>
      <w:pPr>
        <w:pStyle w:val="Heading2"/>
        <w:keepNext/>
      </w:pPr>
      <w:r>
        <w:t>Trade-offs to mention</w:t>
      </w:r>
    </w:p>
    <w:p>
      <w:pPr>
        <w:pStyle w:val="ListBullet"/>
        <w:spacing w:after="50" w:line="240" w:lineRule="auto"/>
      </w:pPr>
      <w:r>
        <w:t>Do not force real-time streaming if daily or hourly freshness meets product needs.</w:t>
      </w:r>
    </w:p>
    <w:p>
      <w:pPr>
        <w:pStyle w:val="ListBullet"/>
        <w:spacing w:after="50" w:line="240" w:lineRule="auto"/>
      </w:pPr>
      <w:r>
        <w:t>Do not use fuzzy entity matching as the first approach when authoritative registration identifiers exist.</w:t>
      </w:r>
    </w:p>
    <w:p>
      <w:pPr>
        <w:pStyle w:val="ListBullet"/>
        <w:spacing w:after="50" w:line="240" w:lineRule="auto"/>
      </w:pPr>
      <w:r>
        <w:t>Do not collapse raw source history into only a current golden record; keep traceability.</w:t>
      </w:r>
    </w:p>
    <w:p>
      <w:pPr>
        <w:pStyle w:val="ListBullet"/>
        <w:spacing w:after="50" w:line="240" w:lineRule="auto"/>
      </w:pPr>
      <w:r>
        <w:t>Do not centralize every transformation in one giant model. Build reusable, domain-oriented datasets with ownership.</w:t>
      </w:r>
    </w:p>
    <w:p>
      <w:pPr>
        <w:pStyle w:val="Heading1"/>
        <w:keepNext/>
      </w:pPr>
      <w:r>
        <w:t>22. Technical Scenario: Entity Resolution for Private Companies</w:t>
      </w:r>
    </w:p>
    <w:p>
      <w:pPr>
        <w:pStyle w:val="CodeBlock"/>
      </w:pPr>
      <w:r>
        <w:t>Source records</w:t>
        <w:br/>
        <w:t xml:space="preserve">    |</w:t>
        <w:br/>
        <w:t>Normalize names / addresses / identifiers</w:t>
        <w:br/>
        <w:t xml:space="preserve">    |</w:t>
        <w:br/>
        <w:t>Exact trusted-ID matching</w:t>
        <w:br/>
        <w:t xml:space="preserve">    |</w:t>
        <w:br/>
        <w:t>Deterministic rules</w:t>
        <w:br/>
        <w:t xml:space="preserve">    |</w:t>
        <w:br/>
        <w:t>Candidate generation</w:t>
        <w:br/>
        <w:t xml:space="preserve">    |</w:t>
        <w:br/>
        <w:t>Scoring / probabilistic match</w:t>
        <w:br/>
        <w:t xml:space="preserve">    |</w:t>
        <w:br/>
        <w:t>Thresholds: auto-match | review | new entity</w:t>
        <w:br/>
        <w:t xml:space="preserve">    |</w:t>
        <w:br/>
        <w:t>Canonical company + match audit trail</w:t>
        <w:br/>
      </w:r>
    </w:p>
    <w:p>
      <w:pPr>
        <w:pStyle w:val="ListBullet"/>
        <w:spacing w:after="50" w:line="240" w:lineRule="auto"/>
      </w:pPr>
      <w:r>
        <w:t>Normalize but preserve originals. Normalization may include case, punctuation, legal suffixes, address standards and transliteration.</w:t>
      </w:r>
    </w:p>
    <w:p>
      <w:pPr>
        <w:pStyle w:val="ListBullet"/>
        <w:spacing w:after="50" w:line="240" w:lineRule="auto"/>
      </w:pPr>
      <w:r>
        <w:t>Use authoritative identifiers when available, but account for reuse/errors and identifier scope.</w:t>
      </w:r>
    </w:p>
    <w:p>
      <w:pPr>
        <w:pStyle w:val="ListBullet"/>
        <w:spacing w:after="50" w:line="240" w:lineRule="auto"/>
      </w:pPr>
      <w:r>
        <w:t>Candidate generation prevents comparing every record to every company.</w:t>
      </w:r>
    </w:p>
    <w:p>
      <w:pPr>
        <w:pStyle w:val="ListBullet"/>
        <w:spacing w:after="50" w:line="240" w:lineRule="auto"/>
      </w:pPr>
      <w:r>
        <w:t>Use multiple signals: name similarity, address, country, domain, registration number, parent relationship and known aliases.</w:t>
      </w:r>
    </w:p>
    <w:p>
      <w:pPr>
        <w:pStyle w:val="ListBullet"/>
        <w:spacing w:after="50" w:line="240" w:lineRule="auto"/>
      </w:pPr>
      <w:r>
        <w:t>Keep explainability: which rule/features produced the match and what confidence was assigned.</w:t>
      </w:r>
    </w:p>
    <w:p>
      <w:pPr>
        <w:pStyle w:val="ListBullet"/>
        <w:spacing w:after="50" w:line="240" w:lineRule="auto"/>
      </w:pPr>
      <w:r>
        <w:t>Build a human-review path for ambiguous high-value cases.</w:t>
      </w:r>
    </w:p>
    <w:p>
      <w:pPr>
        <w:pStyle w:val="ListBullet"/>
        <w:spacing w:after="50" w:line="240" w:lineRule="auto"/>
      </w:pPr>
      <w:r>
        <w:t>Measure precision/recall against a labelled validation set; false merges can be more damaging than temporary duplicates.</w:t>
      </w:r>
    </w:p>
    <w:p>
      <w:pPr>
        <w:pStyle w:val="ListBullet"/>
        <w:spacing w:after="50" w:line="240" w:lineRule="auto"/>
      </w:pPr>
      <w:r>
        <w:t>Version matching logic and make re-resolution controlled because changing matching logic can rewrite large portions of the company graph.</w:t>
      </w:r>
    </w:p>
    <w:p>
      <w:pPr>
        <w:pStyle w:val="Heading1"/>
        <w:keepNext/>
      </w:pPr>
      <w:r>
        <w:t>23. Scenario Answers: Reliability and Data Trust</w:t>
      </w:r>
    </w:p>
    <w:p>
      <w:pPr>
        <w:pStyle w:val="Heading2"/>
        <w:keepNext/>
      </w:pPr>
      <w:r>
        <w:t>Company count suddenly drops 8 percent after a release</w:t>
      </w:r>
    </w:p>
    <w:p>
      <w:pPr>
        <w:pStyle w:val="ListBullet"/>
        <w:spacing w:after="50" w:line="240" w:lineRule="auto"/>
      </w:pPr>
      <w:r>
        <w:t>Establish scope: source, geography, sector, date and downstream products affected.</w:t>
      </w:r>
    </w:p>
    <w:p>
      <w:pPr>
        <w:pStyle w:val="ListBullet"/>
        <w:spacing w:after="50" w:line="240" w:lineRule="auto"/>
      </w:pPr>
      <w:r>
        <w:t>Compare expected source population to raw landing. If raw is incomplete, investigate ingestion; if raw is complete, trace stage-by-stage counts.</w:t>
      </w:r>
    </w:p>
    <w:p>
      <w:pPr>
        <w:pStyle w:val="ListBullet"/>
        <w:spacing w:after="50" w:line="240" w:lineRule="auto"/>
      </w:pPr>
      <w:r>
        <w:t>Check schema changes, filters, inner joins, entity-resolution thresholds, deduplication logic and reference-data gaps.</w:t>
      </w:r>
    </w:p>
    <w:p>
      <w:pPr>
        <w:pStyle w:val="ListBullet"/>
        <w:spacing w:after="50" w:line="240" w:lineRule="auto"/>
      </w:pPr>
      <w:r>
        <w:t>Roll back or disable the faulty change if consumer trust is at risk.</w:t>
      </w:r>
    </w:p>
    <w:p>
      <w:pPr>
        <w:pStyle w:val="ListBullet"/>
        <w:spacing w:after="50" w:line="240" w:lineRule="auto"/>
      </w:pPr>
      <w:r>
        <w:t>Replay from raw after fix, reconcile counts and business metrics, and add a regression/coverage control so the same class of issue is detected before release.</w:t>
      </w:r>
    </w:p>
    <w:p>
      <w:pPr>
        <w:pStyle w:val="Heading2"/>
        <w:keepNext/>
      </w:pPr>
      <w:r>
        <w:t>Duplicate companies increase after onboarding a new source</w:t>
      </w:r>
    </w:p>
    <w:p>
      <w:pPr>
        <w:pStyle w:val="ListBullet"/>
        <w:spacing w:after="50" w:line="240" w:lineRule="auto"/>
      </w:pPr>
      <w:r>
        <w:t>Determine whether duplicates are true duplicates, subsidiaries or legal entities that should remain separate.</w:t>
      </w:r>
    </w:p>
    <w:p>
      <w:pPr>
        <w:pStyle w:val="ListBullet"/>
        <w:spacing w:after="50" w:line="240" w:lineRule="auto"/>
      </w:pPr>
      <w:r>
        <w:t>Inspect identifier coverage and normalization quality for the new source.</w:t>
      </w:r>
    </w:p>
    <w:p>
      <w:pPr>
        <w:pStyle w:val="ListBullet"/>
        <w:spacing w:after="50" w:line="240" w:lineRule="auto"/>
      </w:pPr>
      <w:r>
        <w:t>Compare match-score distribution with established sources and review false positives/false negatives.</w:t>
      </w:r>
    </w:p>
    <w:p>
      <w:pPr>
        <w:pStyle w:val="ListBullet"/>
        <w:spacing w:after="50" w:line="240" w:lineRule="auto"/>
      </w:pPr>
      <w:r>
        <w:t>Adjust candidate generation or matching rules using labelled examples; avoid blindly lowering thresholds.</w:t>
      </w:r>
    </w:p>
    <w:p>
      <w:pPr>
        <w:pStyle w:val="ListBullet"/>
        <w:spacing w:after="50" w:line="240" w:lineRule="auto"/>
      </w:pPr>
      <w:r>
        <w:t>Reprocess affected records idempotently and preserve match-decision audit history.</w:t>
      </w:r>
    </w:p>
    <w:p>
      <w:pPr>
        <w:pStyle w:val="Heading2"/>
        <w:keepNext/>
      </w:pPr>
      <w:r>
        <w:t>A data scientist says historical model performance changed after a backfill</w:t>
      </w:r>
    </w:p>
    <w:p>
      <w:pPr>
        <w:pStyle w:val="ListBullet"/>
        <w:spacing w:after="50" w:line="240" w:lineRule="auto"/>
      </w:pPr>
      <w:r>
        <w:t>Check whether current-state data leaked into historical feature rows or whether restated source data was applied without preserving observation time.</w:t>
      </w:r>
    </w:p>
    <w:p>
      <w:pPr>
        <w:pStyle w:val="ListBullet"/>
        <w:spacing w:after="50" w:line="240" w:lineRule="auto"/>
      </w:pPr>
      <w:r>
        <w:t>Recreate the previous dataset version from source snapshots and transformation commit/version.</w:t>
      </w:r>
    </w:p>
    <w:p>
      <w:pPr>
        <w:pStyle w:val="ListBullet"/>
        <w:spacing w:after="50" w:line="240" w:lineRule="auto"/>
      </w:pPr>
      <w:r>
        <w:t>Compare feature distributions and individual records to identify the first divergence.</w:t>
      </w:r>
    </w:p>
    <w:p>
      <w:pPr>
        <w:pStyle w:val="ListBullet"/>
        <w:spacing w:after="50" w:line="240" w:lineRule="auto"/>
      </w:pPr>
      <w:r>
        <w:t>Fix point-in-time logic and establish reproducible dataset versioning plus regression checks for feature generation.</w:t>
      </w:r>
    </w:p>
    <w:p>
      <w:pPr>
        <w:pStyle w:val="Heading2"/>
        <w:keepNext/>
      </w:pPr>
      <w:r>
        <w:t>Snowflake cost doubles</w:t>
      </w:r>
    </w:p>
    <w:p>
      <w:pPr>
        <w:pStyle w:val="ListBullet"/>
        <w:spacing w:after="50" w:line="240" w:lineRule="auto"/>
      </w:pPr>
      <w:r>
        <w:t>Use query and warehouse history to identify the workloads responsible.</w:t>
      </w:r>
    </w:p>
    <w:p>
      <w:pPr>
        <w:pStyle w:val="ListBullet"/>
        <w:spacing w:after="50" w:line="240" w:lineRule="auto"/>
      </w:pPr>
      <w:r>
        <w:t>Check data growth versus inefficient query/model changes, repeated full refreshes, poor pruning, join explosions and warehouse sizing/concurrency.</w:t>
      </w:r>
    </w:p>
    <w:p>
      <w:pPr>
        <w:pStyle w:val="ListBullet"/>
        <w:spacing w:after="50" w:line="240" w:lineRule="auto"/>
      </w:pPr>
      <w:r>
        <w:t>Fix transformation/materialization strategy before simply increasing spend.</w:t>
      </w:r>
    </w:p>
    <w:p>
      <w:pPr>
        <w:pStyle w:val="ListBullet"/>
        <w:spacing w:after="50" w:line="240" w:lineRule="auto"/>
      </w:pPr>
      <w:r>
        <w:t>Use auto-suspend, workload isolation and resource monitoring; measure cost per pipeline/product so teams can see impact.</w:t>
      </w:r>
    </w:p>
    <w:p>
      <w:pPr>
        <w:pStyle w:val="Heading2"/>
        <w:keepNext/>
      </w:pPr>
      <w:r>
        <w:t>Critical upstream source is late</w:t>
      </w:r>
    </w:p>
    <w:p>
      <w:pPr>
        <w:pStyle w:val="ListBullet"/>
        <w:spacing w:after="50" w:line="240" w:lineRule="auto"/>
      </w:pPr>
      <w:r>
        <w:t>Make freshness state explicit to downstream consumers rather than publishing a silently stale complete-looking dataset.</w:t>
      </w:r>
    </w:p>
    <w:p>
      <w:pPr>
        <w:pStyle w:val="ListBullet"/>
        <w:spacing w:after="50" w:line="240" w:lineRule="auto"/>
      </w:pPr>
      <w:r>
        <w:t>Decide whether to hold publication, publish partial data with status, or use last-known-good based on business SLA.</w:t>
      </w:r>
    </w:p>
    <w:p>
      <w:pPr>
        <w:pStyle w:val="ListBullet"/>
        <w:spacing w:after="50" w:line="240" w:lineRule="auto"/>
      </w:pPr>
      <w:r>
        <w:t>Alert source owner and downstream owners with expected impact.</w:t>
      </w:r>
    </w:p>
    <w:p>
      <w:pPr>
        <w:pStyle w:val="ListBullet"/>
        <w:spacing w:after="50" w:line="240" w:lineRule="auto"/>
      </w:pPr>
      <w:r>
        <w:t>When source arrives, process idempotently and verify reconciliation before clearing the incident.</w:t>
      </w:r>
    </w:p>
    <w:p>
      <w:pPr>
        <w:pStyle w:val="Heading1"/>
        <w:keepNext/>
      </w:pPr>
      <w:r>
        <w:t>24. Player-Coach Leadership and People Management</w:t>
      </w:r>
    </w:p>
    <w:p>
      <w:pPr>
        <w:pStyle w:val="Heading2"/>
        <w:keepNext/>
      </w:pPr>
      <w:r>
        <w:t>Your leadership philosophy</w:t>
      </w:r>
    </w:p>
    <w:p>
      <w:pPr>
        <w:spacing w:after="80" w:line="245" w:lineRule="auto"/>
      </w:pPr>
      <w:r>
        <w:t>Suggested answer: I try to create clear ownership and high engineering standards without becoming a bottleneck. I give engineers context on the business outcome, agree the interfaces and quality bar, then let them own implementation. I stay close enough to architecture, code review and production metrics to help early when risk appears. I use reviews and incidents as coaching opportunities and I adjust support based on experience level.</w:t>
      </w:r>
    </w:p>
    <w:p>
      <w:pPr>
        <w:pStyle w:val="Heading2"/>
        <w:keepNext/>
      </w:pPr>
      <w:r>
        <w:t>How do you mentor a strong engineer?</w:t>
      </w:r>
    </w:p>
    <w:p>
      <w:pPr>
        <w:spacing w:after="80" w:line="245" w:lineRule="auto"/>
      </w:pPr>
      <w:r>
        <w:t>Give them meaningful ownership, not only tasks. Agree the outcome and constraints, ask them to propose the design, challenge trade-offs, and let them lead reviews. Provide feedback on both technical judgement and communication. Senior growth comes from making good decisions under ambiguity and influencing others, not only writing more complex code.</w:t>
      </w:r>
    </w:p>
    <w:p>
      <w:pPr>
        <w:pStyle w:val="Heading2"/>
        <w:keepNext/>
      </w:pPr>
      <w:r>
        <w:t>How do you handle underperformance?</w:t>
      </w:r>
    </w:p>
    <w:p>
      <w:pPr>
        <w:spacing w:after="80" w:line="245" w:lineRule="auto"/>
      </w:pPr>
      <w:r>
        <w:t>Start with clarity: expected outcome, observed gap and impact. Determine whether the cause is skill, context, workload, confidence or behaviour. Agree specific actions and checkpoints, provide support, document progress, and escalate formally only when coaching and clear expectations do not resolve the issue. Keep feedback factual and timely.</w:t>
      </w:r>
    </w:p>
    <w:p>
      <w:pPr>
        <w:pStyle w:val="Heading2"/>
        <w:keepNext/>
      </w:pPr>
      <w:r>
        <w:t>How do you set engineering standards?</w:t>
      </w:r>
    </w:p>
    <w:p>
      <w:pPr>
        <w:pStyle w:val="ListBullet"/>
        <w:spacing w:after="50" w:line="240" w:lineRule="auto"/>
      </w:pPr>
      <w:r>
        <w:t>Define a small set of non-negotiables: code review, automated tests, deployment controls, observability, ownership, data-quality checks and documentation for critical datasets.</w:t>
      </w:r>
    </w:p>
    <w:p>
      <w:pPr>
        <w:pStyle w:val="ListBullet"/>
        <w:spacing w:after="50" w:line="240" w:lineRule="auto"/>
      </w:pPr>
      <w:r>
        <w:t>Make the easy path the compliant path through templates, reusable libraries and CI checks.</w:t>
      </w:r>
    </w:p>
    <w:p>
      <w:pPr>
        <w:pStyle w:val="ListBullet"/>
        <w:spacing w:after="50" w:line="240" w:lineRule="auto"/>
      </w:pPr>
      <w:r>
        <w:t>Measure standards through production outcomes, not only process compliance.</w:t>
      </w:r>
    </w:p>
    <w:p>
      <w:pPr>
        <w:pStyle w:val="ListBullet"/>
        <w:spacing w:after="50" w:line="240" w:lineRule="auto"/>
      </w:pPr>
      <w:r>
        <w:t>Use architecture reviews for high-impact decisions, but avoid approval gates on every small change.</w:t>
      </w:r>
    </w:p>
    <w:p>
      <w:pPr>
        <w:pStyle w:val="Heading2"/>
        <w:keepNext/>
      </w:pPr>
      <w:r>
        <w:t>How do you prioritise technical debt?</w:t>
      </w:r>
    </w:p>
    <w:p>
      <w:pPr>
        <w:spacing w:after="80" w:line="245" w:lineRule="auto"/>
      </w:pPr>
      <w:r>
        <w:t>Classify debt by business risk and cost of delay. Prioritise debt that threatens reliability, security, developer throughput or strategic change. Make the impact visible in business terms, reserve capacity for continuous improvement, and combine debt removal with product work when practical. Not every imperfect abstraction deserves a rewrite.</w:t>
      </w:r>
    </w:p>
    <w:p>
      <w:pPr>
        <w:pStyle w:val="Heading2"/>
        <w:keepNext/>
      </w:pPr>
      <w:r>
        <w:t>How do you disagree with a stakeholder?</w:t>
      </w:r>
    </w:p>
    <w:p>
      <w:pPr>
        <w:spacing w:after="80" w:line="245" w:lineRule="auto"/>
      </w:pPr>
      <w:r>
        <w:t>Start from the desired outcome. Present options and trade-offs in terms of time, risk, cost and user impact. If a decision is reversible, prefer a small experiment. Once a decision is made, support it unless it creates unacceptable security, compliance or data-integrity risk.</w:t>
      </w:r>
    </w:p>
    <w:p>
      <w:pPr>
        <w:pStyle w:val="Heading1"/>
        <w:keepNext/>
      </w:pPr>
      <w:r>
        <w:t>25. Behavioural STAR Bank - Prepare These Six Stories</w:t>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2592"/>
            <w:shd w:fill="18365D"/>
            <w:vAlign w:val="center"/>
            <w:tcMar>
              <w:top w:w="90" w:type="dxa"/>
              <w:start w:w="110" w:type="dxa"/>
              <w:bottom w:w="90" w:type="dxa"/>
              <w:end w:w="110" w:type="dxa"/>
            </w:tcMar>
          </w:tcPr>
          <w:p>
            <w:r>
              <w:rPr>
                <w:b/>
                <w:color w:val="FFFFFF"/>
              </w:rPr>
              <w:t>Competency</w:t>
            </w:r>
          </w:p>
        </w:tc>
        <w:tc>
          <w:tcPr>
            <w:tcW w:type="dxa" w:w="3456"/>
            <w:shd w:fill="18365D"/>
            <w:vAlign w:val="center"/>
            <w:tcMar>
              <w:top w:w="90" w:type="dxa"/>
              <w:start w:w="110" w:type="dxa"/>
              <w:bottom w:w="90" w:type="dxa"/>
              <w:end w:w="110" w:type="dxa"/>
            </w:tcMar>
          </w:tcPr>
          <w:p>
            <w:r>
              <w:rPr>
                <w:b/>
                <w:color w:val="FFFFFF"/>
              </w:rPr>
              <w:t>Best story</w:t>
            </w:r>
          </w:p>
        </w:tc>
        <w:tc>
          <w:tcPr>
            <w:tcW w:type="dxa" w:w="4752"/>
            <w:shd w:fill="18365D"/>
            <w:vAlign w:val="center"/>
            <w:tcMar>
              <w:top w:w="90" w:type="dxa"/>
              <w:start w:w="110" w:type="dxa"/>
              <w:bottom w:w="90" w:type="dxa"/>
              <w:end w:w="110" w:type="dxa"/>
            </w:tcMar>
          </w:tcPr>
          <w:p>
            <w:r>
              <w:rPr>
                <w:b/>
                <w:color w:val="FFFFFF"/>
              </w:rPr>
              <w:t>Emphasize</w:t>
            </w:r>
          </w:p>
        </w:tc>
      </w:tr>
      <w:tr>
        <w:trPr>
          <w:cantSplit/>
        </w:trPr>
        <w:tc>
          <w:tcPr>
            <w:tcW w:type="dxa" w:w="2592"/>
            <w:tcMar>
              <w:top w:w="90" w:type="dxa"/>
              <w:start w:w="110" w:type="dxa"/>
              <w:bottom w:w="90" w:type="dxa"/>
              <w:end w:w="110" w:type="dxa"/>
            </w:tcMar>
            <w:vAlign w:val="top"/>
          </w:tcPr>
          <w:p>
            <w:r>
              <w:t>Leadership / mentoring</w:t>
            </w:r>
          </w:p>
        </w:tc>
        <w:tc>
          <w:tcPr>
            <w:tcW w:type="dxa" w:w="3456"/>
            <w:tcMar>
              <w:top w:w="90" w:type="dxa"/>
              <w:start w:w="110" w:type="dxa"/>
              <w:bottom w:w="90" w:type="dxa"/>
              <w:end w:w="110" w:type="dxa"/>
            </w:tcMar>
            <w:vAlign w:val="top"/>
          </w:tcPr>
          <w:p>
            <w:r>
              <w:t>BlackRock VP team of three Senior Quant Developers</w:t>
            </w:r>
          </w:p>
        </w:tc>
        <w:tc>
          <w:tcPr>
            <w:tcW w:type="dxa" w:w="4752"/>
            <w:tcMar>
              <w:top w:w="90" w:type="dxa"/>
              <w:start w:w="110" w:type="dxa"/>
              <w:bottom w:w="90" w:type="dxa"/>
              <w:end w:w="110" w:type="dxa"/>
            </w:tcMar>
            <w:vAlign w:val="top"/>
          </w:tcPr>
          <w:p>
            <w:r>
              <w:t>How you set standards, delegated, coached and coordinated across investment teams.</w:t>
            </w:r>
          </w:p>
        </w:tc>
      </w:tr>
      <w:tr>
        <w:trPr>
          <w:cantSplit/>
        </w:trPr>
        <w:tc>
          <w:tcPr>
            <w:tcW w:type="dxa" w:w="2592"/>
            <w:tcMar>
              <w:top w:w="90" w:type="dxa"/>
              <w:start w:w="110" w:type="dxa"/>
              <w:bottom w:w="90" w:type="dxa"/>
              <w:end w:w="110" w:type="dxa"/>
            </w:tcMar>
            <w:vAlign w:val="top"/>
          </w:tcPr>
          <w:p>
            <w:r>
              <w:t>Architecture from scratch</w:t>
            </w:r>
          </w:p>
        </w:tc>
        <w:tc>
          <w:tcPr>
            <w:tcW w:type="dxa" w:w="3456"/>
            <w:tcMar>
              <w:top w:w="90" w:type="dxa"/>
              <w:start w:w="110" w:type="dxa"/>
              <w:bottom w:w="90" w:type="dxa"/>
              <w:end w:w="110" w:type="dxa"/>
            </w:tcMar>
            <w:vAlign w:val="top"/>
          </w:tcPr>
          <w:p>
            <w:r>
              <w:t>illio AWS data platform</w:t>
            </w:r>
          </w:p>
        </w:tc>
        <w:tc>
          <w:tcPr>
            <w:tcW w:type="dxa" w:w="4752"/>
            <w:tcMar>
              <w:top w:w="90" w:type="dxa"/>
              <w:start w:w="110" w:type="dxa"/>
              <w:bottom w:w="90" w:type="dxa"/>
              <w:end w:w="110" w:type="dxa"/>
            </w:tcMar>
            <w:vAlign w:val="top"/>
          </w:tcPr>
          <w:p>
            <w:r>
              <w:t>How you chose S3/Glue/Airflow/Lambda/PostgreSQL/API patterns and balanced speed, scale and maintainability.</w:t>
            </w:r>
          </w:p>
        </w:tc>
      </w:tr>
      <w:tr>
        <w:trPr>
          <w:cantSplit/>
        </w:trPr>
        <w:tc>
          <w:tcPr>
            <w:tcW w:type="dxa" w:w="2592"/>
            <w:tcMar>
              <w:top w:w="90" w:type="dxa"/>
              <w:start w:w="110" w:type="dxa"/>
              <w:bottom w:w="90" w:type="dxa"/>
              <w:end w:w="110" w:type="dxa"/>
            </w:tcMar>
            <w:vAlign w:val="top"/>
          </w:tcPr>
          <w:p>
            <w:r>
              <w:t>Private-market stakeholder delivery</w:t>
            </w:r>
          </w:p>
        </w:tc>
        <w:tc>
          <w:tcPr>
            <w:tcW w:type="dxa" w:w="3456"/>
            <w:tcMar>
              <w:top w:w="90" w:type="dxa"/>
              <w:start w:w="110" w:type="dxa"/>
              <w:bottom w:w="90" w:type="dxa"/>
              <w:end w:w="110" w:type="dxa"/>
            </w:tcMar>
            <w:vAlign w:val="top"/>
          </w:tcPr>
          <w:p>
            <w:r>
              <w:t>Pemberton fund analytics</w:t>
            </w:r>
          </w:p>
        </w:tc>
        <w:tc>
          <w:tcPr>
            <w:tcW w:type="dxa" w:w="4752"/>
            <w:tcMar>
              <w:top w:w="90" w:type="dxa"/>
              <w:start w:w="110" w:type="dxa"/>
              <w:bottom w:w="90" w:type="dxa"/>
              <w:end w:w="110" w:type="dxa"/>
            </w:tcMar>
            <w:vAlign w:val="top"/>
          </w:tcPr>
          <w:p>
            <w:r>
              <w:t>How you converted spreadsheet/business rules into governed software and validated calculations with investment users.</w:t>
            </w:r>
          </w:p>
        </w:tc>
      </w:tr>
      <w:tr>
        <w:trPr>
          <w:cantSplit/>
        </w:trPr>
        <w:tc>
          <w:tcPr>
            <w:tcW w:type="dxa" w:w="2592"/>
            <w:tcMar>
              <w:top w:w="90" w:type="dxa"/>
              <w:start w:w="110" w:type="dxa"/>
              <w:bottom w:w="90" w:type="dxa"/>
              <w:end w:w="110" w:type="dxa"/>
            </w:tcMar>
            <w:vAlign w:val="top"/>
          </w:tcPr>
          <w:p>
            <w:r>
              <w:t>Legacy modernisation</w:t>
            </w:r>
          </w:p>
        </w:tc>
        <w:tc>
          <w:tcPr>
            <w:tcW w:type="dxa" w:w="3456"/>
            <w:tcMar>
              <w:top w:w="90" w:type="dxa"/>
              <w:start w:w="110" w:type="dxa"/>
              <w:bottom w:w="90" w:type="dxa"/>
              <w:end w:w="110" w:type="dxa"/>
            </w:tcMar>
            <w:vAlign w:val="top"/>
          </w:tcPr>
          <w:p>
            <w:r>
              <w:t>BlackRock Core Data DMP decommission</w:t>
            </w:r>
          </w:p>
        </w:tc>
        <w:tc>
          <w:tcPr>
            <w:tcW w:type="dxa" w:w="4752"/>
            <w:tcMar>
              <w:top w:w="90" w:type="dxa"/>
              <w:start w:w="110" w:type="dxa"/>
              <w:bottom w:w="90" w:type="dxa"/>
              <w:end w:w="110" w:type="dxa"/>
            </w:tcMar>
            <w:vAlign w:val="top"/>
          </w:tcPr>
          <w:p>
            <w:r>
              <w:t>How you decomposed a monolith, defined interfaces/models and managed migration risk.</w:t>
            </w:r>
          </w:p>
        </w:tc>
      </w:tr>
      <w:tr>
        <w:trPr>
          <w:cantSplit/>
        </w:trPr>
        <w:tc>
          <w:tcPr>
            <w:tcW w:type="dxa" w:w="2592"/>
            <w:tcMar>
              <w:top w:w="90" w:type="dxa"/>
              <w:start w:w="110" w:type="dxa"/>
              <w:bottom w:w="90" w:type="dxa"/>
              <w:end w:w="110" w:type="dxa"/>
            </w:tcMar>
            <w:vAlign w:val="top"/>
          </w:tcPr>
          <w:p>
            <w:r>
              <w:t>Cross-team security / standards</w:t>
            </w:r>
          </w:p>
        </w:tc>
        <w:tc>
          <w:tcPr>
            <w:tcW w:type="dxa" w:w="3456"/>
            <w:tcMar>
              <w:top w:w="90" w:type="dxa"/>
              <w:start w:w="110" w:type="dxa"/>
              <w:bottom w:w="90" w:type="dxa"/>
              <w:end w:w="110" w:type="dxa"/>
            </w:tcMar>
            <w:vAlign w:val="top"/>
          </w:tcPr>
          <w:p>
            <w:r>
              <w:t>BlackRock Defence in Depth</w:t>
            </w:r>
          </w:p>
        </w:tc>
        <w:tc>
          <w:tcPr>
            <w:tcW w:type="dxa" w:w="4752"/>
            <w:tcMar>
              <w:top w:w="90" w:type="dxa"/>
              <w:start w:w="110" w:type="dxa"/>
              <w:bottom w:w="90" w:type="dxa"/>
              <w:end w:w="110" w:type="dxa"/>
            </w:tcMar>
            <w:vAlign w:val="top"/>
          </w:tcPr>
          <w:p>
            <w:r>
              <w:t>How you modernised interfaces across six applications and influenced teams without owning every codebase.</w:t>
            </w:r>
          </w:p>
        </w:tc>
      </w:tr>
      <w:tr>
        <w:trPr>
          <w:cantSplit/>
        </w:trPr>
        <w:tc>
          <w:tcPr>
            <w:tcW w:type="dxa" w:w="2592"/>
            <w:tcMar>
              <w:top w:w="90" w:type="dxa"/>
              <w:start w:w="110" w:type="dxa"/>
              <w:bottom w:w="90" w:type="dxa"/>
              <w:end w:w="110" w:type="dxa"/>
            </w:tcMar>
            <w:vAlign w:val="top"/>
          </w:tcPr>
          <w:p>
            <w:r>
              <w:t>Production data reliability</w:t>
            </w:r>
          </w:p>
        </w:tc>
        <w:tc>
          <w:tcPr>
            <w:tcW w:type="dxa" w:w="3456"/>
            <w:tcMar>
              <w:top w:w="90" w:type="dxa"/>
              <w:start w:w="110" w:type="dxa"/>
              <w:bottom w:w="90" w:type="dxa"/>
              <w:end w:w="110" w:type="dxa"/>
            </w:tcMar>
            <w:vAlign w:val="top"/>
          </w:tcPr>
          <w:p>
            <w:r>
              <w:t>Brevan or EDF real incident</w:t>
            </w:r>
          </w:p>
        </w:tc>
        <w:tc>
          <w:tcPr>
            <w:tcW w:type="dxa" w:w="4752"/>
            <w:tcMar>
              <w:top w:w="90" w:type="dxa"/>
              <w:start w:w="110" w:type="dxa"/>
              <w:bottom w:w="90" w:type="dxa"/>
              <w:end w:w="110" w:type="dxa"/>
            </w:tcMar>
            <w:vAlign w:val="top"/>
          </w:tcPr>
          <w:p>
            <w:r>
              <w:t>Choose one genuine incident with clear impact, diagnosis, fix, replay/reconciliation and prevention. Do not invent details.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shd w:fill="D9EAF7"/>
            <w:tcMar>
              <w:top w:w="120" w:type="dxa"/>
              <w:start w:w="140" w:type="dxa"/>
              <w:bottom w:w="120" w:type="dxa"/>
              <w:end w:w="140" w:type="dxa"/>
            </w:tcMar>
          </w:tcPr>
          <w:p>
            <w:r>
              <w:rPr>
                <w:b/>
                <w:color w:val="18365D"/>
              </w:rPr>
              <w:t>STAR rule</w:t>
              <w:br/>
            </w:r>
            <w:r>
              <w:t>Spend roughly 20 percent on Situation and Task, 60 percent on your Actions, and 20 percent on Result and learning. Use I for your own decisions and actions, then explain how you enabled the team.</w:t>
            </w:r>
          </w:p>
        </w:tc>
      </w:tr>
    </w:tbl>
    <w:p>
      <w:pPr>
        <w:pStyle w:val="Heading1"/>
        <w:keepNext/>
      </w:pPr>
      <w:r>
        <w:t>26. 50 Likely Interview Questions</w:t>
      </w:r>
    </w:p>
    <w:p>
      <w:pPr>
        <w:pStyle w:val="ListNumber"/>
        <w:spacing w:after="50" w:line="240" w:lineRule="auto"/>
      </w:pPr>
      <w:r>
        <w:t>Walk us through your background and why this role now.</w:t>
      </w:r>
    </w:p>
    <w:p>
      <w:pPr>
        <w:pStyle w:val="ListNumber"/>
        <w:spacing w:after="50" w:line="240" w:lineRule="auto"/>
      </w:pPr>
      <w:r>
        <w:t>Why do you want to return to BlackRock?</w:t>
      </w:r>
    </w:p>
    <w:p>
      <w:pPr>
        <w:pStyle w:val="ListNumber"/>
        <w:spacing w:after="50" w:line="240" w:lineRule="auto"/>
      </w:pPr>
      <w:r>
        <w:t>Why Preqin and Company Intelligence?</w:t>
      </w:r>
    </w:p>
    <w:p>
      <w:pPr>
        <w:pStyle w:val="ListNumber"/>
        <w:spacing w:after="50" w:line="240" w:lineRule="auto"/>
      </w:pPr>
      <w:r>
        <w:t>Why a permanent role after recent contracts?</w:t>
      </w:r>
    </w:p>
    <w:p>
      <w:pPr>
        <w:pStyle w:val="ListNumber"/>
        <w:spacing w:after="50" w:line="240" w:lineRule="auto"/>
      </w:pPr>
      <w:r>
        <w:t>What does player-coach mean to you?</w:t>
      </w:r>
    </w:p>
    <w:p>
      <w:pPr>
        <w:pStyle w:val="ListNumber"/>
        <w:spacing w:after="50" w:line="240" w:lineRule="auto"/>
      </w:pPr>
      <w:r>
        <w:t>How do you divide time between coding and people leadership?</w:t>
      </w:r>
    </w:p>
    <w:p>
      <w:pPr>
        <w:pStyle w:val="ListNumber"/>
        <w:spacing w:after="50" w:line="240" w:lineRule="auto"/>
      </w:pPr>
      <w:r>
        <w:t>Tell us about the team you led at BlackRock.</w:t>
      </w:r>
    </w:p>
    <w:p>
      <w:pPr>
        <w:pStyle w:val="ListNumber"/>
        <w:spacing w:after="50" w:line="240" w:lineRule="auto"/>
      </w:pPr>
      <w:r>
        <w:t>Tell us about a difficult technical decision where there was no perfect option.</w:t>
      </w:r>
    </w:p>
    <w:p>
      <w:pPr>
        <w:pStyle w:val="ListNumber"/>
        <w:spacing w:after="50" w:line="240" w:lineRule="auto"/>
      </w:pPr>
      <w:r>
        <w:t>How do you mentor senior engineers?</w:t>
      </w:r>
    </w:p>
    <w:p>
      <w:pPr>
        <w:pStyle w:val="ListNumber"/>
        <w:spacing w:after="50" w:line="240" w:lineRule="auto"/>
      </w:pPr>
      <w:r>
        <w:t>How do you raise engineering standards without slowing delivery?</w:t>
      </w:r>
    </w:p>
    <w:p>
      <w:pPr>
        <w:pStyle w:val="ListNumber"/>
        <w:spacing w:after="50" w:line="240" w:lineRule="auto"/>
      </w:pPr>
      <w:r>
        <w:t>What did you personally design at illio?</w:t>
      </w:r>
    </w:p>
    <w:p>
      <w:pPr>
        <w:pStyle w:val="ListNumber"/>
        <w:spacing w:after="50" w:line="240" w:lineRule="auto"/>
      </w:pPr>
      <w:r>
        <w:t>How did you replace the spreadsheet models at Pemberton?</w:t>
      </w:r>
    </w:p>
    <w:p>
      <w:pPr>
        <w:pStyle w:val="ListNumber"/>
        <w:spacing w:after="50" w:line="240" w:lineRule="auto"/>
      </w:pPr>
      <w:r>
        <w:t>What private-credit data did the Pemberton platform work with?</w:t>
      </w:r>
    </w:p>
    <w:p>
      <w:pPr>
        <w:pStyle w:val="ListNumber"/>
        <w:spacing w:after="50" w:line="240" w:lineRule="auto"/>
      </w:pPr>
      <w:r>
        <w:t>How do you design an analytical data model?</w:t>
      </w:r>
    </w:p>
    <w:p>
      <w:pPr>
        <w:pStyle w:val="ListNumber"/>
        <w:spacing w:after="50" w:line="240" w:lineRule="auto"/>
      </w:pPr>
      <w:r>
        <w:t>What is the grain of a fact table and why is it important?</w:t>
      </w:r>
    </w:p>
    <w:p>
      <w:pPr>
        <w:pStyle w:val="ListNumber"/>
        <w:spacing w:after="50" w:line="240" w:lineRule="auto"/>
      </w:pPr>
      <w:r>
        <w:t>When would you use a bridge table?</w:t>
      </w:r>
    </w:p>
    <w:p>
      <w:pPr>
        <w:pStyle w:val="ListNumber"/>
        <w:spacing w:after="50" w:line="240" w:lineRule="auto"/>
      </w:pPr>
      <w:r>
        <w:t>When would you use SCD Type 2?</w:t>
      </w:r>
    </w:p>
    <w:p>
      <w:pPr>
        <w:pStyle w:val="ListNumber"/>
        <w:spacing w:after="50" w:line="240" w:lineRule="auto"/>
      </w:pPr>
      <w:r>
        <w:t>How would you model company ownership through time?</w:t>
      </w:r>
    </w:p>
    <w:p>
      <w:pPr>
        <w:pStyle w:val="ListNumber"/>
        <w:spacing w:after="50" w:line="240" w:lineRule="auto"/>
      </w:pPr>
      <w:r>
        <w:t>How would you resolve duplicate private-company records?</w:t>
      </w:r>
    </w:p>
    <w:p>
      <w:pPr>
        <w:pStyle w:val="ListNumber"/>
        <w:spacing w:after="50" w:line="240" w:lineRule="auto"/>
      </w:pPr>
      <w:r>
        <w:t>How would you preserve data provenance?</w:t>
      </w:r>
    </w:p>
    <w:p>
      <w:pPr>
        <w:pStyle w:val="ListNumber"/>
        <w:spacing w:after="50" w:line="240" w:lineRule="auto"/>
      </w:pPr>
      <w:r>
        <w:t>What is point-in-time correctness?</w:t>
      </w:r>
    </w:p>
    <w:p>
      <w:pPr>
        <w:pStyle w:val="ListNumber"/>
        <w:spacing w:after="50" w:line="240" w:lineRule="auto"/>
      </w:pPr>
      <w:r>
        <w:t>How do you prevent leakage in a modelling dataset?</w:t>
      </w:r>
    </w:p>
    <w:p>
      <w:pPr>
        <w:pStyle w:val="ListNumber"/>
        <w:spacing w:after="50" w:line="240" w:lineRule="auto"/>
      </w:pPr>
      <w:r>
        <w:t>How would you build a reproducible feature dataset for data scientists?</w:t>
      </w:r>
    </w:p>
    <w:p>
      <w:pPr>
        <w:pStyle w:val="ListNumber"/>
        <w:spacing w:after="50" w:line="240" w:lineRule="auto"/>
      </w:pPr>
      <w:r>
        <w:t>What dbt experience do you have?</w:t>
      </w:r>
    </w:p>
    <w:p>
      <w:pPr>
        <w:pStyle w:val="ListNumber"/>
        <w:spacing w:after="50" w:line="240" w:lineRule="auto"/>
      </w:pPr>
      <w:r>
        <w:t>Explain ref versus source in dbt.</w:t>
      </w:r>
    </w:p>
    <w:p>
      <w:pPr>
        <w:pStyle w:val="ListNumber"/>
        <w:spacing w:after="50" w:line="240" w:lineRule="auto"/>
      </w:pPr>
      <w:r>
        <w:t>Incremental model versus snapshot?</w:t>
      </w:r>
    </w:p>
    <w:p>
      <w:pPr>
        <w:pStyle w:val="ListNumber"/>
        <w:spacing w:after="50" w:line="240" w:lineRule="auto"/>
      </w:pPr>
      <w:r>
        <w:t>How do you test dbt models?</w:t>
      </w:r>
    </w:p>
    <w:p>
      <w:pPr>
        <w:pStyle w:val="ListNumber"/>
        <w:spacing w:after="50" w:line="240" w:lineRule="auto"/>
      </w:pPr>
      <w:r>
        <w:t>Where should dbt stop and Airflow begin?</w:t>
      </w:r>
    </w:p>
    <w:p>
      <w:pPr>
        <w:pStyle w:val="ListNumber"/>
        <w:spacing w:after="50" w:line="240" w:lineRule="auto"/>
      </w:pPr>
      <w:r>
        <w:t>How do you handle late-arriving data?</w:t>
      </w:r>
    </w:p>
    <w:p>
      <w:pPr>
        <w:pStyle w:val="ListNumber"/>
        <w:spacing w:after="50" w:line="240" w:lineRule="auto"/>
      </w:pPr>
      <w:r>
        <w:t>How do you make a pipeline idempotent?</w:t>
      </w:r>
    </w:p>
    <w:p>
      <w:pPr>
        <w:pStyle w:val="ListNumber"/>
        <w:spacing w:after="50" w:line="240" w:lineRule="auto"/>
      </w:pPr>
      <w:r>
        <w:t>How do you implement safe backfills?</w:t>
      </w:r>
    </w:p>
    <w:p>
      <w:pPr>
        <w:pStyle w:val="ListNumber"/>
        <w:spacing w:after="50" w:line="240" w:lineRule="auto"/>
      </w:pPr>
      <w:r>
        <w:t>What do you monitor in Airflow?</w:t>
      </w:r>
    </w:p>
    <w:p>
      <w:pPr>
        <w:pStyle w:val="ListNumber"/>
        <w:spacing w:after="50" w:line="240" w:lineRule="auto"/>
      </w:pPr>
      <w:r>
        <w:t>Tell us about your Snowflake experience.</w:t>
      </w:r>
    </w:p>
    <w:p>
      <w:pPr>
        <w:pStyle w:val="ListNumber"/>
        <w:spacing w:after="50" w:line="240" w:lineRule="auto"/>
      </w:pPr>
      <w:r>
        <w:t>How do you diagnose a slow Snowflake query?</w:t>
      </w:r>
    </w:p>
    <w:p>
      <w:pPr>
        <w:pStyle w:val="ListNumber"/>
        <w:spacing w:after="50" w:line="240" w:lineRule="auto"/>
      </w:pPr>
      <w:r>
        <w:t>How do you control Snowflake cost?</w:t>
      </w:r>
    </w:p>
    <w:p>
      <w:pPr>
        <w:pStyle w:val="ListNumber"/>
        <w:spacing w:after="50" w:line="240" w:lineRule="auto"/>
      </w:pPr>
      <w:r>
        <w:t>How do you design RBAC for a shared data warehouse?</w:t>
      </w:r>
    </w:p>
    <w:p>
      <w:pPr>
        <w:pStyle w:val="ListNumber"/>
        <w:spacing w:after="50" w:line="240" w:lineRule="auto"/>
      </w:pPr>
      <w:r>
        <w:t>Tell us about a production data incident.</w:t>
      </w:r>
    </w:p>
    <w:p>
      <w:pPr>
        <w:pStyle w:val="ListNumber"/>
        <w:spacing w:after="50" w:line="240" w:lineRule="auto"/>
      </w:pPr>
      <w:r>
        <w:t>A pipeline is green but the product has missing companies. What do you do?</w:t>
      </w:r>
    </w:p>
    <w:p>
      <w:pPr>
        <w:pStyle w:val="ListNumber"/>
        <w:spacing w:after="50" w:line="240" w:lineRule="auto"/>
      </w:pPr>
      <w:r>
        <w:t>How would you detect upstream schema changes?</w:t>
      </w:r>
    </w:p>
    <w:p>
      <w:pPr>
        <w:pStyle w:val="ListNumber"/>
        <w:spacing w:after="50" w:line="240" w:lineRule="auto"/>
      </w:pPr>
      <w:r>
        <w:t>How do you deal with conflicting values from different sources?</w:t>
      </w:r>
    </w:p>
    <w:p>
      <w:pPr>
        <w:pStyle w:val="ListNumber"/>
        <w:spacing w:after="50" w:line="240" w:lineRule="auto"/>
      </w:pPr>
      <w:r>
        <w:t>How do you measure data quality for private markets?</w:t>
      </w:r>
    </w:p>
    <w:p>
      <w:pPr>
        <w:pStyle w:val="ListNumber"/>
        <w:spacing w:after="50" w:line="240" w:lineRule="auto"/>
      </w:pPr>
      <w:r>
        <w:t>Batch versus streaming: how do you decide?</w:t>
      </w:r>
    </w:p>
    <w:p>
      <w:pPr>
        <w:pStyle w:val="ListNumber"/>
        <w:spacing w:after="50" w:line="240" w:lineRule="auto"/>
      </w:pPr>
      <w:r>
        <w:t>How do you design an ingestion platform for many heterogeneous providers?</w:t>
      </w:r>
    </w:p>
    <w:p>
      <w:pPr>
        <w:pStyle w:val="ListNumber"/>
        <w:spacing w:after="50" w:line="240" w:lineRule="auto"/>
      </w:pPr>
      <w:r>
        <w:t>When would you use Spark rather than SQL or Pandas?</w:t>
      </w:r>
    </w:p>
    <w:p>
      <w:pPr>
        <w:pStyle w:val="ListNumber"/>
        <w:spacing w:after="50" w:line="240" w:lineRule="auto"/>
      </w:pPr>
      <w:r>
        <w:t>How do you test data pipelines beyond unit tests?</w:t>
      </w:r>
    </w:p>
    <w:p>
      <w:pPr>
        <w:pStyle w:val="ListNumber"/>
        <w:spacing w:after="50" w:line="240" w:lineRule="auto"/>
      </w:pPr>
      <w:r>
        <w:t>How do you handle technical debt?</w:t>
      </w:r>
    </w:p>
    <w:p>
      <w:pPr>
        <w:pStyle w:val="ListNumber"/>
        <w:spacing w:after="50" w:line="240" w:lineRule="auto"/>
      </w:pPr>
      <w:r>
        <w:t>Tell us about a disagreement with product or analytics.</w:t>
      </w:r>
    </w:p>
    <w:p>
      <w:pPr>
        <w:pStyle w:val="ListNumber"/>
        <w:spacing w:after="50" w:line="240" w:lineRule="auto"/>
      </w:pPr>
      <w:r>
        <w:t>How do you communicate a data incident to non-technical stakeholders?</w:t>
      </w:r>
    </w:p>
    <w:p>
      <w:pPr>
        <w:pStyle w:val="ListNumber"/>
        <w:spacing w:after="50" w:line="240" w:lineRule="auto"/>
      </w:pPr>
      <w:r>
        <w:t>What would you aim to achieve in your first 90 days?</w:t>
      </w:r>
    </w:p>
    <w:p>
      <w:pPr>
        <w:pStyle w:val="ListNumber"/>
        <w:spacing w:after="50" w:line="240" w:lineRule="auto"/>
      </w:pPr>
      <w:r>
        <w:t>What questions do you have for us?</w:t>
      </w:r>
    </w:p>
    <w:p>
      <w:pPr>
        <w:pStyle w:val="Heading1"/>
        <w:keepNext/>
      </w:pPr>
      <w:r>
        <w:t>27. Rapid-Fire Technical Answers</w:t>
      </w:r>
    </w:p>
    <w:tbl>
      <w:tblPr>
        <w:tblStyle w:val="TableGrid"/>
        <w:tblW w:type="auto" w:w="0"/>
        <w:jc w:val="center"/>
        <w:tblLook w:firstColumn="1" w:firstRow="1" w:lastColumn="0" w:lastRow="0" w:noHBand="0" w:noVBand="1" w:val="04A0"/>
      </w:tblPr>
      <w:tblGrid>
        <w:gridCol w:w="5227"/>
        <w:gridCol w:w="5227"/>
      </w:tblGrid>
      <w:tr>
        <w:trPr>
          <w:cantSplit/>
        </w:trPr>
        <w:tc>
          <w:tcPr>
            <w:tcW w:type="dxa" w:w="2232"/>
            <w:shd w:fill="18365D"/>
            <w:vAlign w:val="center"/>
            <w:tcMar>
              <w:top w:w="90" w:type="dxa"/>
              <w:start w:w="110" w:type="dxa"/>
              <w:bottom w:w="90" w:type="dxa"/>
              <w:end w:w="110" w:type="dxa"/>
            </w:tcMar>
          </w:tcPr>
          <w:p>
            <w:r>
              <w:rPr>
                <w:b/>
                <w:color w:val="FFFFFF"/>
              </w:rPr>
              <w:t>Concept</w:t>
            </w:r>
          </w:p>
        </w:tc>
        <w:tc>
          <w:tcPr>
            <w:tcW w:type="dxa" w:w="8568"/>
            <w:shd w:fill="18365D"/>
            <w:vAlign w:val="center"/>
            <w:tcMar>
              <w:top w:w="90" w:type="dxa"/>
              <w:start w:w="110" w:type="dxa"/>
              <w:bottom w:w="90" w:type="dxa"/>
              <w:end w:w="110" w:type="dxa"/>
            </w:tcMar>
          </w:tcPr>
          <w:p>
            <w:r>
              <w:rPr>
                <w:b/>
                <w:color w:val="FFFFFF"/>
              </w:rPr>
              <w:t>Answer</w:t>
            </w:r>
          </w:p>
        </w:tc>
      </w:tr>
      <w:tr>
        <w:trPr>
          <w:cantSplit/>
        </w:trPr>
        <w:tc>
          <w:tcPr>
            <w:tcW w:type="dxa" w:w="2232"/>
            <w:tcMar>
              <w:top w:w="90" w:type="dxa"/>
              <w:start w:w="110" w:type="dxa"/>
              <w:bottom w:w="90" w:type="dxa"/>
              <w:end w:w="110" w:type="dxa"/>
            </w:tcMar>
            <w:vAlign w:val="top"/>
          </w:tcPr>
          <w:p>
            <w:r>
              <w:t>Idempotency</w:t>
            </w:r>
          </w:p>
        </w:tc>
        <w:tc>
          <w:tcPr>
            <w:tcW w:type="dxa" w:w="8568"/>
            <w:tcMar>
              <w:top w:w="90" w:type="dxa"/>
              <w:start w:w="110" w:type="dxa"/>
              <w:bottom w:w="90" w:type="dxa"/>
              <w:end w:w="110" w:type="dxa"/>
            </w:tcMar>
            <w:vAlign w:val="top"/>
          </w:tcPr>
          <w:p>
            <w:r>
              <w:t>Repeating the same logical input produces the same logical state. Essential because retries and backfills are normal.</w:t>
            </w:r>
          </w:p>
        </w:tc>
      </w:tr>
      <w:tr>
        <w:trPr>
          <w:cantSplit/>
        </w:trPr>
        <w:tc>
          <w:tcPr>
            <w:tcW w:type="dxa" w:w="2232"/>
            <w:tcMar>
              <w:top w:w="90" w:type="dxa"/>
              <w:start w:w="110" w:type="dxa"/>
              <w:bottom w:w="90" w:type="dxa"/>
              <w:end w:w="110" w:type="dxa"/>
            </w:tcMar>
            <w:vAlign w:val="top"/>
          </w:tcPr>
          <w:p>
            <w:r>
              <w:t>Replayability</w:t>
            </w:r>
          </w:p>
        </w:tc>
        <w:tc>
          <w:tcPr>
            <w:tcW w:type="dxa" w:w="8568"/>
            <w:tcMar>
              <w:top w:w="90" w:type="dxa"/>
              <w:start w:w="110" w:type="dxa"/>
              <w:bottom w:w="90" w:type="dxa"/>
              <w:end w:w="110" w:type="dxa"/>
            </w:tcMar>
            <w:vAlign w:val="top"/>
          </w:tcPr>
          <w:p>
            <w:r>
              <w:t>Retain enough immutable source data and metadata to rebuild outputs deterministically after code changes or incidents.</w:t>
            </w:r>
          </w:p>
        </w:tc>
      </w:tr>
      <w:tr>
        <w:trPr>
          <w:cantSplit/>
        </w:trPr>
        <w:tc>
          <w:tcPr>
            <w:tcW w:type="dxa" w:w="2232"/>
            <w:tcMar>
              <w:top w:w="90" w:type="dxa"/>
              <w:start w:w="110" w:type="dxa"/>
              <w:bottom w:w="90" w:type="dxa"/>
              <w:end w:w="110" w:type="dxa"/>
            </w:tcMar>
            <w:vAlign w:val="top"/>
          </w:tcPr>
          <w:p>
            <w:r>
              <w:t>Data lineage</w:t>
            </w:r>
          </w:p>
        </w:tc>
        <w:tc>
          <w:tcPr>
            <w:tcW w:type="dxa" w:w="8568"/>
            <w:tcMar>
              <w:top w:w="90" w:type="dxa"/>
              <w:start w:w="110" w:type="dxa"/>
              <w:bottom w:w="90" w:type="dxa"/>
              <w:end w:w="110" w:type="dxa"/>
            </w:tcMar>
            <w:vAlign w:val="top"/>
          </w:tcPr>
          <w:p>
            <w:r>
              <w:t>Ability to trace a dataset/value through upstream sources and transformations to downstream consumers.</w:t>
            </w:r>
          </w:p>
        </w:tc>
      </w:tr>
      <w:tr>
        <w:trPr>
          <w:cantSplit/>
        </w:trPr>
        <w:tc>
          <w:tcPr>
            <w:tcW w:type="dxa" w:w="2232"/>
            <w:tcMar>
              <w:top w:w="90" w:type="dxa"/>
              <w:start w:w="110" w:type="dxa"/>
              <w:bottom w:w="90" w:type="dxa"/>
              <w:end w:w="110" w:type="dxa"/>
            </w:tcMar>
            <w:vAlign w:val="top"/>
          </w:tcPr>
          <w:p>
            <w:r>
              <w:t>Data provenance</w:t>
            </w:r>
          </w:p>
        </w:tc>
        <w:tc>
          <w:tcPr>
            <w:tcW w:type="dxa" w:w="8568"/>
            <w:tcMar>
              <w:top w:w="90" w:type="dxa"/>
              <w:start w:w="110" w:type="dxa"/>
              <w:bottom w:w="90" w:type="dxa"/>
              <w:end w:w="110" w:type="dxa"/>
            </w:tcMar>
            <w:vAlign w:val="top"/>
          </w:tcPr>
          <w:p>
            <w:r>
              <w:t>Evidence about origin: source record/document, timestamp, extraction method and transformation history.</w:t>
            </w:r>
          </w:p>
        </w:tc>
      </w:tr>
      <w:tr>
        <w:trPr>
          <w:cantSplit/>
        </w:trPr>
        <w:tc>
          <w:tcPr>
            <w:tcW w:type="dxa" w:w="2232"/>
            <w:tcMar>
              <w:top w:w="90" w:type="dxa"/>
              <w:start w:w="110" w:type="dxa"/>
              <w:bottom w:w="90" w:type="dxa"/>
              <w:end w:w="110" w:type="dxa"/>
            </w:tcMar>
            <w:vAlign w:val="top"/>
          </w:tcPr>
          <w:p>
            <w:r>
              <w:t>Schema evolution</w:t>
            </w:r>
          </w:p>
        </w:tc>
        <w:tc>
          <w:tcPr>
            <w:tcW w:type="dxa" w:w="8568"/>
            <w:tcMar>
              <w:top w:w="90" w:type="dxa"/>
              <w:start w:w="110" w:type="dxa"/>
              <w:bottom w:w="90" w:type="dxa"/>
              <w:end w:w="110" w:type="dxa"/>
            </w:tcMar>
            <w:vAlign w:val="top"/>
          </w:tcPr>
          <w:p>
            <w:r>
              <w:t>Version contracts, distinguish additive from breaking changes, validate at boundaries, quarantine/fail safely and coordinate consumers.</w:t>
            </w:r>
          </w:p>
        </w:tc>
      </w:tr>
      <w:tr>
        <w:trPr>
          <w:cantSplit/>
        </w:trPr>
        <w:tc>
          <w:tcPr>
            <w:tcW w:type="dxa" w:w="2232"/>
            <w:tcMar>
              <w:top w:w="90" w:type="dxa"/>
              <w:start w:w="110" w:type="dxa"/>
              <w:bottom w:w="90" w:type="dxa"/>
              <w:end w:w="110" w:type="dxa"/>
            </w:tcMar>
            <w:vAlign w:val="top"/>
          </w:tcPr>
          <w:p>
            <w:r>
              <w:t>Exactly-once</w:t>
            </w:r>
          </w:p>
        </w:tc>
        <w:tc>
          <w:tcPr>
            <w:tcW w:type="dxa" w:w="8568"/>
            <w:tcMar>
              <w:top w:w="90" w:type="dxa"/>
              <w:start w:w="110" w:type="dxa"/>
              <w:bottom w:w="90" w:type="dxa"/>
              <w:end w:w="110" w:type="dxa"/>
            </w:tcMar>
            <w:vAlign w:val="top"/>
          </w:tcPr>
          <w:p>
            <w:r>
              <w:t>Usually achieved as an application-level effect through idempotent writes/deduplication rather than assuming transport guarantees.</w:t>
            </w:r>
          </w:p>
        </w:tc>
      </w:tr>
      <w:tr>
        <w:trPr>
          <w:cantSplit/>
        </w:trPr>
        <w:tc>
          <w:tcPr>
            <w:tcW w:type="dxa" w:w="2232"/>
            <w:tcMar>
              <w:top w:w="90" w:type="dxa"/>
              <w:start w:w="110" w:type="dxa"/>
              <w:bottom w:w="90" w:type="dxa"/>
              <w:end w:w="110" w:type="dxa"/>
            </w:tcMar>
            <w:vAlign w:val="top"/>
          </w:tcPr>
          <w:p>
            <w:r>
              <w:t>Watermark</w:t>
            </w:r>
          </w:p>
        </w:tc>
        <w:tc>
          <w:tcPr>
            <w:tcW w:type="dxa" w:w="8568"/>
            <w:tcMar>
              <w:top w:w="90" w:type="dxa"/>
              <w:start w:w="110" w:type="dxa"/>
              <w:bottom w:w="90" w:type="dxa"/>
              <w:end w:w="110" w:type="dxa"/>
            </w:tcMar>
            <w:vAlign w:val="top"/>
          </w:tcPr>
          <w:p>
            <w:r>
              <w:t>Tracks processing progress, often timestamp or sequence. Must account for late/out-of-order records.</w:t>
            </w:r>
          </w:p>
        </w:tc>
      </w:tr>
      <w:tr>
        <w:trPr>
          <w:cantSplit/>
        </w:trPr>
        <w:tc>
          <w:tcPr>
            <w:tcW w:type="dxa" w:w="2232"/>
            <w:tcMar>
              <w:top w:w="90" w:type="dxa"/>
              <w:start w:w="110" w:type="dxa"/>
              <w:bottom w:w="90" w:type="dxa"/>
              <w:end w:w="110" w:type="dxa"/>
            </w:tcMar>
            <w:vAlign w:val="top"/>
          </w:tcPr>
          <w:p>
            <w:r>
              <w:t>Backpressure</w:t>
            </w:r>
          </w:p>
        </w:tc>
        <w:tc>
          <w:tcPr>
            <w:tcW w:type="dxa" w:w="8568"/>
            <w:tcMar>
              <w:top w:w="90" w:type="dxa"/>
              <w:start w:w="110" w:type="dxa"/>
              <w:bottom w:w="90" w:type="dxa"/>
              <w:end w:w="110" w:type="dxa"/>
            </w:tcMar>
            <w:vAlign w:val="top"/>
          </w:tcPr>
          <w:p>
            <w:r>
              <w:t>Mechanism to stop downstream overload when producers outpace consumers; queues and bounded concurrency help.</w:t>
            </w:r>
          </w:p>
        </w:tc>
      </w:tr>
      <w:tr>
        <w:trPr>
          <w:cantSplit/>
        </w:trPr>
        <w:tc>
          <w:tcPr>
            <w:tcW w:type="dxa" w:w="2232"/>
            <w:tcMar>
              <w:top w:w="90" w:type="dxa"/>
              <w:start w:w="110" w:type="dxa"/>
              <w:bottom w:w="90" w:type="dxa"/>
              <w:end w:w="110" w:type="dxa"/>
            </w:tcMar>
            <w:vAlign w:val="top"/>
          </w:tcPr>
          <w:p>
            <w:r>
              <w:t>CAP theorem</w:t>
            </w:r>
          </w:p>
        </w:tc>
        <w:tc>
          <w:tcPr>
            <w:tcW w:type="dxa" w:w="8568"/>
            <w:tcMar>
              <w:top w:w="90" w:type="dxa"/>
              <w:start w:w="110" w:type="dxa"/>
              <w:bottom w:w="90" w:type="dxa"/>
              <w:end w:w="110" w:type="dxa"/>
            </w:tcMar>
            <w:vAlign w:val="top"/>
          </w:tcPr>
          <w:p>
            <w:r>
              <w:t>Under network partition, a distributed system chooses between consistency and availability for the affected operation.</w:t>
            </w:r>
          </w:p>
        </w:tc>
      </w:tr>
      <w:tr>
        <w:trPr>
          <w:cantSplit/>
        </w:trPr>
        <w:tc>
          <w:tcPr>
            <w:tcW w:type="dxa" w:w="2232"/>
            <w:tcMar>
              <w:top w:w="90" w:type="dxa"/>
              <w:start w:w="110" w:type="dxa"/>
              <w:bottom w:w="90" w:type="dxa"/>
              <w:end w:w="110" w:type="dxa"/>
            </w:tcMar>
            <w:vAlign w:val="top"/>
          </w:tcPr>
          <w:p>
            <w:r>
              <w:t>OLTP vs OLAP</w:t>
            </w:r>
          </w:p>
        </w:tc>
        <w:tc>
          <w:tcPr>
            <w:tcW w:type="dxa" w:w="8568"/>
            <w:tcMar>
              <w:top w:w="90" w:type="dxa"/>
              <w:start w:w="110" w:type="dxa"/>
              <w:bottom w:w="90" w:type="dxa"/>
              <w:end w:w="110" w:type="dxa"/>
            </w:tcMar>
            <w:vAlign w:val="top"/>
          </w:tcPr>
          <w:p>
            <w:r>
              <w:t>OLTP optimizes transactional writes and point lookups; OLAP optimizes large analytical scans/aggregations.</w:t>
            </w:r>
          </w:p>
        </w:tc>
      </w:tr>
      <w:tr>
        <w:trPr>
          <w:cantSplit/>
        </w:trPr>
        <w:tc>
          <w:tcPr>
            <w:tcW w:type="dxa" w:w="2232"/>
            <w:tcMar>
              <w:top w:w="90" w:type="dxa"/>
              <w:start w:w="110" w:type="dxa"/>
              <w:bottom w:w="90" w:type="dxa"/>
              <w:end w:w="110" w:type="dxa"/>
            </w:tcMar>
            <w:vAlign w:val="top"/>
          </w:tcPr>
          <w:p>
            <w:r>
              <w:t>Star schema</w:t>
            </w:r>
          </w:p>
        </w:tc>
        <w:tc>
          <w:tcPr>
            <w:tcW w:type="dxa" w:w="8568"/>
            <w:tcMar>
              <w:top w:w="90" w:type="dxa"/>
              <w:start w:w="110" w:type="dxa"/>
              <w:bottom w:w="90" w:type="dxa"/>
              <w:end w:w="110" w:type="dxa"/>
            </w:tcMar>
            <w:vAlign w:val="top"/>
          </w:tcPr>
          <w:p>
            <w:r>
              <w:t>Fact tables at explicit grain linked to denormalized dimensions; simple and efficient for analytical consumption.</w:t>
            </w:r>
          </w:p>
        </w:tc>
      </w:tr>
      <w:tr>
        <w:trPr>
          <w:cantSplit/>
        </w:trPr>
        <w:tc>
          <w:tcPr>
            <w:tcW w:type="dxa" w:w="2232"/>
            <w:tcMar>
              <w:top w:w="90" w:type="dxa"/>
              <w:start w:w="110" w:type="dxa"/>
              <w:bottom w:w="90" w:type="dxa"/>
              <w:end w:w="110" w:type="dxa"/>
            </w:tcMar>
            <w:vAlign w:val="top"/>
          </w:tcPr>
          <w:p>
            <w:r>
              <w:t>Normalization</w:t>
            </w:r>
          </w:p>
        </w:tc>
        <w:tc>
          <w:tcPr>
            <w:tcW w:type="dxa" w:w="8568"/>
            <w:tcMar>
              <w:top w:w="90" w:type="dxa"/>
              <w:start w:w="110" w:type="dxa"/>
              <w:bottom w:w="90" w:type="dxa"/>
              <w:end w:w="110" w:type="dxa"/>
            </w:tcMar>
            <w:vAlign w:val="top"/>
          </w:tcPr>
          <w:p>
            <w:r>
              <w:t>Reduces duplication and update anomalies; useful in operational/canonical models, but may be less convenient for analytics.</w:t>
            </w:r>
          </w:p>
        </w:tc>
      </w:tr>
      <w:tr>
        <w:trPr>
          <w:cantSplit/>
        </w:trPr>
        <w:tc>
          <w:tcPr>
            <w:tcW w:type="dxa" w:w="2232"/>
            <w:tcMar>
              <w:top w:w="90" w:type="dxa"/>
              <w:start w:w="110" w:type="dxa"/>
              <w:bottom w:w="90" w:type="dxa"/>
              <w:end w:w="110" w:type="dxa"/>
            </w:tcMar>
            <w:vAlign w:val="top"/>
          </w:tcPr>
          <w:p>
            <w:r>
              <w:t>Data lake vs warehouse</w:t>
            </w:r>
          </w:p>
        </w:tc>
        <w:tc>
          <w:tcPr>
            <w:tcW w:type="dxa" w:w="8568"/>
            <w:tcMar>
              <w:top w:w="90" w:type="dxa"/>
              <w:start w:w="110" w:type="dxa"/>
              <w:bottom w:w="90" w:type="dxa"/>
              <w:end w:w="110" w:type="dxa"/>
            </w:tcMar>
            <w:vAlign w:val="top"/>
          </w:tcPr>
          <w:p>
            <w:r>
              <w:t>Lake/object storage offers cheap flexible raw storage; warehouse offers managed SQL analytical compute and governance. Modern platforms often use both.</w:t>
            </w:r>
          </w:p>
        </w:tc>
      </w:tr>
      <w:tr>
        <w:trPr>
          <w:cantSplit/>
        </w:trPr>
        <w:tc>
          <w:tcPr>
            <w:tcW w:type="dxa" w:w="2232"/>
            <w:tcMar>
              <w:top w:w="90" w:type="dxa"/>
              <w:start w:w="110" w:type="dxa"/>
              <w:bottom w:w="90" w:type="dxa"/>
              <w:end w:w="110" w:type="dxa"/>
            </w:tcMar>
            <w:vAlign w:val="top"/>
          </w:tcPr>
          <w:p>
            <w:r>
              <w:t>Partitioning</w:t>
            </w:r>
          </w:p>
        </w:tc>
        <w:tc>
          <w:tcPr>
            <w:tcW w:type="dxa" w:w="8568"/>
            <w:tcMar>
              <w:top w:w="90" w:type="dxa"/>
              <w:start w:w="110" w:type="dxa"/>
              <w:bottom w:w="90" w:type="dxa"/>
              <w:end w:w="110" w:type="dxa"/>
            </w:tcMar>
            <w:vAlign w:val="top"/>
          </w:tcPr>
          <w:p>
            <w:r>
              <w:t>Physical/logical layout to reduce scan and organize processing. Poor partition choices create small-file or skew problems.</w:t>
            </w:r>
          </w:p>
        </w:tc>
      </w:tr>
      <w:tr>
        <w:trPr>
          <w:cantSplit/>
        </w:trPr>
        <w:tc>
          <w:tcPr>
            <w:tcW w:type="dxa" w:w="2232"/>
            <w:tcMar>
              <w:top w:w="90" w:type="dxa"/>
              <w:start w:w="110" w:type="dxa"/>
              <w:bottom w:w="90" w:type="dxa"/>
              <w:end w:w="110" w:type="dxa"/>
            </w:tcMar>
            <w:vAlign w:val="top"/>
          </w:tcPr>
          <w:p>
            <w:r>
              <w:t>Parquet</w:t>
            </w:r>
          </w:p>
        </w:tc>
        <w:tc>
          <w:tcPr>
            <w:tcW w:type="dxa" w:w="8568"/>
            <w:tcMar>
              <w:top w:w="90" w:type="dxa"/>
              <w:start w:w="110" w:type="dxa"/>
              <w:bottom w:w="90" w:type="dxa"/>
              <w:end w:w="110" w:type="dxa"/>
            </w:tcMar>
            <w:vAlign w:val="top"/>
          </w:tcPr>
          <w:p>
            <w:r>
              <w:t>Columnar format with compression, statistics and predicate/column pruning; strong for analytics.</w:t>
            </w:r>
          </w:p>
        </w:tc>
      </w:tr>
      <w:tr>
        <w:trPr>
          <w:cantSplit/>
        </w:trPr>
        <w:tc>
          <w:tcPr>
            <w:tcW w:type="dxa" w:w="2232"/>
            <w:tcMar>
              <w:top w:w="90" w:type="dxa"/>
              <w:start w:w="110" w:type="dxa"/>
              <w:bottom w:w="90" w:type="dxa"/>
              <w:end w:w="110" w:type="dxa"/>
            </w:tcMar>
            <w:vAlign w:val="top"/>
          </w:tcPr>
          <w:p>
            <w:r>
              <w:t>Kafka semantics</w:t>
            </w:r>
          </w:p>
        </w:tc>
        <w:tc>
          <w:tcPr>
            <w:tcW w:type="dxa" w:w="8568"/>
            <w:tcMar>
              <w:top w:w="90" w:type="dxa"/>
              <w:start w:w="110" w:type="dxa"/>
              <w:bottom w:w="90" w:type="dxa"/>
              <w:end w:w="110" w:type="dxa"/>
            </w:tcMar>
            <w:vAlign w:val="top"/>
          </w:tcPr>
          <w:p>
            <w:r>
              <w:t>Ordered within a partition, consumer offsets, at-least-once common; business idempotency still required.</w:t>
            </w:r>
          </w:p>
        </w:tc>
      </w:tr>
      <w:tr>
        <w:trPr>
          <w:cantSplit/>
        </w:trPr>
        <w:tc>
          <w:tcPr>
            <w:tcW w:type="dxa" w:w="2232"/>
            <w:tcMar>
              <w:top w:w="90" w:type="dxa"/>
              <w:start w:w="110" w:type="dxa"/>
              <w:bottom w:w="90" w:type="dxa"/>
              <w:end w:w="110" w:type="dxa"/>
            </w:tcMar>
            <w:vAlign w:val="top"/>
          </w:tcPr>
          <w:p>
            <w:r>
              <w:t>Python GIL</w:t>
            </w:r>
          </w:p>
        </w:tc>
        <w:tc>
          <w:tcPr>
            <w:tcW w:type="dxa" w:w="8568"/>
            <w:tcMar>
              <w:top w:w="90" w:type="dxa"/>
              <w:start w:w="110" w:type="dxa"/>
              <w:bottom w:w="90" w:type="dxa"/>
              <w:end w:w="110" w:type="dxa"/>
            </w:tcMar>
            <w:vAlign w:val="top"/>
          </w:tcPr>
          <w:p>
            <w:r>
              <w:t>In CPython one thread executes Python bytecode at a time; threads remain useful for I/O, multiprocessing/distributed compute for CPU-heavy work.</w:t>
            </w:r>
          </w:p>
        </w:tc>
      </w:tr>
      <w:tr>
        <w:trPr>
          <w:cantSplit/>
        </w:trPr>
        <w:tc>
          <w:tcPr>
            <w:tcW w:type="dxa" w:w="2232"/>
            <w:tcMar>
              <w:top w:w="90" w:type="dxa"/>
              <w:start w:w="110" w:type="dxa"/>
              <w:bottom w:w="90" w:type="dxa"/>
              <w:end w:w="110" w:type="dxa"/>
            </w:tcMar>
            <w:vAlign w:val="top"/>
          </w:tcPr>
          <w:p>
            <w:r>
              <w:t>Generator</w:t>
            </w:r>
          </w:p>
        </w:tc>
        <w:tc>
          <w:tcPr>
            <w:tcW w:type="dxa" w:w="8568"/>
            <w:tcMar>
              <w:top w:w="90" w:type="dxa"/>
              <w:start w:w="110" w:type="dxa"/>
              <w:bottom w:w="90" w:type="dxa"/>
              <w:end w:w="110" w:type="dxa"/>
            </w:tcMar>
            <w:vAlign w:val="top"/>
          </w:tcPr>
          <w:p>
            <w:r>
              <w:t>Lazy iterator that avoids materialising an entire sequence.</w:t>
            </w:r>
          </w:p>
        </w:tc>
      </w:tr>
      <w:tr>
        <w:trPr>
          <w:cantSplit/>
        </w:trPr>
        <w:tc>
          <w:tcPr>
            <w:tcW w:type="dxa" w:w="2232"/>
            <w:tcMar>
              <w:top w:w="90" w:type="dxa"/>
              <w:start w:w="110" w:type="dxa"/>
              <w:bottom w:w="90" w:type="dxa"/>
              <w:end w:w="110" w:type="dxa"/>
            </w:tcMar>
            <w:vAlign w:val="top"/>
          </w:tcPr>
          <w:p>
            <w:r>
              <w:t>Window function</w:t>
            </w:r>
          </w:p>
        </w:tc>
        <w:tc>
          <w:tcPr>
            <w:tcW w:type="dxa" w:w="8568"/>
            <w:tcMar>
              <w:top w:w="90" w:type="dxa"/>
              <w:start w:w="110" w:type="dxa"/>
              <w:bottom w:w="90" w:type="dxa"/>
              <w:end w:w="110" w:type="dxa"/>
            </w:tcMar>
            <w:vAlign w:val="top"/>
          </w:tcPr>
          <w:p>
            <w:r>
              <w:t>Calculates values across related rows without collapsing them, e.g. row_number, lag, running totals.</w:t>
            </w:r>
          </w:p>
        </w:tc>
      </w:tr>
      <w:tr>
        <w:trPr>
          <w:cantSplit/>
        </w:trPr>
        <w:tc>
          <w:tcPr>
            <w:tcW w:type="dxa" w:w="2232"/>
            <w:tcMar>
              <w:top w:w="90" w:type="dxa"/>
              <w:start w:w="110" w:type="dxa"/>
              <w:bottom w:w="90" w:type="dxa"/>
              <w:end w:w="110" w:type="dxa"/>
            </w:tcMar>
            <w:vAlign w:val="top"/>
          </w:tcPr>
          <w:p>
            <w:r>
              <w:t>MERGE caveat</w:t>
            </w:r>
          </w:p>
        </w:tc>
        <w:tc>
          <w:tcPr>
            <w:tcW w:type="dxa" w:w="8568"/>
            <w:tcMar>
              <w:top w:w="90" w:type="dxa"/>
              <w:start w:w="110" w:type="dxa"/>
              <w:bottom w:w="90" w:type="dxa"/>
              <w:end w:w="110" w:type="dxa"/>
            </w:tcMar>
            <w:vAlign w:val="top"/>
          </w:tcPr>
          <w:p>
            <w:r>
              <w:t>MERGE is only safe when source rows are deterministic at the target business key. Deduplicate/resolve source ambiguity first.</w:t>
            </w:r>
          </w:p>
        </w:tc>
      </w:tr>
    </w:tbl>
    <w:p>
      <w:pPr>
        <w:pStyle w:val="Heading1"/>
        <w:keepNext/>
      </w:pPr>
      <w:r>
        <w:t>28. First 90 Days - Strong VP Answer</w:t>
      </w:r>
    </w:p>
    <w:tbl>
      <w:tblPr>
        <w:tblStyle w:val="TableGrid"/>
        <w:tblW w:type="auto" w:w="0"/>
        <w:jc w:val="center"/>
        <w:tblLook w:firstColumn="1" w:firstRow="1" w:lastColumn="0" w:lastRow="0" w:noHBand="0" w:noVBand="1" w:val="04A0"/>
      </w:tblPr>
      <w:tblGrid>
        <w:gridCol w:w="5227"/>
        <w:gridCol w:w="5227"/>
      </w:tblGrid>
      <w:tr>
        <w:trPr>
          <w:cantSplit/>
        </w:trPr>
        <w:tc>
          <w:tcPr>
            <w:tcW w:type="dxa" w:w="2448"/>
            <w:shd w:fill="18365D"/>
            <w:vAlign w:val="center"/>
            <w:tcMar>
              <w:top w:w="90" w:type="dxa"/>
              <w:start w:w="110" w:type="dxa"/>
              <w:bottom w:w="90" w:type="dxa"/>
              <w:end w:w="110" w:type="dxa"/>
            </w:tcMar>
          </w:tcPr>
          <w:p>
            <w:r>
              <w:rPr>
                <w:b/>
                <w:color w:val="FFFFFF"/>
              </w:rPr>
              <w:t>Period</w:t>
            </w:r>
          </w:p>
        </w:tc>
        <w:tc>
          <w:tcPr>
            <w:tcW w:type="dxa" w:w="8352"/>
            <w:shd w:fill="18365D"/>
            <w:vAlign w:val="center"/>
            <w:tcMar>
              <w:top w:w="90" w:type="dxa"/>
              <w:start w:w="110" w:type="dxa"/>
              <w:bottom w:w="90" w:type="dxa"/>
              <w:end w:w="110" w:type="dxa"/>
            </w:tcMar>
          </w:tcPr>
          <w:p>
            <w:r>
              <w:rPr>
                <w:b/>
                <w:color w:val="FFFFFF"/>
              </w:rPr>
              <w:t>Approach</w:t>
            </w:r>
          </w:p>
        </w:tc>
      </w:tr>
      <w:tr>
        <w:trPr>
          <w:cantSplit/>
        </w:trPr>
        <w:tc>
          <w:tcPr>
            <w:tcW w:type="dxa" w:w="2448"/>
            <w:tcMar>
              <w:top w:w="90" w:type="dxa"/>
              <w:start w:w="110" w:type="dxa"/>
              <w:bottom w:w="90" w:type="dxa"/>
              <w:end w:w="110" w:type="dxa"/>
            </w:tcMar>
            <w:vAlign w:val="top"/>
          </w:tcPr>
          <w:p>
            <w:r>
              <w:t>Days 1-30: Understand</w:t>
            </w:r>
          </w:p>
        </w:tc>
        <w:tc>
          <w:tcPr>
            <w:tcW w:type="dxa" w:w="8352"/>
            <w:tcMar>
              <w:top w:w="90" w:type="dxa"/>
              <w:start w:w="110" w:type="dxa"/>
              <w:bottom w:w="90" w:type="dxa"/>
              <w:end w:w="110" w:type="dxa"/>
            </w:tcMar>
            <w:vAlign w:val="top"/>
          </w:tcPr>
          <w:p>
            <w:r>
              <w:t>Meet engineering, data science, product and research stakeholders; understand Company Intelligence data model, source landscape, SLAs, quality metrics, deployment process and current incidents. Review architecture and observe team workflow before proposing broad changes.</w:t>
            </w:r>
          </w:p>
        </w:tc>
      </w:tr>
      <w:tr>
        <w:trPr>
          <w:cantSplit/>
        </w:trPr>
        <w:tc>
          <w:tcPr>
            <w:tcW w:type="dxa" w:w="2448"/>
            <w:tcMar>
              <w:top w:w="90" w:type="dxa"/>
              <w:start w:w="110" w:type="dxa"/>
              <w:bottom w:w="90" w:type="dxa"/>
              <w:end w:w="110" w:type="dxa"/>
            </w:tcMar>
            <w:vAlign w:val="top"/>
          </w:tcPr>
          <w:p>
            <w:r>
              <w:t>Days 31-60: Own</w:t>
            </w:r>
          </w:p>
        </w:tc>
        <w:tc>
          <w:tcPr>
            <w:tcW w:type="dxa" w:w="8352"/>
            <w:tcMar>
              <w:top w:w="90" w:type="dxa"/>
              <w:start w:w="110" w:type="dxa"/>
              <w:bottom w:w="90" w:type="dxa"/>
              <w:end w:w="110" w:type="dxa"/>
            </w:tcMar>
            <w:vAlign w:val="top"/>
          </w:tcPr>
          <w:p>
            <w:r>
              <w:t>Take ownership of one meaningful data flow or quality problem. Improve a measurable outcome such as reliability, freshness, coverage, cost or developer throughput. Establish technical relationships and begin regular coaching/1:1 cadence if managing engineers.</w:t>
            </w:r>
          </w:p>
        </w:tc>
      </w:tr>
      <w:tr>
        <w:trPr>
          <w:cantSplit/>
        </w:trPr>
        <w:tc>
          <w:tcPr>
            <w:tcW w:type="dxa" w:w="2448"/>
            <w:tcMar>
              <w:top w:w="90" w:type="dxa"/>
              <w:start w:w="110" w:type="dxa"/>
              <w:bottom w:w="90" w:type="dxa"/>
              <w:end w:w="110" w:type="dxa"/>
            </w:tcMar>
            <w:vAlign w:val="top"/>
          </w:tcPr>
          <w:p>
            <w:r>
              <w:t>Days 61-90: Scale</w:t>
            </w:r>
          </w:p>
        </w:tc>
        <w:tc>
          <w:tcPr>
            <w:tcW w:type="dxa" w:w="8352"/>
            <w:tcMar>
              <w:top w:w="90" w:type="dxa"/>
              <w:start w:w="110" w:type="dxa"/>
              <w:bottom w:w="90" w:type="dxa"/>
              <w:end w:w="110" w:type="dxa"/>
            </w:tcMar>
            <w:vAlign w:val="top"/>
          </w:tcPr>
          <w:p>
            <w:r>
              <w:t>Turn initial learning into a prioritised roadmap: reusable platform improvements, data-quality controls, model standards, observability and team capability. Agree success metrics with product/data science and reduce one structural source of operational friction.</w:t>
            </w:r>
          </w:p>
        </w:tc>
      </w:tr>
    </w:tbl>
    <w:p>
      <w:pPr>
        <w:pStyle w:val="Heading1"/>
        <w:keepNext/>
      </w:pPr>
      <w:r>
        <w:t>29. Questions to Ask the Panel</w:t>
      </w:r>
    </w:p>
    <w:p>
      <w:pPr>
        <w:pStyle w:val="ListBullet"/>
        <w:spacing w:after="50" w:line="240" w:lineRule="auto"/>
      </w:pPr>
      <w:r>
        <w:t>What is the first significant Company Intelligence data problem you would want this VP to take ownership of?</w:t>
      </w:r>
    </w:p>
    <w:p>
      <w:pPr>
        <w:pStyle w:val="ListBullet"/>
        <w:spacing w:after="50" w:line="240" w:lineRule="auto"/>
      </w:pPr>
      <w:r>
        <w:t>Where is the biggest constraint today: source onboarding, entity resolution, data quality, transformation performance, model usability, or operational maturity?</w:t>
      </w:r>
    </w:p>
    <w:p>
      <w:pPr>
        <w:pStyle w:val="ListBullet"/>
        <w:spacing w:after="50" w:line="240" w:lineRule="auto"/>
      </w:pPr>
      <w:r>
        <w:t>How is ownership split between data engineering, data science, product and the research/data-curation teams?</w:t>
      </w:r>
    </w:p>
    <w:p>
      <w:pPr>
        <w:pStyle w:val="ListBullet"/>
        <w:spacing w:after="50" w:line="240" w:lineRule="auto"/>
      </w:pPr>
      <w:r>
        <w:t>How mature is the dbt and Snowflake platform today, and where do you want the incoming VP to change its direction?</w:t>
      </w:r>
    </w:p>
    <w:p>
      <w:pPr>
        <w:pStyle w:val="ListBullet"/>
        <w:spacing w:after="50" w:line="240" w:lineRule="auto"/>
      </w:pPr>
      <w:r>
        <w:t>How do you measure trust in Company Intelligence data today: coverage, freshness, source provenance, reconciliation, consumer incidents or other metrics?</w:t>
      </w:r>
    </w:p>
    <w:p>
      <w:pPr>
        <w:pStyle w:val="ListBullet"/>
        <w:spacing w:after="50" w:line="240" w:lineRule="auto"/>
      </w:pPr>
      <w:r>
        <w:t>For this player-coach role, what is the expected balance between hands-on engineering and formal people management?</w:t>
      </w:r>
    </w:p>
    <w:p>
      <w:pPr>
        <w:pStyle w:val="ListBullet"/>
        <w:spacing w:after="50" w:line="240" w:lineRule="auto"/>
      </w:pPr>
      <w:r>
        <w:t>How do modelling teams consume point-in-time datasets today, and what are the biggest pain points in reproducibility or feature engineering?</w:t>
      </w:r>
    </w:p>
    <w:p>
      <w:pPr>
        <w:pStyle w:val="ListBullet"/>
        <w:spacing w:after="50" w:line="240" w:lineRule="auto"/>
      </w:pPr>
      <w:r>
        <w:t>What would make you say after six months that this hire has been exceptionally successful?</w:t>
      </w:r>
    </w:p>
    <w:p>
      <w:pPr>
        <w:pStyle w:val="Heading2"/>
        <w:keepNext/>
      </w:pPr>
      <w:r>
        <w:t>Questions specifically suitable for Andrew</w:t>
      </w:r>
    </w:p>
    <w:p>
      <w:pPr>
        <w:pStyle w:val="ListBullet"/>
        <w:spacing w:after="50" w:line="240" w:lineRule="auto"/>
      </w:pPr>
      <w:r>
        <w:t>Which parts of the Company Intelligence data platform are currently being modernised or migrated, and what has been hardest about preserving data trust during that change?</w:t>
      </w:r>
    </w:p>
    <w:p>
      <w:pPr>
        <w:pStyle w:val="ListBullet"/>
        <w:spacing w:after="50" w:line="240" w:lineRule="auto"/>
      </w:pPr>
      <w:r>
        <w:t>Where do you see the biggest opportunity to simplify the platform while still supporting analytical flexibility?</w:t>
      </w:r>
    </w:p>
    <w:p>
      <w:pPr>
        <w:pStyle w:val="Heading2"/>
        <w:keepNext/>
      </w:pPr>
      <w:r>
        <w:t>Questions specifically suitable for James</w:t>
      </w:r>
    </w:p>
    <w:p>
      <w:pPr>
        <w:pStyle w:val="ListBullet"/>
        <w:spacing w:after="50" w:line="240" w:lineRule="auto"/>
      </w:pPr>
      <w:r>
        <w:t>How do the data science teams currently define and reproduce point-in-time analytical datasets from Company Intelligence?</w:t>
      </w:r>
    </w:p>
    <w:p>
      <w:pPr>
        <w:pStyle w:val="ListBullet"/>
        <w:spacing w:after="50" w:line="240" w:lineRule="auto"/>
      </w:pPr>
      <w:r>
        <w:t>What would an ideal partnership between the VP Data Engineer and modelling teams look like on a weekly basis?</w:t>
      </w:r>
    </w:p>
    <w:p>
      <w:pPr>
        <w:pStyle w:val="Heading1"/>
        <w:keepNext/>
      </w:pPr>
      <w:r>
        <w:t>30. What Not to Overclaim</w:t>
      </w:r>
    </w:p>
    <w:tbl>
      <w:tblPr>
        <w:tblStyle w:val="TableGrid"/>
        <w:tblW w:type="auto" w:w="0"/>
        <w:jc w:val="center"/>
        <w:tblLook w:firstColumn="1" w:firstRow="1" w:lastColumn="0" w:lastRow="0" w:noHBand="0" w:noVBand="1" w:val="04A0"/>
      </w:tblPr>
      <w:tblGrid>
        <w:gridCol w:w="5227"/>
        <w:gridCol w:w="5227"/>
      </w:tblGrid>
      <w:tr>
        <w:trPr>
          <w:cantSplit/>
        </w:trPr>
        <w:tc>
          <w:tcPr>
            <w:tcW w:type="dxa" w:w="2592"/>
            <w:shd w:fill="18365D"/>
            <w:vAlign w:val="center"/>
            <w:tcMar>
              <w:top w:w="90" w:type="dxa"/>
              <w:start w:w="110" w:type="dxa"/>
              <w:bottom w:w="90" w:type="dxa"/>
              <w:end w:w="110" w:type="dxa"/>
            </w:tcMar>
          </w:tcPr>
          <w:p>
            <w:r>
              <w:rPr>
                <w:b/>
                <w:color w:val="FFFFFF"/>
              </w:rPr>
              <w:t>Area</w:t>
            </w:r>
          </w:p>
        </w:tc>
        <w:tc>
          <w:tcPr>
            <w:tcW w:type="dxa" w:w="8208"/>
            <w:shd w:fill="18365D"/>
            <w:vAlign w:val="center"/>
            <w:tcMar>
              <w:top w:w="90" w:type="dxa"/>
              <w:start w:w="110" w:type="dxa"/>
              <w:bottom w:w="90" w:type="dxa"/>
              <w:end w:w="110" w:type="dxa"/>
            </w:tcMar>
          </w:tcPr>
          <w:p>
            <w:r>
              <w:rPr>
                <w:b/>
                <w:color w:val="FFFFFF"/>
              </w:rPr>
              <w:t>Safe positioning</w:t>
            </w:r>
          </w:p>
        </w:tc>
      </w:tr>
      <w:tr>
        <w:trPr>
          <w:cantSplit/>
        </w:trPr>
        <w:tc>
          <w:tcPr>
            <w:tcW w:type="dxa" w:w="2592"/>
            <w:tcMar>
              <w:top w:w="90" w:type="dxa"/>
              <w:start w:w="110" w:type="dxa"/>
              <w:bottom w:w="90" w:type="dxa"/>
              <w:end w:w="110" w:type="dxa"/>
            </w:tcMar>
            <w:vAlign w:val="top"/>
          </w:tcPr>
          <w:p>
            <w:r>
              <w:t>dbt</w:t>
            </w:r>
          </w:p>
        </w:tc>
        <w:tc>
          <w:tcPr>
            <w:tcW w:type="dxa" w:w="8208"/>
            <w:tcMar>
              <w:top w:w="90" w:type="dxa"/>
              <w:start w:w="110" w:type="dxa"/>
              <w:bottom w:w="90" w:type="dxa"/>
              <w:end w:w="110" w:type="dxa"/>
            </w:tcMar>
            <w:vAlign w:val="top"/>
          </w:tcPr>
          <w:p>
            <w:r>
              <w:t>Do not claim extensive production dbt ownership. Show strong conceptual readiness and equivalent analytics-engineering practices.</w:t>
            </w:r>
          </w:p>
        </w:tc>
      </w:tr>
      <w:tr>
        <w:trPr>
          <w:cantSplit/>
        </w:trPr>
        <w:tc>
          <w:tcPr>
            <w:tcW w:type="dxa" w:w="2592"/>
            <w:tcMar>
              <w:top w:w="90" w:type="dxa"/>
              <w:start w:w="110" w:type="dxa"/>
              <w:bottom w:w="90" w:type="dxa"/>
              <w:end w:w="110" w:type="dxa"/>
            </w:tcMar>
            <w:vAlign w:val="top"/>
          </w:tcPr>
          <w:p>
            <w:r>
              <w:t>Terraform</w:t>
            </w:r>
          </w:p>
        </w:tc>
        <w:tc>
          <w:tcPr>
            <w:tcW w:type="dxa" w:w="8208"/>
            <w:tcMar>
              <w:top w:w="90" w:type="dxa"/>
              <w:start w:w="110" w:type="dxa"/>
              <w:bottom w:w="90" w:type="dxa"/>
              <w:end w:w="110" w:type="dxa"/>
            </w:tcMar>
            <w:vAlign w:val="top"/>
          </w:tcPr>
          <w:p>
            <w:r>
              <w:t>You have AWS CDK / IaC experience. Do not present yourself as a Terraform specialist unless you have additional experience not shown in the CV.</w:t>
            </w:r>
          </w:p>
        </w:tc>
      </w:tr>
      <w:tr>
        <w:trPr>
          <w:cantSplit/>
        </w:trPr>
        <w:tc>
          <w:tcPr>
            <w:tcW w:type="dxa" w:w="2592"/>
            <w:tcMar>
              <w:top w:w="90" w:type="dxa"/>
              <w:start w:w="110" w:type="dxa"/>
              <w:bottom w:w="90" w:type="dxa"/>
              <w:end w:w="110" w:type="dxa"/>
            </w:tcMar>
            <w:vAlign w:val="top"/>
          </w:tcPr>
          <w:p>
            <w:r>
              <w:t>Snowflake administration</w:t>
            </w:r>
          </w:p>
        </w:tc>
        <w:tc>
          <w:tcPr>
            <w:tcW w:type="dxa" w:w="8208"/>
            <w:tcMar>
              <w:top w:w="90" w:type="dxa"/>
              <w:start w:w="110" w:type="dxa"/>
              <w:bottom w:w="90" w:type="dxa"/>
              <w:end w:w="110" w:type="dxa"/>
            </w:tcMar>
            <w:vAlign w:val="top"/>
          </w:tcPr>
          <w:p>
            <w:r>
              <w:t>Use confidently for data engineering and integration; do not claim deep account/platform administration without evidence.</w:t>
            </w:r>
          </w:p>
        </w:tc>
      </w:tr>
      <w:tr>
        <w:trPr>
          <w:cantSplit/>
        </w:trPr>
        <w:tc>
          <w:tcPr>
            <w:tcW w:type="dxa" w:w="2592"/>
            <w:tcMar>
              <w:top w:w="90" w:type="dxa"/>
              <w:start w:w="110" w:type="dxa"/>
              <w:bottom w:w="90" w:type="dxa"/>
              <w:end w:w="110" w:type="dxa"/>
            </w:tcMar>
            <w:vAlign w:val="top"/>
          </w:tcPr>
          <w:p>
            <w:r>
              <w:t>Private equity / VC operations</w:t>
            </w:r>
          </w:p>
        </w:tc>
        <w:tc>
          <w:tcPr>
            <w:tcW w:type="dxa" w:w="8208"/>
            <w:tcMar>
              <w:top w:w="90" w:type="dxa"/>
              <w:start w:w="110" w:type="dxa"/>
              <w:bottom w:w="90" w:type="dxa"/>
              <w:end w:w="110" w:type="dxa"/>
            </w:tcMar>
            <w:vAlign w:val="top"/>
          </w:tcPr>
          <w:p>
            <w:r>
              <w:t>Pemberton gives real Private Credit experience. State transferable private-market data knowledge rather than claiming deep expertise in every alternative asset class.</w:t>
            </w:r>
          </w:p>
        </w:tc>
      </w:tr>
      <w:tr>
        <w:trPr>
          <w:cantSplit/>
        </w:trPr>
        <w:tc>
          <w:tcPr>
            <w:tcW w:type="dxa" w:w="2592"/>
            <w:tcMar>
              <w:top w:w="90" w:type="dxa"/>
              <w:start w:w="110" w:type="dxa"/>
              <w:bottom w:w="90" w:type="dxa"/>
              <w:end w:w="110" w:type="dxa"/>
            </w:tcMar>
            <w:vAlign w:val="top"/>
          </w:tcPr>
          <w:p>
            <w:r>
              <w:t>Data science modelling</w:t>
            </w:r>
          </w:p>
        </w:tc>
        <w:tc>
          <w:tcPr>
            <w:tcW w:type="dxa" w:w="8208"/>
            <w:tcMar>
              <w:top w:w="90" w:type="dxa"/>
              <w:start w:w="110" w:type="dxa"/>
              <w:bottom w:w="90" w:type="dxa"/>
              <w:end w:w="110" w:type="dxa"/>
            </w:tcMar>
            <w:vAlign w:val="top"/>
          </w:tcPr>
          <w:p>
            <w:r>
              <w:t>You have productionised models and worked with researchers. Do not imply you were the research owner for every model.</w:t>
            </w:r>
          </w:p>
        </w:tc>
      </w:tr>
      <w:tr>
        <w:trPr>
          <w:cantSplit/>
        </w:trPr>
        <w:tc>
          <w:tcPr>
            <w:tcW w:type="dxa" w:w="2592"/>
            <w:tcMar>
              <w:top w:w="90" w:type="dxa"/>
              <w:start w:w="110" w:type="dxa"/>
              <w:bottom w:w="90" w:type="dxa"/>
              <w:end w:w="110" w:type="dxa"/>
            </w:tcMar>
            <w:vAlign w:val="top"/>
          </w:tcPr>
          <w:p>
            <w:r>
              <w:t>Company Intelligence internals</w:t>
            </w:r>
          </w:p>
        </w:tc>
        <w:tc>
          <w:tcPr>
            <w:tcW w:type="dxa" w:w="8208"/>
            <w:tcMar>
              <w:top w:w="90" w:type="dxa"/>
              <w:start w:w="110" w:type="dxa"/>
              <w:bottom w:w="90" w:type="dxa"/>
              <w:end w:w="110" w:type="dxa"/>
            </w:tcMar>
            <w:vAlign w:val="top"/>
          </w:tcPr>
          <w:p>
            <w:r>
              <w:t>Use public product context only. Do not guess internal architecture, model algorithms or data sources.</w:t>
            </w:r>
          </w:p>
        </w:tc>
      </w:tr>
      <w:tr>
        <w:trPr>
          <w:cantSplit/>
        </w:trPr>
        <w:tc>
          <w:tcPr>
            <w:tcW w:type="dxa" w:w="2592"/>
            <w:tcMar>
              <w:top w:w="90" w:type="dxa"/>
              <w:start w:w="110" w:type="dxa"/>
              <w:bottom w:w="90" w:type="dxa"/>
              <w:end w:w="110" w:type="dxa"/>
            </w:tcMar>
            <w:vAlign w:val="top"/>
          </w:tcPr>
          <w:p>
            <w:r>
              <w:t>Interviewers</w:t>
            </w:r>
          </w:p>
        </w:tc>
        <w:tc>
          <w:tcPr>
            <w:tcW w:type="dxa" w:w="8208"/>
            <w:tcMar>
              <w:top w:w="90" w:type="dxa"/>
              <w:start w:w="110" w:type="dxa"/>
              <w:bottom w:w="90" w:type="dxa"/>
              <w:end w:w="110" w:type="dxa"/>
            </w:tcMar>
            <w:vAlign w:val="top"/>
          </w:tcPr>
          <w:p>
            <w:r>
              <w:t>Use public profile context to shape preparation, not as if you know what they will ask.</w:t>
            </w:r>
          </w:p>
        </w:tc>
      </w:tr>
    </w:tbl>
    <w:p>
      <w:pPr>
        <w:pStyle w:val="Heading1"/>
        <w:keepNext/>
      </w:pPr>
      <w:r>
        <w:t>31. Closing Statement</w:t>
      </w:r>
    </w:p>
    <w:p>
      <w:pPr>
        <w:spacing w:after="80" w:line="245" w:lineRule="auto"/>
      </w:pPr>
      <w:r>
        <w:t>Suggested closing: The discussion has reinforced my interest because this role brings together several parts of my background in a way that is quite unusual: hands-on Python and SQL data engineering, cloud and Snowflake, previous BlackRock leadership, and recent Private Credit experience. I think the value I can bring is that I can operate as a player-coach: I can work through the data model or pipeline details with the team, but I can also set standards, make architecture trade-offs and build trusted relationships with product and data science. Company Intelligence is particularly interesting because data provenance, identity and quality are central to the product itself, not just supporting concerns. I would be very interested in returning to BlackRock and helping scale that platform.</w:t>
      </w:r>
    </w:p>
    <w:p>
      <w:pPr>
        <w:pStyle w:val="Heading1"/>
        <w:keepNext/>
      </w:pPr>
      <w:r>
        <w:t>32. Final Preparation Plan - Interview Tomorrow at 10:00</w:t>
      </w:r>
    </w:p>
    <w:tbl>
      <w:tblPr>
        <w:tblStyle w:val="TableGrid"/>
        <w:tblW w:type="auto" w:w="0"/>
        <w:jc w:val="center"/>
        <w:tblLook w:firstColumn="1" w:firstRow="1" w:lastColumn="0" w:lastRow="0" w:noHBand="0" w:noVBand="1" w:val="04A0"/>
      </w:tblPr>
      <w:tblGrid>
        <w:gridCol w:w="5227"/>
        <w:gridCol w:w="5227"/>
      </w:tblGrid>
      <w:tr>
        <w:trPr>
          <w:cantSplit/>
        </w:trPr>
        <w:tc>
          <w:tcPr>
            <w:tcW w:type="dxa" w:w="2304"/>
            <w:shd w:fill="18365D"/>
            <w:vAlign w:val="center"/>
            <w:tcMar>
              <w:top w:w="90" w:type="dxa"/>
              <w:start w:w="110" w:type="dxa"/>
              <w:bottom w:w="90" w:type="dxa"/>
              <w:end w:w="110" w:type="dxa"/>
            </w:tcMar>
          </w:tcPr>
          <w:p>
            <w:r>
              <w:rPr>
                <w:b/>
                <w:color w:val="FFFFFF"/>
              </w:rPr>
              <w:t>When</w:t>
            </w:r>
          </w:p>
        </w:tc>
        <w:tc>
          <w:tcPr>
            <w:tcW w:type="dxa" w:w="8496"/>
            <w:shd w:fill="18365D"/>
            <w:vAlign w:val="center"/>
            <w:tcMar>
              <w:top w:w="90" w:type="dxa"/>
              <w:start w:w="110" w:type="dxa"/>
              <w:bottom w:w="90" w:type="dxa"/>
              <w:end w:w="110" w:type="dxa"/>
            </w:tcMar>
          </w:tcPr>
          <w:p>
            <w:r>
              <w:rPr>
                <w:b/>
                <w:color w:val="FFFFFF"/>
              </w:rPr>
              <w:t>Action</w:t>
            </w:r>
          </w:p>
        </w:tc>
      </w:tr>
      <w:tr>
        <w:trPr>
          <w:cantSplit/>
        </w:trPr>
        <w:tc>
          <w:tcPr>
            <w:tcW w:type="dxa" w:w="2304"/>
            <w:tcMar>
              <w:top w:w="90" w:type="dxa"/>
              <w:start w:w="110" w:type="dxa"/>
              <w:bottom w:w="90" w:type="dxa"/>
              <w:end w:w="110" w:type="dxa"/>
            </w:tcMar>
            <w:vAlign w:val="top"/>
          </w:tcPr>
          <w:p>
            <w:r>
              <w:t>Tonight - 45 min</w:t>
            </w:r>
          </w:p>
        </w:tc>
        <w:tc>
          <w:tcPr>
            <w:tcW w:type="dxa" w:w="8496"/>
            <w:tcMar>
              <w:top w:w="90" w:type="dxa"/>
              <w:start w:w="110" w:type="dxa"/>
              <w:bottom w:w="90" w:type="dxa"/>
              <w:end w:w="110" w:type="dxa"/>
            </w:tcMar>
            <w:vAlign w:val="top"/>
          </w:tcPr>
          <w:p>
            <w:r>
              <w:t>Read sections 1-5, rehearse 90-second intro, why BlackRock again, why Preqin, why permanent, and player-coach answer.</w:t>
            </w:r>
          </w:p>
        </w:tc>
      </w:tr>
      <w:tr>
        <w:trPr>
          <w:cantSplit/>
        </w:trPr>
        <w:tc>
          <w:tcPr>
            <w:tcW w:type="dxa" w:w="2304"/>
            <w:tcMar>
              <w:top w:w="90" w:type="dxa"/>
              <w:start w:w="110" w:type="dxa"/>
              <w:bottom w:w="90" w:type="dxa"/>
              <w:end w:w="110" w:type="dxa"/>
            </w:tcMar>
            <w:vAlign w:val="top"/>
          </w:tcPr>
          <w:p>
            <w:r>
              <w:t>Tonight - 45 min</w:t>
            </w:r>
          </w:p>
        </w:tc>
        <w:tc>
          <w:tcPr>
            <w:tcW w:type="dxa" w:w="8496"/>
            <w:tcMar>
              <w:top w:w="90" w:type="dxa"/>
              <w:start w:w="110" w:type="dxa"/>
              <w:bottom w:w="90" w:type="dxa"/>
              <w:end w:w="110" w:type="dxa"/>
            </w:tcMar>
            <w:vAlign w:val="top"/>
          </w:tcPr>
          <w:p>
            <w:r>
              <w:t>Revise dbt section until you can explain source/ref/models/tests/incremental/snapshots without notes.</w:t>
            </w:r>
          </w:p>
        </w:tc>
      </w:tr>
      <w:tr>
        <w:trPr>
          <w:cantSplit/>
        </w:trPr>
        <w:tc>
          <w:tcPr>
            <w:tcW w:type="dxa" w:w="2304"/>
            <w:tcMar>
              <w:top w:w="90" w:type="dxa"/>
              <w:start w:w="110" w:type="dxa"/>
              <w:bottom w:w="90" w:type="dxa"/>
              <w:end w:w="110" w:type="dxa"/>
            </w:tcMar>
            <w:vAlign w:val="top"/>
          </w:tcPr>
          <w:p>
            <w:r>
              <w:t>Tonight - 30 min</w:t>
            </w:r>
          </w:p>
        </w:tc>
        <w:tc>
          <w:tcPr>
            <w:tcW w:type="dxa" w:w="8496"/>
            <w:tcMar>
              <w:top w:w="90" w:type="dxa"/>
              <w:start w:w="110" w:type="dxa"/>
              <w:bottom w:w="90" w:type="dxa"/>
              <w:end w:w="110" w:type="dxa"/>
            </w:tcMar>
            <w:vAlign w:val="top"/>
          </w:tcPr>
          <w:p>
            <w:r>
              <w:t>Revise Company Intelligence model, entity resolution and point-in-time data science section.</w:t>
            </w:r>
          </w:p>
        </w:tc>
      </w:tr>
      <w:tr>
        <w:trPr>
          <w:cantSplit/>
        </w:trPr>
        <w:tc>
          <w:tcPr>
            <w:tcW w:type="dxa" w:w="2304"/>
            <w:tcMar>
              <w:top w:w="90" w:type="dxa"/>
              <w:start w:w="110" w:type="dxa"/>
              <w:bottom w:w="90" w:type="dxa"/>
              <w:end w:w="110" w:type="dxa"/>
            </w:tcMar>
            <w:vAlign w:val="top"/>
          </w:tcPr>
          <w:p>
            <w:r>
              <w:t>Tonight - 30 min</w:t>
            </w:r>
          </w:p>
        </w:tc>
        <w:tc>
          <w:tcPr>
            <w:tcW w:type="dxa" w:w="8496"/>
            <w:tcMar>
              <w:top w:w="90" w:type="dxa"/>
              <w:start w:w="110" w:type="dxa"/>
              <w:bottom w:w="90" w:type="dxa"/>
              <w:end w:w="110" w:type="dxa"/>
            </w:tcMar>
            <w:vAlign w:val="top"/>
          </w:tcPr>
          <w:p>
            <w:r>
              <w:t>Choose six STAR stories and write only Situation / Action / Result keywords, not scripts.</w:t>
            </w:r>
          </w:p>
        </w:tc>
      </w:tr>
      <w:tr>
        <w:trPr>
          <w:cantSplit/>
        </w:trPr>
        <w:tc>
          <w:tcPr>
            <w:tcW w:type="dxa" w:w="2304"/>
            <w:tcMar>
              <w:top w:w="90" w:type="dxa"/>
              <w:start w:w="110" w:type="dxa"/>
              <w:bottom w:w="90" w:type="dxa"/>
              <w:end w:w="110" w:type="dxa"/>
            </w:tcMar>
            <w:vAlign w:val="top"/>
          </w:tcPr>
          <w:p>
            <w:r>
              <w:t>Tomorrow - 30 min</w:t>
            </w:r>
          </w:p>
        </w:tc>
        <w:tc>
          <w:tcPr>
            <w:tcW w:type="dxa" w:w="8496"/>
            <w:tcMar>
              <w:top w:w="90" w:type="dxa"/>
              <w:start w:w="110" w:type="dxa"/>
              <w:bottom w:w="90" w:type="dxa"/>
              <w:end w:w="110" w:type="dxa"/>
            </w:tcMar>
            <w:vAlign w:val="top"/>
          </w:tcPr>
          <w:p>
            <w:r>
              <w:t>Review SQL, Snowflake, Airflow and data quality rapid-fire sections.</w:t>
            </w:r>
          </w:p>
        </w:tc>
      </w:tr>
      <w:tr>
        <w:trPr>
          <w:cantSplit/>
        </w:trPr>
        <w:tc>
          <w:tcPr>
            <w:tcW w:type="dxa" w:w="2304"/>
            <w:tcMar>
              <w:top w:w="90" w:type="dxa"/>
              <w:start w:w="110" w:type="dxa"/>
              <w:bottom w:w="90" w:type="dxa"/>
              <w:end w:w="110" w:type="dxa"/>
            </w:tcMar>
            <w:vAlign w:val="top"/>
          </w:tcPr>
          <w:p>
            <w:r>
              <w:t>Tomorrow - 15 min</w:t>
            </w:r>
          </w:p>
        </w:tc>
        <w:tc>
          <w:tcPr>
            <w:tcW w:type="dxa" w:w="8496"/>
            <w:tcMar>
              <w:top w:w="90" w:type="dxa"/>
              <w:start w:w="110" w:type="dxa"/>
              <w:bottom w:w="90" w:type="dxa"/>
              <w:end w:w="110" w:type="dxa"/>
            </w:tcMar>
            <w:vAlign w:val="top"/>
          </w:tcPr>
          <w:p>
            <w:r>
              <w:t>Read only the one-page cheat sheet and questions for the panel.</w:t>
            </w:r>
          </w:p>
        </w:tc>
      </w:tr>
      <w:tr>
        <w:trPr>
          <w:cantSplit/>
        </w:trPr>
        <w:tc>
          <w:tcPr>
            <w:tcW w:type="dxa" w:w="2304"/>
            <w:tcMar>
              <w:top w:w="90" w:type="dxa"/>
              <w:start w:w="110" w:type="dxa"/>
              <w:bottom w:w="90" w:type="dxa"/>
              <w:end w:w="110" w:type="dxa"/>
            </w:tcMar>
            <w:vAlign w:val="top"/>
          </w:tcPr>
          <w:p>
            <w:r>
              <w:t>09:40</w:t>
            </w:r>
          </w:p>
        </w:tc>
        <w:tc>
          <w:tcPr>
            <w:tcW w:type="dxa" w:w="8496"/>
            <w:tcMar>
              <w:top w:w="90" w:type="dxa"/>
              <w:start w:w="110" w:type="dxa"/>
              <w:bottom w:w="90" w:type="dxa"/>
              <w:end w:w="110" w:type="dxa"/>
            </w:tcMar>
            <w:vAlign w:val="top"/>
          </w:tcPr>
          <w:p>
            <w:r>
              <w:t>Stop studying. Water, camera/audio, quiet room, CV and cheat sheet ready.</w:t>
            </w:r>
          </w:p>
        </w:tc>
      </w:tr>
      <w:tr>
        <w:trPr>
          <w:cantSplit/>
        </w:trPr>
        <w:tc>
          <w:tcPr>
            <w:tcW w:type="dxa" w:w="2304"/>
            <w:tcMar>
              <w:top w:w="90" w:type="dxa"/>
              <w:start w:w="110" w:type="dxa"/>
              <w:bottom w:w="90" w:type="dxa"/>
              <w:end w:w="110" w:type="dxa"/>
            </w:tcMar>
            <w:vAlign w:val="top"/>
          </w:tcPr>
          <w:p>
            <w:r>
              <w:t>09:50</w:t>
            </w:r>
          </w:p>
        </w:tc>
        <w:tc>
          <w:tcPr>
            <w:tcW w:type="dxa" w:w="8496"/>
            <w:tcMar>
              <w:top w:w="90" w:type="dxa"/>
              <w:start w:w="110" w:type="dxa"/>
              <w:bottom w:w="90" w:type="dxa"/>
              <w:end w:w="110" w:type="dxa"/>
            </w:tcMar>
            <w:vAlign w:val="top"/>
          </w:tcPr>
          <w:p>
            <w:r>
              <w:t>Join Zoom early. Keep only one-page cheat sheet visible. Do not use AI during the interview; BlackRock wants your own judgement and experience.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shd w:fill="E2F0D9"/>
            <w:tcMar>
              <w:top w:w="120" w:type="dxa"/>
              <w:start w:w="140" w:type="dxa"/>
              <w:bottom w:w="120" w:type="dxa"/>
              <w:end w:w="140" w:type="dxa"/>
            </w:tcMar>
          </w:tcPr>
          <w:p>
            <w:r>
              <w:rPr>
                <w:b/>
                <w:color w:val="18365D"/>
              </w:rPr>
              <w:t>Final reminder</w:t>
              <w:br/>
            </w:r>
            <w:r>
              <w:t>The highest-value preparation is not memorising every tool. The role is VP level. Show structured judgement: clarify the business objective, define data grain and trust requirements, propose a simple design, explain trade-offs, add reliability/governance, and connect the decision to measurable product value.</w:t>
            </w:r>
          </w:p>
        </w:tc>
      </w:tr>
    </w:tbl>
    <w:p>
      <w:pPr>
        <w:pStyle w:val="Heading1"/>
        <w:keepNext/>
      </w:pPr>
      <w:r>
        <w:t>33. Sources and Basis</w:t>
      </w:r>
    </w:p>
    <w:p>
      <w:pPr>
        <w:spacing w:after="80" w:line="245" w:lineRule="auto"/>
      </w:pPr>
      <w:r>
        <w:t>Primary sources supplied by you:</w:t>
      </w:r>
    </w:p>
    <w:p>
      <w:pPr>
        <w:pStyle w:val="ListBullet"/>
        <w:spacing w:after="50" w:line="240" w:lineRule="auto"/>
      </w:pPr>
      <w:r>
        <w:t>BlackRock interview confirmation for R260560, including panel, timing and AI interview guidance.</w:t>
      </w:r>
    </w:p>
    <w:p>
      <w:pPr>
        <w:pStyle w:val="ListBullet"/>
        <w:spacing w:after="50" w:line="240" w:lineRule="auto"/>
      </w:pPr>
      <w:r>
        <w:t>BlackRock job description for Data Engineer, Vice President - Preqin Company Intelligence.</w:t>
      </w:r>
    </w:p>
    <w:p>
      <w:pPr>
        <w:pStyle w:val="ListBullet"/>
        <w:spacing w:after="50" w:line="240" w:lineRule="auto"/>
      </w:pPr>
      <w:r>
        <w:t>Your current CV and the attached Standard Life Cloud Data Engineer preparation pack, used as the style and experience baseline.</w:t>
      </w:r>
    </w:p>
    <w:p>
      <w:pPr>
        <w:spacing w:after="80" w:line="245" w:lineRule="auto"/>
      </w:pPr>
      <w:r>
        <w:t>Current public sources reviewed 14 September 2026:</w:t>
      </w:r>
    </w:p>
    <w:p>
      <w:pPr>
        <w:pStyle w:val="ListBullet"/>
        <w:spacing w:after="50" w:line="240" w:lineRule="auto"/>
      </w:pPr>
      <w:hyperlink r:id="rId11">
        <w:r>
          <w:rPr>
            <w:color w:val="1B75BC"/>
            <w:u w:val="single"/>
          </w:rPr>
          <w:t>BlackRock job posting R260560</w:t>
        </w:r>
      </w:hyperlink>
    </w:p>
    <w:p>
      <w:pPr>
        <w:pStyle w:val="ListBullet"/>
        <w:spacing w:after="50" w:line="240" w:lineRule="auto"/>
      </w:pPr>
      <w:hyperlink r:id="rId12">
        <w:r>
          <w:rPr>
            <w:color w:val="1B75BC"/>
            <w:u w:val="single"/>
          </w:rPr>
          <w:t>Preqin Company Intelligence</w:t>
        </w:r>
      </w:hyperlink>
    </w:p>
    <w:p>
      <w:pPr>
        <w:pStyle w:val="ListBullet"/>
        <w:spacing w:after="50" w:line="240" w:lineRule="auto"/>
      </w:pPr>
      <w:hyperlink r:id="rId13">
        <w:r>
          <w:rPr>
            <w:color w:val="1B75BC"/>
            <w:u w:val="single"/>
          </w:rPr>
          <w:t>Preqin AI / intelligence layer</w:t>
        </w:r>
      </w:hyperlink>
    </w:p>
    <w:p>
      <w:pPr>
        <w:pStyle w:val="ListBullet"/>
        <w:spacing w:after="50" w:line="240" w:lineRule="auto"/>
      </w:pPr>
      <w:hyperlink r:id="rId14">
        <w:r>
          <w:rPr>
            <w:color w:val="1B75BC"/>
            <w:u w:val="single"/>
          </w:rPr>
          <w:t>BlackRock completion of Preqin acquisition - March 2025</w:t>
        </w:r>
      </w:hyperlink>
    </w:p>
    <w:p>
      <w:pPr>
        <w:pStyle w:val="ListBullet"/>
        <w:spacing w:after="50" w:line="240" w:lineRule="auto"/>
      </w:pPr>
      <w:hyperlink r:id="rId15">
        <w:r>
          <w:rPr>
            <w:color w:val="1B75BC"/>
            <w:u w:val="single"/>
          </w:rPr>
          <w:t>BlackRock / eFront private markets integration - February 2026</w:t>
        </w:r>
      </w:hyperlink>
    </w:p>
    <w:p>
      <w:pPr>
        <w:pStyle w:val="ListBullet"/>
        <w:spacing w:after="50" w:line="240" w:lineRule="auto"/>
      </w:pPr>
      <w:hyperlink r:id="rId16">
        <w:r>
          <w:rPr>
            <w:color w:val="1B75BC"/>
            <w:u w:val="single"/>
          </w:rPr>
          <w:t>Preqin private credit expansion - May 2026</w:t>
        </w:r>
      </w:hyperlink>
    </w:p>
    <w:p>
      <w:pPr>
        <w:pStyle w:val="ListBullet"/>
        <w:spacing w:after="50" w:line="240" w:lineRule="auto"/>
      </w:pPr>
      <w:hyperlink r:id="rId17">
        <w:r>
          <w:rPr>
            <w:color w:val="1B75BC"/>
            <w:u w:val="single"/>
          </w:rPr>
          <w:t>Andrew Loh public LinkedIn profile</w:t>
        </w:r>
      </w:hyperlink>
    </w:p>
    <w:p>
      <w:pPr>
        <w:pStyle w:val="ListBullet"/>
        <w:spacing w:after="50" w:line="240" w:lineRule="auto"/>
      </w:pPr>
      <w:hyperlink r:id="rId18">
        <w:r>
          <w:rPr>
            <w:color w:val="1B75BC"/>
            <w:u w:val="single"/>
          </w:rPr>
          <w:t>James Madge public LinkedIn profile</w:t>
        </w:r>
      </w:hyperlink>
    </w:p>
    <w:sectPr w:rsidR="00FC693F" w:rsidRPr="0006063C" w:rsidSect="00034616">
      <w:footerReference w:type="default" r:id="rId9"/>
      <w:head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BlackRock - Data Engineer VP Interview Prep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R260560 | BlackRock / Preqin Company Intelligence | Data Engineer, Vice President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8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B75BC"/>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242C3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w:hAnsi="Aptos"/>
      <w:b/>
      <w:color w:val="18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646E"/>
      <w:sz w:val="17"/>
    </w:rPr>
  </w:style>
  <w:style w:type="paragraph" w:customStyle="1" w:styleId="CodeBlock">
    <w:name w:val="CodeBlock"/>
    <w:pPr>
      <w:spacing w:before="40" w:after="40"/>
      <w:ind w:left="259" w:right="259"/>
    </w:pPr>
    <w:rPr>
      <w:rFonts w:ascii="Consolas" w:hAnsi="Consolas"/>
      <w:color w:val="242C3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blackrock.wd1.myworkdayjobs.com/en-US/BlackRock_Professional/job/Data-Engineer--Vice-President_R260560" TargetMode="External"/><Relationship Id="rId12" Type="http://schemas.openxmlformats.org/officeDocument/2006/relationships/hyperlink" Target="https://preqin.com/our-products/company-intelligence" TargetMode="External"/><Relationship Id="rId13" Type="http://schemas.openxmlformats.org/officeDocument/2006/relationships/hyperlink" Target="https://preqin.com/data/ai" TargetMode="External"/><Relationship Id="rId14" Type="http://schemas.openxmlformats.org/officeDocument/2006/relationships/hyperlink" Target="https://ir.blackrock.com/news-and-events/press-releases/press-releases-details/2025/BlackRock-Establishes-Preeminent-Private-Markets-Technology-and-Data-Provider-with-Close-of-Preqin-Acquisition/default.aspx" TargetMode="External"/><Relationship Id="rId15" Type="http://schemas.openxmlformats.org/officeDocument/2006/relationships/hyperlink" Target="https://www.blackrock.com/aladdin/discover/press-release/blackrock-aladdin-drives-private-markets-transparency" TargetMode="External"/><Relationship Id="rId16" Type="http://schemas.openxmlformats.org/officeDocument/2006/relationships/hyperlink" Target="https://www.preqin.com/about/press-release/blackrock-aladdin-expands-private-credit-solutions-on-preqin-for-greater-transparency-and-insights-across-the-asset-class" TargetMode="External"/><Relationship Id="rId17" Type="http://schemas.openxmlformats.org/officeDocument/2006/relationships/hyperlink" Target="https://uk.linkedin.com/in/andrewlohuk" TargetMode="External"/><Relationship Id="rId18" Type="http://schemas.openxmlformats.org/officeDocument/2006/relationships/hyperlink" Target="https://uk.linkedin.com/in/jamesmad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Life Cloud Data Engineer Interview Preparation</dc:title>
  <dc:subject>Interview preparation for Cloud Data Engineer / Developer role</dc:subject>
  <dc:creator>Abrar Sharif Mudhir</dc:creator>
  <cp:keywords/>
  <dc:description>generated by python-docx</dc:description>
  <cp:lastModifiedBy/>
  <cp:revision>1</cp:revision>
  <dcterms:created xsi:type="dcterms:W3CDTF">2013-12-23T23:15:00Z</dcterms:created>
  <dcterms:modified xsi:type="dcterms:W3CDTF">2013-12-23T23:15:00Z</dcterms:modified>
  <cp:category/>
</cp:coreProperties>
</file>