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MongoDB</w:t>
      </w:r>
    </w:p>
    <w:p>
      <w:pPr>
        <w:pStyle w:val="Heading1"/>
      </w:pPr>
      <w:r>
        <w:t>Senior Consulting Engineer — Regional PS Leader Interview</w:t>
      </w:r>
    </w:p>
    <w:p>
      <w:r>
        <w:t>FINAL-STAGE PREPARATION  |  Wednesday 14 October 2026  |  15:00–15:45 UK / Ireland time  |  Zoom</w:t>
      </w:r>
    </w:p>
    <w:p>
      <w:r>
        <w:t>Interviewer: Uwe Halbauer, Regional Vice President, Professional Services</w:t>
      </w:r>
    </w:p>
    <w:p>
      <w:r>
        <w:t>Previous interviewers: Jedd Simmonds (Senior Consulting Partner), Erling Austvoll (Principal Consulting Engineer), Jay Lad (Director, Professional Services).</w:t>
      </w:r>
    </w:p>
    <w:p>
      <w:r>
        <w:t>PRIMARY POSITIONING: Senior hands-on software and data engineer who also brings credible consulting, customer engagement, platform modernisation, delivery ownership and team leadership. Sell customer outcomes, not a catalogue of technologies.</w:t>
      </w:r>
    </w:p>
    <w:p>
      <w:r>
        <w:t>READ FIRST: The candidate portal specifies software/database consulting experience, technical curiosity, motivation and values, collaboration and ownership. This is likely a leadership judgement discussion, not a coding test. The questions below are practice predictions, not confirmed interview questions.</w:t>
      </w:r>
    </w:p>
    <w:p>
      <w:pPr>
        <w:pStyle w:val="Heading1"/>
      </w:pPr>
      <w:r>
        <w:t>1 | What Uwe is likely evaluating</w:t>
      </w:r>
    </w:p>
    <w:p>
      <w:pPr>
        <w:pStyle w:val="ListBullet"/>
      </w:pPr>
      <w:r>
        <w:t>Can I confidently put this engineer in front of demanding enterprise customers?</w:t>
      </w:r>
    </w:p>
    <w:p>
      <w:pPr>
        <w:pStyle w:val="ListBullet"/>
      </w:pPr>
      <w:r>
        <w:t>Can they diagnose the real business problem before prescribing MongoDB?</w:t>
      </w:r>
    </w:p>
    <w:p>
      <w:pPr>
        <w:pStyle w:val="ListBullet"/>
      </w:pPr>
      <w:r>
        <w:t>Do they own outcomes, manage scope and escalate risks constructively?</w:t>
      </w:r>
    </w:p>
    <w:p>
      <w:pPr>
        <w:pStyle w:val="ListBullet"/>
      </w:pPr>
      <w:r>
        <w:t>Can they influence stakeholders, teach customer engineers and strengthen a consulting team?</w:t>
      </w:r>
    </w:p>
    <w:p>
      <w:pPr>
        <w:pStyle w:val="ListBullet"/>
      </w:pPr>
      <w:r>
        <w:t>Are they genuinely interested in MongoDB and prepared to build deep product expertise?</w:t>
      </w:r>
    </w:p>
    <w:p>
      <w:r>
        <w:t>BACKGROUND: Public profiles identify prior services leadership at Snowflake and Qlik, plus broader consulting leadership. A MongoDB Professional Services post emphasises a diverse EMEA team, collaboration and customer workloads. Treat these as background rather than claiming to know Uwe personally.</w:t>
      </w:r>
    </w:p>
    <w:p>
      <w:pPr>
        <w:pStyle w:val="Heading1"/>
      </w:pPr>
      <w:r>
        <w:t>2 | 60–90 second opening</w:t>
      </w:r>
    </w:p>
    <w:p>
      <w:r>
        <w:t>“I am a senior software and data engineer with more than 15 years of experience building production systems, mostly across financial services, asset management and trading. My career has combined hands-on Python, Java, databases and cloud architecture with customer and stakeholder engagement. At Pemberton, I helped replace around 20 spreadsheet-driven fund models with a governed Python and FastAPI analytics platform. At BlackRock, I led engineers on critical investment systems and modernisation initiatives. Earlier, at GoldenSource, I worked in professional services, helping enterprise clients with implementations, migration and technical advisory work. What appeals to me about MongoDB Consulting is the combination of engineering depth, customer problem-solving and delivering measurable outcomes. I enjoy being hands-on, but also helping teams make sound architecture decisions and succeed long after an engagement ends.”</w:t>
      </w:r>
    </w:p>
    <w:p>
      <w:r>
        <w:t>Delivery note: Be conversational, not rehearsed. Pause after the career headline. Emphasise GoldenSource consulting to connect immediately with Professional Services.</w:t>
      </w:r>
    </w:p>
    <w:p>
      <w:pPr>
        <w:pStyle w:val="Heading1"/>
      </w:pPr>
      <w:r>
        <w:t>3 | Why MongoDB, why Consulting, why now?</w:t>
      </w:r>
    </w:p>
    <w:p>
      <w:pPr>
        <w:pStyle w:val="Heading2"/>
      </w:pPr>
      <w:r>
        <w:t>Why MongoDB?</w:t>
      </w:r>
    </w:p>
    <w:p>
      <w:r>
        <w:t>SUGGESTED ANSWER: “MongoDB is interesting to me because it sits at the intersection of application engineering, data architecture and enterprise modernisation. A document model can help teams align data with application access patterns, but the real value is in helping customers make good architectural decisions, migrate safely and develop confidence in operating the platform. That is where I believe my experience is useful.”</w:t>
      </w:r>
    </w:p>
    <w:p>
      <w:pPr>
        <w:pStyle w:val="Heading2"/>
      </w:pPr>
      <w:r>
        <w:t>Why Professional Services rather than a product engineering team?</w:t>
      </w:r>
    </w:p>
    <w:p>
      <w:r>
        <w:t>SUGGESTED ANSWER: “I like solving a wider variety of real problems and working directly with teams that need to deliver. I have previously worked in professional services at GoldenSource and enjoyed the combination of technical discovery, stakeholder discussions, architecture and delivery. I find it rewarding when customers can take ownership of the solution rather than remain dependent on the consultant.”</w:t>
      </w:r>
    </w:p>
    <w:p>
      <w:pPr>
        <w:pStyle w:val="Heading2"/>
      </w:pPr>
      <w:r>
        <w:t>Why this role at this point in your career?</w:t>
      </w:r>
    </w:p>
    <w:p>
      <w:r>
        <w:t>SUGGESTED ANSWER: “I want to remain technically hands-on while using the breadth I have built across software, data platforms and enterprise change. This role gives me a chance to specialise more deeply in MongoDB while contributing immediately through consulting skills, engineering discipline and customer-facing experience.”</w:t>
      </w:r>
    </w:p>
    <w:p>
      <w:pPr>
        <w:pStyle w:val="Heading1"/>
      </w:pPr>
      <w:r>
        <w:t>4 | Consulting stories from my actual CV</w:t>
      </w:r>
    </w:p>
    <w:p>
      <w:pPr>
        <w:pStyle w:val="Heading2"/>
      </w:pPr>
      <w:r>
        <w:t>Story A — GoldenSource: enterprise consulting and stakeholder management</w:t>
      </w:r>
    </w:p>
    <w:p>
      <w:r>
        <w:t>SITUATION: At GoldenSource, I was a senior technical consultant supporting enterprise client implementations and later a cloud-hosted upgrade involving a legacy Security Master and Pricing product.</w:t>
      </w:r>
    </w:p>
    <w:p>
      <w:r>
        <w:t>TASK: Align stakeholders on requirements, technical approach, delivery planning and implementation constraints.</w:t>
      </w:r>
    </w:p>
    <w:p>
      <w:r>
        <w:t>ACTION: Worked as technical SME; produced architecture and requirements material; communicated with stakeholders; helped manage a team of five on cloud migration work; advocated CI/CD and regression testing practices.</w:t>
      </w:r>
    </w:p>
    <w:p>
      <w:r>
        <w:t>RESULT: Supported the client upgrade and adoption of more repeatable delivery practices. Do not quote an unsupported percentage or time saving.</w:t>
      </w:r>
    </w:p>
    <w:p>
      <w:r>
        <w:t>EXECUTIVE POINT: Consulting means shaping the problem and leaving a sustainable outcome, not merely building what was first requested.</w:t>
      </w:r>
    </w:p>
    <w:p>
      <w:pPr>
        <w:pStyle w:val="Heading2"/>
      </w:pPr>
      <w:r>
        <w:t>Story B — Pemberton: challenge an existing way of working</w:t>
      </w:r>
    </w:p>
    <w:p>
      <w:r>
        <w:t>SITUATION: Fund modelling depended on roughly 20 separate spreadsheets, creating governance and consistency challenges.</w:t>
      </w:r>
    </w:p>
    <w:p>
      <w:r>
        <w:t>ACTION: Led architecture and development of a Python/FastAPI platform with Pydantic validation, SQLAlchemy, SQL Server, and Dash/Plotly; engaged investment stakeholders to validate business rules and calculation outputs.</w:t>
      </w:r>
    </w:p>
    <w:p>
      <w:r>
        <w:t>RESULT: Replaced spreadsheet-driven modelling with a reusable governed application. Explain validation approach, phased rollout, and business ownership if asked; do not invent adoption statistics.</w:t>
      </w:r>
    </w:p>
    <w:p>
      <w:r>
        <w:t>EXECUTIVE POINT: Translate fragmented business workflows into a maintainable service, bringing users with you.</w:t>
      </w:r>
    </w:p>
    <w:p>
      <w:pPr>
        <w:pStyle w:val="Heading2"/>
      </w:pPr>
      <w:r>
        <w:t>Story C — BlackRock: leadership, security and cross-team alignment</w:t>
      </w:r>
    </w:p>
    <w:p>
      <w:r>
        <w:t>SITUATION: Multiple mission-critical investment applications needed security modernisation while still serving front-office users.</w:t>
      </w:r>
    </w:p>
    <w:p>
      <w:r>
        <w:t>ACTION: Led work across six applications and multiple stacks (Python, Java, .NET, MATLAB, Perl), redesigning interfaces and implementing secure APIs aligned to enterprise controls. Mentored three senior quant developers in a separate team-lead remit.</w:t>
      </w:r>
    </w:p>
    <w:p>
      <w:r>
        <w:t>RESULT: Supported security modernisation and more standardised application interfaces. Avoid unsupported numerical claims about incident reductions.</w:t>
      </w:r>
    </w:p>
    <w:p>
      <w:r>
        <w:t>EXECUTIVE POINT: Navigate complex organisations and legacy estates without losing production focus.</w:t>
      </w:r>
    </w:p>
    <w:p>
      <w:pPr>
        <w:pStyle w:val="Heading2"/>
      </w:pPr>
      <w:r>
        <w:t>Story D — illio: technical ownership and mentoring</w:t>
      </w:r>
    </w:p>
    <w:p>
      <w:r>
        <w:t>SITUATION: Build cloud-native data capabilities and choose a suitable path for options market data.</w:t>
      </w:r>
    </w:p>
    <w:p>
      <w:r>
        <w:t>ACTION: Developed a Databricks/PySpark proof of concept; the solution subsequently moved to AWS Glue in the broader AWS architecture. Led Python APIs, serverless pipeline work and helped build a data engineering/data science team.</w:t>
      </w:r>
    </w:p>
    <w:p>
      <w:r>
        <w:t>EXECUTIVE POINT: Evaluate alternatives objectively rather than becoming attached to the first proposed tool.</w:t>
      </w:r>
    </w:p>
    <w:p>
      <w:pPr>
        <w:pStyle w:val="Heading1"/>
      </w:pPr>
      <w:r>
        <w:t>5 | Likely leadership / behavioural questions</w:t>
      </w:r>
    </w:p>
    <w:p>
      <w:pPr>
        <w:pStyle w:val="Heading2"/>
      </w:pPr>
      <w:r>
        <w:t>Tell me about a difficult customer who disagreed with your recommendation.</w:t>
      </w:r>
    </w:p>
    <w:p>
      <w:r>
        <w:t>SUGGESTED ANSWER: “I try to separate the underlying concern from the proposed solution. First I ask what outcome and risk the customer is protecting. Then I make the trade-offs explicit, ideally through a small proof of concept or design options with clear evaluation criteria. In consulting, being technically right is not enough; the decision needs to be understood and owned by the customer.” Follow with a specific verifiable GoldenSource or Pemberton disagreement only if you can recall it accurately.</w:t>
      </w:r>
    </w:p>
    <w:p>
      <w:pPr>
        <w:pStyle w:val="Heading2"/>
      </w:pPr>
      <w:r>
        <w:t>How do you handle a delivery that is going off track?</w:t>
      </w:r>
    </w:p>
    <w:p>
      <w:r>
        <w:t>SUGGESTED ANSWER: “I establish the facts quickly: scope, milestones, dependencies, technical blockers and customer impact. I make the risks visible early, propose recovery options with costs and trade-offs, and agree priorities with the customer and delivery lead. I would rather escalate early with a plan than surprise stakeholders near the deadline.”</w:t>
      </w:r>
    </w:p>
    <w:p>
      <w:pPr>
        <w:pStyle w:val="Heading2"/>
      </w:pPr>
      <w:r>
        <w:t>Tell me about ownership when something went wrong.</w:t>
      </w:r>
    </w:p>
    <w:p>
      <w:r>
        <w:t>SUGGESTED ANSWER: “I treat production support as part of engineering, not a separate concern. I start with impact and containment, then trace the failure through the pipeline or application, restore service safely and communicate status. Afterwards I focus on the control that will prevent recurrence: tests, monitoring, alerting, or a runbook.” Use a real incident from your career; no specific incident was evidenced in the CV.</w:t>
      </w:r>
    </w:p>
    <w:p>
      <w:pPr>
        <w:pStyle w:val="Heading2"/>
      </w:pPr>
      <w:r>
        <w:t>How do you work with developers who are new to the technology?</w:t>
      </w:r>
    </w:p>
    <w:p>
      <w:r>
        <w:t>SUGGESTED ANSWER: “I start from their immediate use case, explain the design choices and pair on a small vertical slice. I use reviews and documentation to transfer judgement, not just code. The goal is for the customer team to confidently extend and operate the solution after our engagement.”</w:t>
      </w:r>
    </w:p>
    <w:p>
      <w:pPr>
        <w:pStyle w:val="Heading2"/>
      </w:pPr>
      <w:r>
        <w:t>What if MongoDB is not the right database for part of the workload?</w:t>
      </w:r>
    </w:p>
    <w:p>
      <w:r>
        <w:t>SUGGESTED ANSWER: “I would be transparent. I would investigate access patterns, transactions, analytics, operational constraints and total cost, then recommend the architecture that meets the need. Credibility matters more than forcing a product into a poor fit. Where MongoDB is suitable, I would explain why in terms the customer can validate.”</w:t>
      </w:r>
    </w:p>
    <w:p>
      <w:pPr>
        <w:pStyle w:val="Heading1"/>
      </w:pPr>
      <w:r>
        <w:t>6 | Technical curiosity and MongoDB refresh</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Theme</w:t>
            </w:r>
          </w:p>
        </w:tc>
        <w:tc>
          <w:tcPr>
            <w:tcW w:type="dxa" w:w="4968"/>
          </w:tcPr>
          <w:p>
            <w:r>
              <w:t>Executive-level point to make</w:t>
            </w:r>
          </w:p>
        </w:tc>
      </w:tr>
      <w:tr>
        <w:tc>
          <w:tcPr>
            <w:tcW w:type="dxa" w:w="4968"/>
          </w:tcPr>
          <w:p>
            <w:r>
              <w:t>Document modelling</w:t>
            </w:r>
          </w:p>
        </w:tc>
        <w:tc>
          <w:tcPr>
            <w:tcW w:type="dxa" w:w="4968"/>
          </w:tcPr>
          <w:p>
            <w:r>
              <w:t>Design around application access patterns and bounded data relationships, not one-to-one translations of relational tables.</w:t>
            </w:r>
          </w:p>
        </w:tc>
      </w:tr>
      <w:tr>
        <w:tc>
          <w:tcPr>
            <w:tcW w:type="dxa" w:w="4968"/>
          </w:tcPr>
          <w:p>
            <w:r>
              <w:t>Embed vs reference</w:t>
            </w:r>
          </w:p>
        </w:tc>
        <w:tc>
          <w:tcPr>
            <w:tcW w:type="dxa" w:w="4968"/>
          </w:tcPr>
          <w:p>
            <w:r>
              <w:t>Embed for bounded data frequently read/updated together; reference for independent lifecycles, high cardinality or unbounded growth.</w:t>
            </w:r>
          </w:p>
        </w:tc>
      </w:tr>
      <w:tr>
        <w:tc>
          <w:tcPr>
            <w:tcW w:type="dxa" w:w="4968"/>
          </w:tcPr>
          <w:p>
            <w:r>
              <w:t>Indexes / performance</w:t>
            </w:r>
          </w:p>
        </w:tc>
        <w:tc>
          <w:tcPr>
            <w:tcW w:type="dxa" w:w="4968"/>
          </w:tcPr>
          <w:p>
            <w:r>
              <w:t>Start from query patterns and explain plans; balance read speed with index storage and write cost.</w:t>
            </w:r>
          </w:p>
        </w:tc>
      </w:tr>
      <w:tr>
        <w:tc>
          <w:tcPr>
            <w:tcW w:type="dxa" w:w="4968"/>
          </w:tcPr>
          <w:p>
            <w:r>
              <w:t>Consistency / transactions</w:t>
            </w:r>
          </w:p>
        </w:tc>
        <w:tc>
          <w:tcPr>
            <w:tcW w:type="dxa" w:w="4968"/>
          </w:tcPr>
          <w:p>
            <w:r>
              <w:t>Atomic single-document writes; multi-document transactions available but model to avoid unnecessary coupling.</w:t>
            </w:r>
          </w:p>
        </w:tc>
      </w:tr>
      <w:tr>
        <w:tc>
          <w:tcPr>
            <w:tcW w:type="dxa" w:w="4968"/>
          </w:tcPr>
          <w:p>
            <w:r>
              <w:t>Scale and resilience</w:t>
            </w:r>
          </w:p>
        </w:tc>
        <w:tc>
          <w:tcPr>
            <w:tcW w:type="dxa" w:w="4968"/>
          </w:tcPr>
          <w:p>
            <w:r>
              <w:t>Replica sets for high availability; sharding for horizontal scaling when justified by workload and key choice.</w:t>
            </w:r>
          </w:p>
        </w:tc>
      </w:tr>
      <w:tr>
        <w:tc>
          <w:tcPr>
            <w:tcW w:type="dxa" w:w="4968"/>
          </w:tcPr>
          <w:p>
            <w:r>
              <w:t>Migration</w:t>
            </w:r>
          </w:p>
        </w:tc>
        <w:tc>
          <w:tcPr>
            <w:tcW w:type="dxa" w:w="4968"/>
          </w:tcPr>
          <w:p>
            <w:r>
              <w:t>Assess → design → refactor → migrate → operate; dry-run, reconcile and plan cutover / rollback.</w:t>
            </w:r>
          </w:p>
        </w:tc>
      </w:tr>
      <w:tr>
        <w:tc>
          <w:tcPr>
            <w:tcW w:type="dxa" w:w="4968"/>
          </w:tcPr>
          <w:p>
            <w:r>
              <w:t>Security and operation</w:t>
            </w:r>
          </w:p>
        </w:tc>
        <w:tc>
          <w:tcPr>
            <w:tcW w:type="dxa" w:w="4968"/>
          </w:tcPr>
          <w:p>
            <w:r>
              <w:t>Least privilege, network controls, backups, monitoring, capacity and incident playbooks.</w:t>
            </w:r>
          </w:p>
        </w:tc>
      </w:tr>
      <w:tr>
        <w:tc>
          <w:tcPr>
            <w:tcW w:type="dxa" w:w="4968"/>
          </w:tcPr>
          <w:p>
            <w:r>
              <w:t>Atlas / developer productivity</w:t>
            </w:r>
          </w:p>
        </w:tc>
        <w:tc>
          <w:tcPr>
            <w:tcW w:type="dxa" w:w="4968"/>
          </w:tcPr>
          <w:p>
            <w:r>
              <w:t>Managed platform reduces operational burden but does not replace schema design or performance engineering.</w:t>
            </w:r>
          </w:p>
        </w:tc>
      </w:tr>
    </w:tbl>
    <w:p>
      <w:pPr>
        <w:pStyle w:val="Heading2"/>
      </w:pPr>
      <w:r>
        <w:t>If asked: How would you approach an Oracle/SQL Server to MongoDB migration?</w:t>
      </w:r>
    </w:p>
    <w:p>
      <w:r>
        <w:t>“I would start with business outcomes and a discovery phase: critical queries, stored procedures, relational dependencies, SLAs, compliance and downtime tolerance. I would identify a suitable application boundary, model documents from access patterns, and test representative reads and writes. I would plan application refactoring and data reconciliation alongside migration tooling, rehearse cutover, then harden security, monitoring and recovery. I would avoid promising a direct table-to-collection migration before understanding the workload.”</w:t>
      </w:r>
    </w:p>
    <w:p>
      <w:pPr>
        <w:pStyle w:val="Heading2"/>
      </w:pPr>
      <w:r>
        <w:t>If asked: How much hands-on MongoDB have you used?</w:t>
      </w:r>
    </w:p>
    <w:p>
      <w:r>
        <w:t>“I have worked with MongoDB in production data/backend environments, including at Brevan Howard, alongside other databases such as Snowflake and SQL Server. I would not claim the same MongoDB-specialist depth as someone who has delivered years of MongoDB-only consulting. My strength is broad application and database engineering, and I am intentionally building deeper MongoDB-specific expertise.”</w:t>
      </w:r>
    </w:p>
    <w:p>
      <w:pPr>
        <w:pStyle w:val="Heading1"/>
      </w:pPr>
      <w:r>
        <w:t>7 | Four executive-level questions and answers</w:t>
      </w:r>
    </w:p>
    <w:p>
      <w:pPr>
        <w:pStyle w:val="Heading2"/>
      </w:pPr>
      <w:r>
        <w:t>What distinguishes an excellent Consulting Engineer?</w:t>
      </w:r>
    </w:p>
    <w:p>
      <w:r>
        <w:t>SUGGESTED ANSWER: “Customer trust, sound technical judgement, reliable delivery, and knowledge transfer. An excellent consultant does not just solve an isolated issue; they understand the customer context, choose a maintainable approach and help the team become more capable.”</w:t>
      </w:r>
    </w:p>
    <w:p>
      <w:pPr>
        <w:pStyle w:val="Heading2"/>
      </w:pPr>
      <w:r>
        <w:t>How would you balance billable delivery and technical quality?</w:t>
      </w:r>
    </w:p>
    <w:p>
      <w:r>
        <w:t>SUGGESTED ANSWER: “By defining the deliverables and acceptance criteria clearly, delivering in small increments and surfacing trade-offs early. Rework and unmanaged risk are expensive, so pragmatic quality checks protect both the customer and the engagement.”</w:t>
      </w:r>
    </w:p>
    <w:p>
      <w:pPr>
        <w:pStyle w:val="Heading2"/>
      </w:pPr>
      <w:r>
        <w:t>How would you prioritise several customers asking for urgent help?</w:t>
      </w:r>
    </w:p>
    <w:p>
      <w:r>
        <w:t>SUGGESTED ANSWER: “I would assess severity, contractual commitments, customer impact and dependencies, then align with the engagement leadership on priorities. I would communicate expected response times clearly and document handovers so no customer is left guessing.”</w:t>
      </w:r>
    </w:p>
    <w:p>
      <w:pPr>
        <w:pStyle w:val="Heading2"/>
      </w:pPr>
      <w:r>
        <w:t>What would you do in your first 90 days?</w:t>
      </w:r>
    </w:p>
    <w:p>
      <w:r>
        <w:t>SUGGESTED ANSWER: “I would first learn the MongoDB consulting methods, internal experts and customer engagement standards while sharpening platform-specific technical depth. Then I would take ownership of defined customer deliverables, build trust through clear communication and look for reusable patterns or documentation that improve future engagements.”</w:t>
      </w:r>
    </w:p>
    <w:p>
      <w:pPr>
        <w:pStyle w:val="Heading1"/>
      </w:pPr>
      <w:r>
        <w:t>8 | Questions to ask Uwe — choose two or three</w:t>
      </w:r>
    </w:p>
    <w:p>
      <w:pPr>
        <w:pStyle w:val="ListBullet"/>
      </w:pPr>
      <w:r>
        <w:t>From your perspective, what distinguishes a very strong Senior Consulting Engineer from a technically competent one in your Professional Services organisation?</w:t>
      </w:r>
    </w:p>
    <w:p>
      <w:pPr>
        <w:pStyle w:val="ListBullet"/>
      </w:pPr>
      <w:r>
        <w:t>What customer challenges are most important for the EMEA team right now: application modernisation, performance, migrations, or developer enablement?</w:t>
      </w:r>
    </w:p>
    <w:p>
      <w:pPr>
        <w:pStyle w:val="ListBullet"/>
      </w:pPr>
      <w:r>
        <w:t>How do you assess success for a Consulting Engineer: customer outcomes, long-term adoption, engagement quality, or other measures?</w:t>
      </w:r>
    </w:p>
    <w:p>
      <w:pPr>
        <w:pStyle w:val="ListBullet"/>
      </w:pPr>
      <w:r>
        <w:t>How do engineers work across regional teams and contribute reusable expertise beyond individual engagements?</w:t>
      </w:r>
    </w:p>
    <w:p>
      <w:pPr>
        <w:pStyle w:val="ListBullet"/>
      </w:pPr>
      <w:r>
        <w:t>What would you want me to demonstrate in the first six months to know this hire has been successful?</w:t>
      </w:r>
    </w:p>
    <w:p>
      <w:r>
        <w:t>STRONG LAST QUESTION: “Is there anything about my background or our conversation that you would like me to clarify before we finish?”</w:t>
      </w:r>
    </w:p>
    <w:p>
      <w:pPr>
        <w:pStyle w:val="Heading1"/>
      </w:pPr>
      <w:r>
        <w:t>9 | 45-minute conversation strategy</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Approx. timing</w:t>
            </w:r>
          </w:p>
        </w:tc>
        <w:tc>
          <w:tcPr>
            <w:tcW w:type="dxa" w:w="4968"/>
          </w:tcPr>
          <w:p>
            <w:r>
              <w:t>Focus</w:t>
            </w:r>
          </w:p>
        </w:tc>
      </w:tr>
      <w:tr>
        <w:tc>
          <w:tcPr>
            <w:tcW w:type="dxa" w:w="4968"/>
          </w:tcPr>
          <w:p>
            <w:r>
              <w:t>0–5 minutes</w:t>
            </w:r>
          </w:p>
        </w:tc>
        <w:tc>
          <w:tcPr>
            <w:tcW w:type="dxa" w:w="4968"/>
          </w:tcPr>
          <w:p>
            <w:r>
              <w:t>Build rapport; concise opening and current motivation.</w:t>
            </w:r>
          </w:p>
        </w:tc>
      </w:tr>
      <w:tr>
        <w:tc>
          <w:tcPr>
            <w:tcW w:type="dxa" w:w="4968"/>
          </w:tcPr>
          <w:p>
            <w:r>
              <w:t>5–15 minutes</w:t>
            </w:r>
          </w:p>
        </w:tc>
        <w:tc>
          <w:tcPr>
            <w:tcW w:type="dxa" w:w="4968"/>
          </w:tcPr>
          <w:p>
            <w:r>
              <w:t>Consulting credibility: GoldenSource + Pemberton business outcome.</w:t>
            </w:r>
          </w:p>
        </w:tc>
      </w:tr>
      <w:tr>
        <w:tc>
          <w:tcPr>
            <w:tcW w:type="dxa" w:w="4968"/>
          </w:tcPr>
          <w:p>
            <w:r>
              <w:t>15–30 minutes</w:t>
            </w:r>
          </w:p>
        </w:tc>
        <w:tc>
          <w:tcPr>
            <w:tcW w:type="dxa" w:w="4968"/>
          </w:tcPr>
          <w:p>
            <w:r>
              <w:t>Behaviour: ownership, influencing, customer conflict, leadership.</w:t>
            </w:r>
          </w:p>
        </w:tc>
      </w:tr>
      <w:tr>
        <w:tc>
          <w:tcPr>
            <w:tcW w:type="dxa" w:w="4968"/>
          </w:tcPr>
          <w:p>
            <w:r>
              <w:t>30–38 minutes</w:t>
            </w:r>
          </w:p>
        </w:tc>
        <w:tc>
          <w:tcPr>
            <w:tcW w:type="dxa" w:w="4968"/>
          </w:tcPr>
          <w:p>
            <w:r>
              <w:t>Curiosity and judgement: MongoDB architecture, fit, migrations.</w:t>
            </w:r>
          </w:p>
        </w:tc>
      </w:tr>
      <w:tr>
        <w:tc>
          <w:tcPr>
            <w:tcW w:type="dxa" w:w="4968"/>
          </w:tcPr>
          <w:p>
            <w:r>
              <w:t>38–45 minutes</w:t>
            </w:r>
          </w:p>
        </w:tc>
        <w:tc>
          <w:tcPr>
            <w:tcW w:type="dxa" w:w="4968"/>
          </w:tcPr>
          <w:p>
            <w:r>
              <w:t>Ask two sharp questions; close with specific fit and enthusiasm.</w:t>
            </w:r>
          </w:p>
        </w:tc>
      </w:tr>
    </w:tbl>
    <w:p>
      <w:r>
        <w:t>These are a preparation structure, not an agenda supplied by MongoDB.</w:t>
      </w:r>
    </w:p>
    <w:p>
      <w:pPr>
        <w:pStyle w:val="Heading1"/>
      </w:pPr>
      <w:r>
        <w:t>10 | One-minute closing and desk-side cheat sheet</w:t>
      </w:r>
    </w:p>
    <w:p>
      <w:r>
        <w:t>“This process has strengthened my interest in the role. What I believe I bring is a combination of hands-on engineering depth, enterprise modernisation experience, and a consulting mindset. I have worked with demanding stakeholders in financial services, led technical delivery, and helped teams move from fragmented or legacy solutions towards reliable platforms. I am excited by the opportunity to specialise further in MongoDB and contribute to customer success across Professional Services.”</w:t>
      </w:r>
    </w:p>
    <w:p>
      <w:pPr>
        <w:pStyle w:val="ListBullet"/>
      </w:pPr>
      <w:r>
        <w:t>Three proof points: GoldenSource = client consulting; Pemberton = governed app modernisation; BlackRock = complexity and leadership.</w:t>
      </w:r>
    </w:p>
    <w:p>
      <w:pPr>
        <w:pStyle w:val="ListBullet"/>
      </w:pPr>
      <w:r>
        <w:t>Behaviours: listen → clarify outcome → propose options → agree trade-offs → deliver → enable team.</w:t>
      </w:r>
    </w:p>
    <w:p>
      <w:pPr>
        <w:pStyle w:val="ListBullet"/>
      </w:pPr>
      <w:r>
        <w:t>Avoid: reciting every technology, overclaiming MongoDB specialism, fictional STAR details, criticism of former employers.</w:t>
      </w:r>
    </w:p>
    <w:p>
      <w:pPr>
        <w:pStyle w:val="ListBullet"/>
      </w:pPr>
      <w:r>
        <w:t>Ask Uwe: top regional customer challenge + first-six-month success.</w:t>
      </w:r>
    </w:p>
    <w:p>
      <w:pPr>
        <w:pStyle w:val="ListBullet"/>
      </w:pPr>
      <w:r>
        <w:t>Keep answers 60–90 seconds; add depth when invited.</w:t>
      </w:r>
    </w:p>
    <w:p>
      <w:pPr>
        <w:pStyle w:val="Heading1"/>
      </w:pPr>
      <w:r>
        <w:t>Source notes</w:t>
      </w:r>
    </w:p>
    <w:p>
      <w:r>
        <w:t>Personal evidence: Abrar Mudhir CV (18 Sep 2026), 5 pages; prior Bionic interview-preparation document used as structural model; candidate guide screenshots and appointment details supplied by candidate.</w:t>
      </w:r>
    </w:p>
    <w:p>
      <w:r>
        <w:t>External background (accessed 14 Oct 2026):</w:t>
      </w:r>
    </w:p>
    <w:p>
      <w:r>
        <w:t>https://www.mongodb.com/services/consulting</w:t>
      </w:r>
    </w:p>
    <w:p>
      <w:r>
        <w:t>https://www.mongodb.com/services/consulting/relational-migration-methodology</w:t>
      </w:r>
    </w:p>
    <w:p>
      <w:r>
        <w:t>https://theorg.com/org/mongodb/org-chart/uwe-halbauer</w:t>
      </w:r>
    </w:p>
    <w:p>
      <w:r>
        <w:t>https://www.linkedin.com/in/uwehalbauer/</w:t>
      </w:r>
    </w:p>
    <w:p>
      <w:r>
        <w:t>https://www.linkedin.com/posts/uwehalbauer_professionalservices-countries-female-activity-7372875998830432256-cnlz</w:t>
      </w:r>
    </w:p>
    <w:p>
      <w:r>
        <w:t>Uncertainty: Public third-party biographies can contain outdated role/location details. The calendar and candidate portal are authoritative for interviewer title and meeting details. The source CV supports the outlined projects but does not supply precise individual incident outcomes, which should not be invented.</w:t>
      </w:r>
    </w:p>
    <w:sectPr w:rsidR="00FC693F" w:rsidRPr="0006063C" w:rsidSect="00034616">
      <w:headerReference w:type="default" r:id="rId9"/>
      <w:footerReference w:type="default" r:id="rId10"/>
      <w:pgSz w:w="12240" w:h="15840"/>
      <w:pgMar w:top="1008"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Abrar Mudhir   •   14 October 2026   •   Confidential preparation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MONGODB  |  SENIOR CONSULTING ENGINEER  |  FINAL INTERVIEW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85853"/>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858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858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