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rFonts w:ascii="Meiryo UI" w:hAnsi="Meiryo UI" w:eastAsia="Meiryo UI" w:cs="Meiryo UI"/>
          <w:sz w:val="34"/>
        </w:rPr>
      </w:pPr>
      <w:r>
        <w:rPr>
          <w:rFonts w:ascii="Meiryo UI" w:hAnsi="Meiryo UI" w:eastAsia="Meiryo UI" w:cs="Meiryo UI"/>
          <w:sz w:val="34"/>
        </w:rPr>
        <w:t>Ficha de Configurações do Produto</w:t>
      </w:r>
    </w:p>
    <w:p>
      <w:pPr>
        <w:pStyle w:val="para1"/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pStyle w:val="para2"/>
        <w:rPr>
          <w:rFonts w:eastAsia="Meiryo UI"/>
          <w:b w:val="0"/>
          <w:color w:val="auto"/>
          <w:sz w:val="20"/>
        </w:rPr>
      </w:pPr>
      <w:r>
        <w:rPr>
          <w:rFonts w:eastAsia="Meiryo UI"/>
          <w:b w:val="0"/>
          <w:color w:val="auto"/>
          <w:sz w:val="20"/>
        </w:rPr>
        <w:t>18/12/2019</w:t>
      </w:r>
    </w:p>
    <w:p>
      <w:r/>
    </w:p>
    <w:p>
      <w:pPr>
        <w:pStyle w:val="para2"/>
        <w:rPr>
          <w:rFonts w:eastAsia="Meiryo UI"/>
          <w:color w:val="auto"/>
          <w:szCs w:val="24"/>
        </w:rPr>
      </w:pPr>
      <w:r>
        <w:rPr>
          <w:rFonts w:eastAsia="Meiryo UI"/>
          <w:color w:val="0070c0"/>
          <w:sz w:val="28"/>
          <w:szCs w:val="24"/>
        </w:rPr>
        <w:t xml:space="preserve"> HDTX1xxXK3xA</w:t>
      </w:r>
      <w:r>
        <w:rPr>
          <w:rFonts w:eastAsia="Meiryo UI"/>
          <w:color w:val="auto"/>
          <w:szCs w:val="24"/>
        </w:rPr>
      </w:r>
    </w:p>
    <w:p>
      <w:pPr>
        <w:pStyle w:val="para2"/>
        <w:rPr>
          <w:rFonts w:eastAsia="Meiryo UI"/>
          <w:color w:val="auto"/>
          <w:szCs w:val="24"/>
        </w:rPr>
      </w:pPr>
      <w:r>
        <w:rPr>
          <w:rFonts w:eastAsia="Meiryo UI"/>
          <w:color w:val="auto"/>
          <w:szCs w:val="24"/>
        </w:rPr>
        <w:t xml:space="preserve"> Dísco Rígido Portátil Externo CANVIO</w:t>
      </w:r>
      <w:r>
        <w:rPr>
          <w:rFonts w:eastAsia="Meiryo UI"/>
          <w:color w:val="auto"/>
          <w:szCs w:val="24"/>
          <w:vertAlign w:val="superscript"/>
        </w:rPr>
        <w:t>®</w:t>
      </w:r>
      <w:r>
        <w:rPr>
          <w:rFonts w:eastAsia="Meiryo UI"/>
          <w:color w:val="auto"/>
          <w:szCs w:val="24"/>
        </w:rPr>
        <w:t xml:space="preserve"> Gaming </w:t>
      </w:r>
    </w:p>
    <w:tbl>
      <w:tblPr>
        <w:tblStyle w:val="TableNormal"/>
        <w:name w:val="Tabela1"/>
        <w:tabOrder w:val="0"/>
        <w:jc w:val="left"/>
        <w:tblInd w:w="108" w:type="dxa"/>
        <w:tblW w:w="10142" w:type="dxa"/>
        <w:tblLook w:val="0600" w:firstRow="0" w:lastRow="0" w:firstColumn="0" w:lastColumn="0" w:noHBand="1" w:noVBand="1"/>
      </w:tblPr>
      <w:tblGrid>
        <w:gridCol w:w="10142"/>
      </w:tblGrid>
      <w:tr>
        <w:trPr>
          <w:tblHeader w:val="0"/>
          <w:cantSplit w:val="0"/>
          <w:trHeight w:val="0" w:hRule="auto"/>
        </w:trPr>
        <w:tc>
          <w:tcPr>
            <w:tcW w:w="10142" w:type="dxa"/>
            <w:vAlign w:val="center"/>
            <w:shd w:val="solid" w:color="E0E0E0" tmshd="1677721856, 0, 1473763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Descrição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1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Arial" w:cs="Arial"/>
                <w:b/>
                <w:i/>
                <w:sz w:val="20"/>
              </w:rPr>
            </w:pPr>
            <w:r>
              <w:rPr>
                <w:rFonts w:ascii="Arial" w:hAnsi="Arial" w:eastAsia="Arial" w:cs="Arial"/>
                <w:b/>
                <w:i/>
                <w:sz w:val="20"/>
              </w:rPr>
              <w:t xml:space="preserve">Aumente o Level do Seu Armazenamento.  </w:t>
            </w:r>
          </w:p>
          <w:p>
            <w:pPr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</w:p>
          <w:p>
            <w:pPr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Mais tempo de jogo significa mais vitórias. Com o Disco Rígido Portátil Externo Canvio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®</w:t>
            </w:r>
            <w:r>
              <w:rPr>
                <w:rFonts w:ascii="Arial" w:hAnsi="Arial" w:eastAsia="Arial" w:cs="Arial"/>
                <w:sz w:val="20"/>
              </w:rPr>
              <w:t xml:space="preserve"> Gaming, você não precisa se preocupar em deletar jogos para abrir espaço para o mais novo lançamento. O design leve e elegante permite que você carregue até 100 jogos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5</w:t>
            </w:r>
            <w:r>
              <w:rPr>
                <w:rFonts w:ascii="Arial" w:hAnsi="Arial" w:eastAsia="Arial" w:cs="Arial"/>
                <w:sz w:val="20"/>
              </w:rPr>
              <w:t xml:space="preserve"> em um case leve e fácil de transportar. Com até 4 TB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1</w:t>
            </w:r>
            <w:r>
              <w:rPr>
                <w:rFonts w:ascii="Arial" w:hAnsi="Arial" w:eastAsia="Arial" w:cs="Arial"/>
                <w:sz w:val="20"/>
              </w:rPr>
              <w:t xml:space="preserve"> de capacidade de armazenamento para seus dados, sua biblioteca de jogos tem espaço para crescer.</w:t>
            </w:r>
          </w:p>
          <w:p>
            <w:pPr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</w:p>
          <w:p>
            <w:pPr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O Canvio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®</w:t>
            </w:r>
            <w:r>
              <w:rPr>
                <w:rFonts w:ascii="Arial" w:hAnsi="Arial" w:eastAsia="Arial" w:cs="Arial"/>
                <w:sz w:val="20"/>
              </w:rPr>
              <w:t xml:space="preserve"> Gaming é compatível com os sistemas Xbox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®</w:t>
            </w:r>
            <w:r>
              <w:rPr>
                <w:rFonts w:ascii="Arial" w:hAnsi="Arial" w:eastAsia="Arial" w:cs="Arial"/>
                <w:sz w:val="20"/>
              </w:rPr>
              <w:t>, PlayStation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®</w:t>
            </w:r>
            <w:r>
              <w:rPr>
                <w:rFonts w:ascii="Arial" w:hAnsi="Arial" w:eastAsia="Arial" w:cs="Arial"/>
                <w:sz w:val="20"/>
              </w:rPr>
              <w:t xml:space="preserve"> e PC, dando a você a liberdade de jogar com facilidade no console de sua escolha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4</w:t>
            </w:r>
            <w:r>
              <w:rPr>
                <w:rFonts w:ascii="Arial" w:hAnsi="Arial" w:eastAsia="Arial" w:cs="Arial"/>
                <w:sz w:val="20"/>
              </w:rPr>
              <w:t>. Esse disco rígido portátil possui o modo “Always-On”, personalizado por firmware, que está pronto para responder à sua próxima partida, para que você possa passar mais tempo vencendo.</w:t>
            </w:r>
          </w:p>
          <w:p>
            <w:pPr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</w:p>
          <w:p>
            <w:pPr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Equipado com a tecnologia USB 3.0, o Disco Rígido Portátil Externo Canvio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®</w:t>
            </w:r>
            <w:r>
              <w:rPr>
                <w:rFonts w:ascii="Arial" w:hAnsi="Arial" w:eastAsia="Arial" w:cs="Arial"/>
                <w:sz w:val="20"/>
              </w:rPr>
              <w:t xml:space="preserve"> Gaming ajuda você a acessar facilmente os seus arquivos de jogos e manter a sua partida e jogabilidade. Além disso, é amparado pela garantia limitada de 2 anos da Toshiba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2</w:t>
            </w:r>
            <w:r>
              <w:rPr>
                <w:rFonts w:ascii="Arial" w:hAnsi="Arial" w:eastAsia="Arial" w:cs="Arial"/>
                <w:sz w:val="20"/>
              </w:rPr>
              <w:t>, um fornecedor líder global de armazenamento de jogos para consoles, dando a você a confiança para expandir sua biblioteca de jogos.</w:t>
            </w:r>
          </w:p>
          <w:p>
            <w:pPr>
              <w:rPr>
                <w:rFonts w:ascii="Arial" w:hAnsi="Arial" w:eastAsia="MS Mincho" w:cs="Arial"/>
                <w:sz w:val="20"/>
              </w:rPr>
            </w:pPr>
            <w:r>
              <w:rPr>
                <w:rFonts w:ascii="Arial" w:hAnsi="Arial" w:eastAsia="MS Mincho" w:cs="Arial"/>
                <w:sz w:val="20"/>
              </w:rPr>
            </w:r>
          </w:p>
          <w:p>
            <w:pPr>
              <w:rPr>
                <w:rFonts w:ascii="Arial" w:hAnsi="Arial" w:eastAsia="MS Mincho" w:cs="Arial"/>
                <w:sz w:val="20"/>
              </w:rPr>
            </w:pPr>
            <w:r>
              <w:rPr>
                <w:rFonts w:ascii="Arial" w:hAnsi="Arial" w:eastAsia="MS Mincho" w:cs="Arial"/>
                <w:sz w:val="20"/>
              </w:rPr>
              <w:t>Isso não é apenas um jogo. É uma conquista. O Disco Rígido Portátil Externo Canvio® Gaming foi projetado para apoiá-lo quando você não puder se dar ao luxo de ficar para trás.</w:t>
            </w:r>
          </w:p>
          <w:p>
            <w:pPr>
              <w:rPr>
                <w:rFonts w:ascii="Arial" w:hAnsi="Arial" w:eastAsia="MS Mincho" w:cs="Arial"/>
                <w:sz w:val="20"/>
              </w:rPr>
            </w:pPr>
            <w:r>
              <w:rPr>
                <w:rFonts w:ascii="Arial" w:hAnsi="Arial" w:eastAsia="MS Mincho" w:cs="Arial"/>
                <w:sz w:val="20"/>
              </w:rPr>
            </w:r>
          </w:p>
          <w:p>
            <w:pPr>
              <w:rPr>
                <w:rFonts w:ascii="Arial" w:hAnsi="Arial" w:eastAsia="MS Mincho" w:cs="Arial"/>
                <w:sz w:val="20"/>
              </w:rPr>
            </w:pPr>
            <w:r>
              <w:rPr>
                <w:rFonts w:ascii="Arial" w:hAnsi="Arial" w:eastAsia="MS Mincho" w:cs="Arial"/>
                <w:sz w:val="20"/>
              </w:rPr>
            </w:r>
          </w:p>
        </w:tc>
      </w:tr>
    </w:tbl>
    <w:p>
      <w:pPr>
        <w:rPr>
          <w:rFonts w:ascii="Meiryo UI" w:hAnsi="Meiryo UI" w:eastAsia="Meiryo UI" w:cs="Meiryo UI"/>
          <w:sz w:val="20"/>
        </w:rPr>
      </w:pPr>
      <w:r>
        <w:rPr>
          <w:rFonts w:ascii="Meiryo UI" w:hAnsi="Meiryo UI" w:eastAsia="Meiryo UI" w:cs="Meiryo UI"/>
          <w:sz w:val="20"/>
        </w:rPr>
      </w:r>
    </w:p>
    <w:p>
      <w:pPr>
        <w:rPr>
          <w:rFonts w:ascii="Meiryo UI" w:hAnsi="Meiryo UI" w:eastAsia="Meiryo UI" w:cs="Meiryo UI"/>
          <w:sz w:val="20"/>
        </w:rPr>
      </w:pPr>
      <w:r>
        <w:rPr>
          <w:rFonts w:ascii="Meiryo UI" w:hAnsi="Meiryo UI" w:eastAsia="Meiryo UI" w:cs="Meiryo UI"/>
          <w:sz w:val="20"/>
        </w:rPr>
      </w:r>
    </w:p>
    <w:tbl>
      <w:tblPr>
        <w:tblStyle w:val="TableNormal"/>
        <w:name w:val="Tabela2"/>
        <w:tabOrder w:val="0"/>
        <w:jc w:val="left"/>
        <w:tblInd w:w="108" w:type="dxa"/>
        <w:tblW w:w="10142" w:type="dxa"/>
        <w:tblLook w:val="0600" w:firstRow="0" w:lastRow="0" w:firstColumn="0" w:lastColumn="0" w:noHBand="1" w:noVBand="1"/>
      </w:tblPr>
      <w:tblGrid>
        <w:gridCol w:w="10142"/>
      </w:tblGrid>
      <w:tr>
        <w:trPr>
          <w:tblHeader w:val="0"/>
          <w:cantSplit w:val="0"/>
          <w:trHeight w:val="0" w:hRule="auto"/>
        </w:trPr>
        <w:tc>
          <w:tcPr>
            <w:tcW w:w="10142" w:type="dxa"/>
            <w:vAlign w:val="center"/>
            <w:shd w:val="solid" w:color="E0E0E0" tmshd="1677721856, 0, 1473763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  <w:u w:color="auto" w:val="single"/>
                <w:vertAlign w:val="superscript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  <w:u w:color="auto" w:val="single"/>
                <w:vertAlign w:val="superscript"/>
              </w:rPr>
            </w:r>
          </w:p>
          <w:p>
            <w:pPr>
              <w:rPr>
                <w:rFonts w:ascii="Arial" w:hAnsi="Arial" w:eastAsia="Meiryo UI" w:cs="Arial"/>
                <w:b/>
                <w:bCs/>
                <w:sz w:val="20"/>
                <w:u w:color="auto" w:val="single"/>
                <w:vertAlign w:val="superscript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Recursos do Produto</w:t>
            </w:r>
            <w:r>
              <w:rPr>
                <w:rFonts w:ascii="Arial" w:hAnsi="Arial" w:eastAsia="Meiryo UI" w:cs="Arial"/>
                <w:b/>
                <w:bCs/>
                <w:sz w:val="20"/>
                <w:vertAlign w:val="superscript"/>
              </w:rPr>
              <w:t>3</w:t>
            </w:r>
            <w:r>
              <w:rPr>
                <w:rFonts w:ascii="Arial" w:hAnsi="Arial" w:eastAsia="Meiryo UI" w:cs="Arial"/>
                <w:b/>
                <w:bCs/>
                <w:sz w:val="20"/>
                <w:u w:color="auto" w:val="single"/>
                <w:vertAlign w:val="superscript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1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numPr>
                <w:ilvl w:val="0"/>
                <w:numId w:val="2"/>
              </w:numPr>
              <w:ind w:left="720" w:hanging="360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Expanda sua Biblioteca de Jogos</w:t>
            </w:r>
          </w:p>
          <w:p>
            <w:pPr>
              <w:numPr>
                <w:ilvl w:val="1"/>
                <w:numId w:val="2"/>
              </w:numPr>
              <w:ind w:left="144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Até 4 TB</w:t>
            </w:r>
            <w:r>
              <w:rPr>
                <w:rFonts w:ascii="Arial" w:hAnsi="Arial"/>
                <w:sz w:val="20"/>
                <w:vertAlign w:val="superscript"/>
              </w:rPr>
              <w:t xml:space="preserve">1 </w:t>
            </w:r>
            <w:r>
              <w:rPr>
                <w:rFonts w:ascii="Arial" w:hAnsi="Arial"/>
                <w:sz w:val="20"/>
              </w:rPr>
              <w:t>de capacidade de armazenamento para expandir sua biblioteca de jogos para até 100 jogos</w:t>
            </w:r>
            <w:r>
              <w:rPr>
                <w:rFonts w:ascii="Arial" w:hAnsi="Arial"/>
                <w:sz w:val="20"/>
                <w:vertAlign w:val="superscript"/>
              </w:rPr>
              <w:t>5</w:t>
            </w:r>
            <w:r>
              <w:rPr>
                <w:rFonts w:ascii="Arial" w:hAnsi="Arial"/>
                <w:sz w:val="20"/>
              </w:rPr>
              <w:t xml:space="preserve"> e salvar seu progresso em cada etapa..</w:t>
            </w:r>
            <w:r>
              <w:rPr>
                <w:rFonts w:ascii="Arial" w:hAnsi="Arial"/>
                <w:b/>
                <w:sz w:val="20"/>
              </w:rPr>
            </w:r>
          </w:p>
          <w:p>
            <w:pPr>
              <w:numPr>
                <w:ilvl w:val="0"/>
                <w:numId w:val="2"/>
              </w:numPr>
              <w:ind w:left="72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Feito para Gamers</w:t>
            </w:r>
          </w:p>
          <w:p>
            <w:pPr>
              <w:numPr>
                <w:ilvl w:val="1"/>
                <w:numId w:val="2"/>
              </w:numPr>
              <w:ind w:left="1440" w:hanging="360"/>
              <w:rPr>
                <w:rFonts w:ascii="Arial" w:hAnsi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Contém o modo “Always-On”, personalizado por firmware, que está pronto para responder à sua próxima partida, para que você possa passar mais tempo vencendo.</w:t>
            </w:r>
            <w:r>
              <w:rPr>
                <w:rFonts w:ascii="Arial" w:hAnsi="Arial"/>
                <w:sz w:val="20"/>
              </w:rPr>
            </w:r>
          </w:p>
          <w:p>
            <w:pPr>
              <w:numPr>
                <w:ilvl w:val="1"/>
                <w:numId w:val="2"/>
              </w:numPr>
              <w:ind w:left="1440" w:hanging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Compatível com os sistemas Xbox</w:t>
            </w:r>
            <w:r>
              <w:rPr>
                <w:rFonts w:ascii="Arial" w:hAnsi="Arial"/>
                <w:sz w:val="20"/>
                <w:vertAlign w:val="superscript"/>
              </w:rPr>
              <w:t>®</w:t>
            </w:r>
            <w:r>
              <w:rPr>
                <w:rFonts w:ascii="Arial" w:hAnsi="Arial"/>
                <w:sz w:val="20"/>
              </w:rPr>
              <w:t>, PlayStation</w:t>
            </w:r>
            <w:r>
              <w:rPr>
                <w:rFonts w:ascii="Arial" w:hAnsi="Arial"/>
                <w:sz w:val="20"/>
                <w:vertAlign w:val="superscript"/>
              </w:rPr>
              <w:t>®</w:t>
            </w:r>
            <w:r>
              <w:rPr>
                <w:rFonts w:ascii="Arial" w:hAnsi="Arial"/>
                <w:sz w:val="20"/>
              </w:rPr>
              <w:t xml:space="preserve"> e PC</w:t>
            </w:r>
            <w:r>
              <w:rPr>
                <w:rFonts w:ascii="Arial" w:hAnsi="Arial"/>
                <w:sz w:val="20"/>
                <w:vertAlign w:val="superscript"/>
              </w:rPr>
              <w:t>4</w:t>
            </w:r>
            <w:r>
              <w:rPr>
                <w:rFonts w:ascii="Arial" w:hAnsi="Arial"/>
                <w:sz w:val="20"/>
              </w:rPr>
              <w:t>.</w:t>
            </w:r>
          </w:p>
          <w:p>
            <w:pPr>
              <w:numPr>
                <w:ilvl w:val="0"/>
                <w:numId w:val="2"/>
              </w:numPr>
              <w:ind w:left="720" w:hanging="360"/>
              <w:rPr>
                <w:rFonts w:ascii="Arial" w:hAnsi="Arial" w:eastAsia="Arial" w:cs="Arial"/>
                <w:b/>
                <w:bCs/>
                <w:sz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</w:rPr>
              <w:t>Jogo Ininterrupto</w:t>
            </w:r>
          </w:p>
          <w:p>
            <w:pPr>
              <w:numPr>
                <w:ilvl w:val="1"/>
                <w:numId w:val="2"/>
              </w:numPr>
              <w:ind w:left="144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Leve o seu jogo para qualquer lugar e jogue seus títulos favoritos</w:t>
            </w:r>
            <w:r>
              <w:rPr>
                <w:rFonts w:ascii="Arial" w:hAnsi="Arial"/>
                <w:sz w:val="20"/>
                <w:vertAlign w:val="superscript"/>
              </w:rPr>
              <w:t>5</w:t>
            </w:r>
            <w:r>
              <w:rPr>
                <w:rFonts w:ascii="Arial" w:hAnsi="Arial"/>
                <w:sz w:val="20"/>
              </w:rPr>
              <w:t xml:space="preserve"> no console compatível mais recente</w:t>
            </w:r>
            <w:r>
              <w:rPr>
                <w:rFonts w:ascii="Arial" w:hAnsi="Arial"/>
                <w:sz w:val="20"/>
                <w:vertAlign w:val="superscript"/>
              </w:rPr>
              <w:t>4</w:t>
            </w:r>
            <w:r>
              <w:rPr>
                <w:rFonts w:ascii="Arial" w:hAnsi="Arial"/>
                <w:sz w:val="20"/>
              </w:rPr>
              <w:t>, para que possa continuar a jogar de onde parou.</w:t>
            </w:r>
            <w:r>
              <w:rPr>
                <w:rFonts w:ascii="Arial" w:hAnsi="Arial"/>
                <w:b/>
                <w:sz w:val="20"/>
              </w:rPr>
            </w:r>
          </w:p>
          <w:p>
            <w:pPr>
              <w:numPr>
                <w:ilvl w:val="0"/>
                <w:numId w:val="2"/>
              </w:numPr>
              <w:ind w:left="72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Design Atraente</w:t>
            </w:r>
          </w:p>
          <w:p>
            <w:pPr>
              <w:numPr>
                <w:ilvl w:val="1"/>
                <w:numId w:val="2"/>
              </w:numPr>
              <w:ind w:left="144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O acabamento preto elegante complementa com estilo seu Xbox</w:t>
            </w:r>
            <w:r>
              <w:rPr>
                <w:rFonts w:ascii="Arial" w:hAnsi="Arial"/>
                <w:sz w:val="20"/>
                <w:vertAlign w:val="superscript"/>
              </w:rPr>
              <w:t>®</w:t>
            </w:r>
            <w:r>
              <w:rPr>
                <w:rFonts w:ascii="Arial" w:hAnsi="Arial"/>
                <w:sz w:val="20"/>
              </w:rPr>
              <w:t>, PlayStation</w:t>
            </w:r>
            <w:r>
              <w:rPr>
                <w:rFonts w:ascii="Arial" w:hAnsi="Arial"/>
                <w:sz w:val="20"/>
                <w:vertAlign w:val="superscript"/>
              </w:rPr>
              <w:t xml:space="preserve">® </w:t>
            </w:r>
            <w:r>
              <w:rPr>
                <w:rFonts w:ascii="Arial" w:hAnsi="Arial"/>
                <w:sz w:val="20"/>
              </w:rPr>
              <w:t>e outros consoles compatíveis</w:t>
            </w:r>
            <w:r>
              <w:rPr>
                <w:rFonts w:ascii="Arial" w:hAnsi="Arial"/>
                <w:sz w:val="20"/>
                <w:vertAlign w:val="superscript"/>
              </w:rPr>
              <w:t>4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b/>
                <w:sz w:val="20"/>
              </w:rPr>
            </w:r>
          </w:p>
          <w:p>
            <w:pPr>
              <w:numPr>
                <w:ilvl w:val="0"/>
                <w:numId w:val="2"/>
              </w:numPr>
              <w:ind w:left="72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Compatível com USB 3.0 &amp; 2.0</w:t>
            </w:r>
          </w:p>
          <w:p>
            <w:pPr>
              <w:numPr>
                <w:ilvl w:val="1"/>
                <w:numId w:val="2"/>
              </w:numPr>
              <w:ind w:left="1440" w:hanging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 tecnologia USB permite uma transferência confiável de dados sem a necessidade de um cabo de alimentação externo.</w:t>
            </w:r>
          </w:p>
          <w:p>
            <w:pPr>
              <w:numPr>
                <w:ilvl w:val="0"/>
                <w:numId w:val="2"/>
              </w:numPr>
              <w:ind w:left="72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Joque com Confiança</w:t>
            </w:r>
          </w:p>
          <w:p>
            <w:pPr>
              <w:numPr>
                <w:ilvl w:val="1"/>
                <w:numId w:val="2"/>
              </w:numPr>
              <w:ind w:left="1440" w:hanging="360"/>
              <w:rPr>
                <w:rFonts w:ascii="Arial" w:hAnsi="Arial"/>
                <w:sz w:val="20"/>
              </w:rPr>
            </w:pPr>
            <w:r>
              <w:rPr>
                <w:rFonts w:ascii="arial " w:hAnsi="arial " w:eastAsia="arial " w:cs="arial "/>
                <w:sz w:val="20"/>
              </w:rPr>
              <w:t>Amparado pela garantia limitada padrão de 2 anos da Toshiba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2</w:t>
            </w:r>
            <w:r>
              <w:rPr>
                <w:rFonts w:ascii="Arial" w:hAnsi="Arial"/>
                <w:sz w:val="20"/>
              </w:rPr>
              <w:t xml:space="preserve">, </w:t>
            </w:r>
            <w:r>
              <w:rPr>
                <w:rFonts w:ascii="Arial" w:hAnsi="Arial" w:eastAsia="Arial" w:cs="Arial"/>
                <w:sz w:val="20"/>
              </w:rPr>
              <w:t xml:space="preserve">um fornecedor líder global de armazenamento de jogos para consoles, você pode expandir sua biblioteca </w:t>
            </w:r>
            <w:r>
              <w:rPr>
                <w:rFonts w:ascii="Arial" w:hAnsi="Arial"/>
                <w:sz w:val="20"/>
              </w:rPr>
              <w:t>sem preocupações.</w:t>
            </w:r>
            <w:r>
              <w:rPr>
                <w:rFonts w:ascii="Arial" w:hAnsi="Arial"/>
                <w:sz w:val="20"/>
              </w:rPr>
            </w:r>
          </w:p>
          <w:p>
            <w:pPr>
              <w:rPr>
                <w:rFonts w:ascii="Arial" w:hAnsi="Arial" w:eastAsia="Meiryo UI" w:cs="Arial"/>
                <w:color w:val="ff0000"/>
                <w:sz w:val="20"/>
              </w:rPr>
            </w:pPr>
            <w:r>
              <w:rPr>
                <w:rFonts w:ascii="Arial" w:hAnsi="Arial" w:eastAsia="Meiryo UI" w:cs="Arial"/>
                <w:color w:val="ff0000"/>
                <w:sz w:val="20"/>
              </w:rPr>
            </w:r>
          </w:p>
        </w:tc>
      </w:tr>
    </w:tbl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tbl>
      <w:tblPr>
        <w:tblStyle w:val="TableNormal"/>
        <w:name w:val="Tabela3"/>
        <w:tabOrder w:val="0"/>
        <w:jc w:val="left"/>
        <w:tblInd w:w="-5" w:type="dxa"/>
        <w:tblW w:w="10260" w:type="dxa"/>
        <w:tblLook w:val="0600" w:firstRow="0" w:lastRow="0" w:firstColumn="0" w:lastColumn="0" w:noHBand="1" w:noVBand="1"/>
      </w:tblPr>
      <w:tblGrid>
        <w:gridCol w:w="5400"/>
        <w:gridCol w:w="4860"/>
      </w:tblGrid>
      <w:tr>
        <w:trPr>
          <w:tblHeader w:val="0"/>
          <w:cantSplit w:val="0"/>
          <w:trHeight w:val="0" w:hRule="auto"/>
        </w:trPr>
        <w:tc>
          <w:tcPr>
            <w:tcW w:w="5400" w:type="dxa"/>
            <w:vAlign w:val="center"/>
            <w:shd w:val="solid" w:color="E0E0E0" tmshd="1677721856, 0, 1473763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S Mincho" w:cs="Arial"/>
                <w:b/>
                <w:bCs/>
                <w:color w:val="000080"/>
                <w:sz w:val="20"/>
                <w:u w:color="auto" w:val="single"/>
                <w:vertAlign w:val="superscript"/>
              </w:rPr>
            </w:pPr>
            <w:r>
              <w:rPr>
                <w:rFonts w:ascii="Arial" w:hAnsi="Arial" w:eastAsia="MS Mincho" w:cs="Arial"/>
                <w:b/>
                <w:bCs/>
                <w:sz w:val="20"/>
              </w:rPr>
              <w:t>Especificações do Produto</w:t>
            </w:r>
            <w:r>
              <w:rPr>
                <w:rFonts w:ascii="Arial" w:hAnsi="Arial" w:eastAsia="MS Mincho" w:cs="Arial"/>
                <w:b/>
                <w:bCs/>
                <w:sz w:val="20"/>
                <w:vertAlign w:val="superscript"/>
              </w:rPr>
              <w:t>3</w:t>
            </w:r>
            <w:r>
              <w:rPr>
                <w:rFonts w:ascii="Arial" w:hAnsi="Arial" w:eastAsia="MS Mincho" w:cs="Arial"/>
                <w:b/>
                <w:bCs/>
                <w:color w:val="000080"/>
                <w:sz w:val="20"/>
                <w:u w:color="auto" w:val="single"/>
                <w:vertAlign w:val="superscript"/>
              </w:rPr>
            </w:r>
          </w:p>
        </w:tc>
        <w:tc>
          <w:tcPr>
            <w:tcW w:w="4860" w:type="dxa"/>
            <w:shd w:val="solid" w:color="E0E0E0" tmshd="1677721856, 0, 1473763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S Mincho" w:cs="Arial"/>
                <w:b/>
                <w:bCs/>
                <w:sz w:val="20"/>
                <w:vertAlign w:val="superscript"/>
              </w:rPr>
            </w:pPr>
            <w:r>
              <w:rPr>
                <w:rFonts w:ascii="Arial" w:hAnsi="Arial" w:eastAsia="MS Mincho" w:cs="Arial"/>
                <w:b/>
                <w:bCs/>
                <w:sz w:val="20"/>
              </w:rPr>
              <w:t>Imagens do Produto</w:t>
            </w:r>
            <w:r>
              <w:rPr>
                <w:rFonts w:ascii="Arial" w:hAnsi="Arial" w:eastAsia="MS Mincho" w:cs="Arial"/>
                <w:b/>
                <w:bCs/>
                <w:sz w:val="20"/>
                <w:vertAlign w:val="superscript"/>
              </w:rPr>
              <w:t>9</w:t>
            </w:r>
            <w:r>
              <w:rPr>
                <w:rFonts w:ascii="Arial" w:hAnsi="Arial" w:eastAsia="MS Mincho" w:cs="Arial"/>
                <w:b/>
                <w:bCs/>
                <w:sz w:val="20"/>
                <w:vertAlign w:val="superscript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40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S Mincho"/>
                <w:color w:val="000000"/>
                <w:sz w:val="20"/>
              </w:rPr>
            </w:pPr>
            <w:r>
              <w:rPr>
                <w:rFonts w:ascii="Arial" w:hAnsi="Arial" w:eastAsia="MS Mincho"/>
                <w:color w:val="000000"/>
                <w:sz w:val="20"/>
              </w:rPr>
              <w:t>Especificações</w:t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Capacidade</w:t>
            </w:r>
            <w:r>
              <w:rPr>
                <w:rFonts w:ascii="Arial" w:hAnsi="Arial" w:eastAsia="MS Mincho"/>
                <w:sz w:val="20"/>
                <w:vertAlign w:val="superscript"/>
              </w:rPr>
              <w:t>1</w:t>
            </w:r>
            <w:r>
              <w:rPr>
                <w:rFonts w:ascii="Arial" w:hAnsi="Arial" w:eastAsia="MS Mincho"/>
                <w:sz w:val="20"/>
              </w:rPr>
              <w:t xml:space="preserve">: até </w:t>
            </w:r>
            <w:r>
              <w:rPr>
                <w:rFonts w:ascii="Arial" w:hAnsi="Arial" w:eastAsia="MS Mincho"/>
                <w:bCs/>
                <w:sz w:val="20"/>
              </w:rPr>
              <w:t>4</w:t>
            </w:r>
            <w:r>
              <w:rPr>
                <w:rFonts w:ascii="Arial" w:hAnsi="Arial" w:eastAsia="MS Mincho" w:hint="eastAsia"/>
                <w:bCs/>
                <w:sz w:val="20"/>
              </w:rPr>
              <w:t>TB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 xml:space="preserve">Interface: 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USB 3.0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USB 2.0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Taxa de transferência de interface</w:t>
            </w:r>
            <w:r>
              <w:rPr>
                <w:rFonts w:ascii="Arial" w:hAnsi="Arial" w:eastAsia="MS Mincho"/>
                <w:sz w:val="20"/>
                <w:vertAlign w:val="superscript"/>
              </w:rPr>
              <w:t>7</w:t>
            </w:r>
            <w:r>
              <w:rPr>
                <w:rFonts w:ascii="Arial" w:hAnsi="Arial" w:eastAsia="MS Mincho"/>
                <w:sz w:val="20"/>
              </w:rPr>
              <w:t xml:space="preserve">: 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Até 5 Gb/s (USB 3.0)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Até 480 Mb/s (USB 2.0)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Formato do discot: exFAT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  <w:lang w:val="pl-pl"/>
              </w:rPr>
              <w:t>Tamanho (mm)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bCs/>
                <w:sz w:val="20"/>
              </w:rPr>
            </w:pPr>
            <w:r>
              <w:rPr>
                <w:rFonts w:ascii="Arial" w:hAnsi="Arial" w:eastAsia="MS Mincho"/>
                <w:bCs/>
                <w:sz w:val="20"/>
              </w:rPr>
              <w:t xml:space="preserve"> 1TB/2TB: 80(L) x 111(C) x 13.5(A)</w:t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bCs/>
                <w:sz w:val="20"/>
              </w:rPr>
            </w:pPr>
            <w:r>
              <w:rPr>
                <w:rFonts w:ascii="Arial" w:hAnsi="Arial" w:eastAsia="MS Mincho"/>
                <w:bCs/>
                <w:sz w:val="20"/>
              </w:rPr>
              <w:t xml:space="preserve"> 4TB: 80(L) x 111(C) x 19.5(A)</w:t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Cores: Preto</w:t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 xml:space="preserve">peso (g): 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bCs/>
                <w:sz w:val="20"/>
              </w:rPr>
            </w:pPr>
            <w:r>
              <w:rPr>
                <w:rFonts w:ascii="Arial" w:hAnsi="Arial" w:eastAsia="MS Mincho"/>
                <w:bCs/>
                <w:sz w:val="20"/>
              </w:rPr>
              <w:t>1TB/2TB:149</w:t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bCs/>
                <w:sz w:val="20"/>
              </w:rPr>
              <w:t>4TB: 210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Conteúdo</w:t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Disco Rígido Portátil Externo Toshiba Canvio</w:t>
            </w:r>
            <w:r>
              <w:rPr>
                <w:rFonts w:ascii="Arial" w:hAnsi="Arial" w:eastAsia="MS Mincho"/>
                <w:sz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</w:rPr>
              <w:t xml:space="preserve"> Gaming  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 xml:space="preserve">Cabo USB Type-A para Micro-B 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Guia de início rápido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Garantia limitada padrão de 2 anos</w:t>
            </w:r>
            <w:r>
              <w:rPr>
                <w:rFonts w:ascii="Arial" w:hAnsi="Arial" w:eastAsia="MS Mincho"/>
                <w:sz w:val="20"/>
                <w:vertAlign w:val="superscript"/>
              </w:rPr>
              <w:t>2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ind w:left="72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ind w:left="72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Requisitos do sistema</w:t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Computadores:</w:t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Windows</w:t>
            </w:r>
            <w:r>
              <w:rPr>
                <w:rFonts w:ascii="Arial" w:hAnsi="Arial" w:eastAsia="MS Mincho"/>
                <w:sz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</w:rPr>
              <w:t xml:space="preserve"> 10, Windows</w:t>
            </w:r>
            <w:r>
              <w:rPr>
                <w:rFonts w:ascii="Arial" w:hAnsi="Arial" w:eastAsia="MS Mincho"/>
                <w:sz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</w:rPr>
              <w:t xml:space="preserve"> 8.1</w:t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macOS v10.15 / v10.14 / v10.13</w:t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Consoles</w:t>
            </w:r>
            <w:r>
              <w:rPr>
                <w:rFonts w:ascii="Arial" w:hAnsi="Arial" w:eastAsia="MS Mincho"/>
                <w:sz w:val="20"/>
                <w:vertAlign w:val="superscript"/>
              </w:rPr>
              <w:t>4</w:t>
            </w:r>
            <w:r>
              <w:rPr>
                <w:rFonts w:ascii="Arial" w:hAnsi="Arial" w:eastAsia="MS Mincho"/>
                <w:sz w:val="20"/>
              </w:rPr>
              <w:t>:</w:t>
            </w:r>
          </w:p>
          <w:p>
            <w:pPr>
              <w:pStyle w:val="para12"/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sz w:val="20"/>
                <w:szCs w:val="20"/>
              </w:rPr>
            </w:pPr>
            <w:r>
              <w:rPr>
                <w:rFonts w:ascii="Arial" w:hAnsi="Arial" w:eastAsia="MS Mincho"/>
                <w:sz w:val="20"/>
                <w:szCs w:val="20"/>
              </w:rPr>
              <w:t>PlayStation</w:t>
            </w:r>
            <w:r>
              <w:rPr>
                <w:rFonts w:ascii="Arial" w:hAnsi="Arial" w:eastAsia="MS Mincho"/>
                <w:sz w:val="20"/>
                <w:szCs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  <w:szCs w:val="20"/>
              </w:rPr>
            </w:r>
          </w:p>
          <w:p>
            <w:pPr>
              <w:pStyle w:val="para12"/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sz w:val="20"/>
                <w:szCs w:val="20"/>
              </w:rPr>
            </w:pPr>
            <w:r>
              <w:rPr>
                <w:rFonts w:ascii="Arial" w:hAnsi="Arial" w:eastAsia="MS Mincho"/>
                <w:sz w:val="20"/>
                <w:szCs w:val="20"/>
              </w:rPr>
              <w:t>Xbox</w:t>
            </w:r>
            <w:r>
              <w:rPr>
                <w:rFonts w:ascii="Arial" w:hAnsi="Arial" w:eastAsia="MS Mincho"/>
                <w:sz w:val="20"/>
                <w:szCs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  <w:szCs w:val="20"/>
              </w:rPr>
              <w:t xml:space="preserve"> </w:t>
            </w:r>
          </w:p>
          <w:p>
            <w:pPr>
              <w:pStyle w:val="para12"/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  <w:szCs w:val="20"/>
              </w:rPr>
            </w:pPr>
            <w:r>
              <w:rPr>
                <w:rFonts w:ascii="Arial" w:hAnsi="Arial" w:eastAsia="MS Mincho"/>
                <w:sz w:val="20"/>
                <w:szCs w:val="20"/>
              </w:rPr>
              <w:t xml:space="preserve">Verifique a compatibilidade de dispositivo mais recente em:  </w:t>
            </w:r>
          </w:p>
          <w:p>
            <w:pPr>
              <w:pStyle w:val="para12"/>
              <w:numPr>
                <w:ilvl w:val="1"/>
                <w:numId w:val="26"/>
              </w:numPr>
              <w:ind w:left="1440" w:hanging="360"/>
              <w:rPr>
                <w:rFonts w:ascii="Arial" w:hAnsi="Arial" w:cs="Arial"/>
                <w:sz w:val="18"/>
              </w:rPr>
            </w:pPr>
            <w:hyperlink r:id="rId8" w:history="1">
              <w:r>
                <w:rPr>
                  <w:rStyle w:val="char2"/>
                  <w:rFonts w:ascii="Arial" w:hAnsi="Arial" w:cs="Arial"/>
                  <w:sz w:val="18"/>
                </w:rPr>
                <w:t>https://www.canvio.jp/en/compati/hdd/ot_ehdd/game/index.htm</w:t>
              </w:r>
            </w:hyperlink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Porta USB 2.0 ou USB 3.0 disponível</w:t>
            </w:r>
          </w:p>
          <w:p>
            <w:pPr>
              <w:rPr>
                <w:rFonts w:ascii="Arial" w:hAnsi="Arial" w:eastAsia="MS Mincho"/>
                <w:sz w:val="20"/>
                <w:lang w:val="fr-fr"/>
              </w:rPr>
            </w:pPr>
            <w:r>
              <w:rPr>
                <w:rFonts w:ascii="Arial" w:hAnsi="Arial" w:eastAsia="MS Mincho"/>
                <w:sz w:val="20"/>
                <w:lang w:val="fr-fr"/>
              </w:rPr>
            </w:r>
          </w:p>
          <w:p>
            <w:pPr>
              <w:rPr>
                <w:rFonts w:ascii="Arial" w:hAnsi="Arial" w:eastAsia="MS Mincho" w:cs="Arial"/>
                <w:b/>
                <w:bCs/>
                <w:color w:val="000080"/>
                <w:sz w:val="20"/>
                <w:u w:color="auto" w:val="single"/>
              </w:rPr>
            </w:pPr>
            <w:r>
              <w:rPr>
                <w:rFonts w:ascii="Arial" w:hAnsi="Arial" w:eastAsia="MS Mincho" w:cs="Arial"/>
                <w:b/>
                <w:bCs/>
                <w:color w:val="000080"/>
                <w:sz w:val="20"/>
                <w:u w:color="auto" w:val="single"/>
              </w:rPr>
            </w:r>
          </w:p>
        </w:tc>
        <w:tc>
          <w:tcPr>
            <w:tcW w:w="48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eastAsia="MS Mincho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hidden="0" allowOverlap="1">
                  <wp:simplePos x="0" y="0"/>
                  <wp:positionH relativeFrom="margin">
                    <wp:posOffset>95885</wp:posOffset>
                  </wp:positionH>
                  <wp:positionV relativeFrom="margin">
                    <wp:posOffset>136525</wp:posOffset>
                  </wp:positionV>
                  <wp:extent cx="2550160" cy="2476500"/>
                  <wp:effectExtent l="0" t="0" r="0" b="0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s3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IAAAAAogAAAAAAAAEAAAAAAAAAAQAAAJcAAAAAAAAAAQAAANcAAACwDwAAPA8AAAEAAACNGQAAxQk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16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S Mincho"/>
                <w:sz w:val="20"/>
              </w:rPr>
            </w:r>
          </w:p>
          <w:p>
            <w:pPr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</w:r>
          </w:p>
          <w:p>
            <w:pPr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</w:r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>
              <w:spacing w:line="276" w:lineRule="auto"/>
              <w:rPr>
                <w:rFonts w:ascii="Arial" w:hAnsi="Arial" w:eastAsia="Poppins" w:cs="Arial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hidden="0" allowOverlap="1">
                  <wp:simplePos x="0" y="0"/>
                  <wp:positionH relativeFrom="margin">
                    <wp:posOffset>75565</wp:posOffset>
                  </wp:positionH>
                  <wp:positionV relativeFrom="margin">
                    <wp:posOffset>3175000</wp:posOffset>
                  </wp:positionV>
                  <wp:extent cx="2971165" cy="1622425"/>
                  <wp:effectExtent l="0" t="0" r="0" b="0"/>
                  <wp:wrapSquare wrapText="bothSides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s3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QAEAAAAAAAC+AgAA/AEAAAAAAABkAAAAZAAAAAAAAAAjAAAABAAAAGQAAAAXAAAAFAAAAAAAAAAAAAAA/38AAP9/AAAAAgAACQAAAAQAAAAAAAAADAAAABAAAAB6intiSAMsP/wri0nGv+K/HgAAAGgAAAAAAAAAAAAAAAAAAAAAAAAAAAAAABAnAAAQJwAAAAAAAAAAAAAAAAAAAAAAAAAAAAAAAAAAAAAAAAAAAAAUAAAAAAAAAMDA/wAAAAAAZAAAADIAAAAAAAAAZAAAAAAAAAB/f38ACgAAACEAAABAAAAAPAAAABIADwAAogAAAAAAAAEAAAAAAAAAAQAAAHcAAAAAAAAAAQAAAIgTAABHEgAA+wkAAAEAAABtGQAAdhw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rcRect l="3200" r="7020" b="50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165" cy="1622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Poppins" w:cs="Arial"/>
                <w:sz w:val="14"/>
                <w:szCs w:val="14"/>
              </w:rPr>
            </w:r>
          </w:p>
          <w:p>
            <w:pPr>
              <w:spacing w:line="276" w:lineRule="auto"/>
              <w:rPr>
                <w:rFonts w:ascii="Arial" w:hAnsi="Arial" w:eastAsia="Poppins" w:cs="Arial"/>
                <w:sz w:val="14"/>
                <w:szCs w:val="14"/>
              </w:rPr>
            </w:pPr>
            <w:r>
              <w:rPr>
                <w:rFonts w:ascii="Arial" w:hAnsi="Arial" w:eastAsia="Poppins" w:cs="Arial"/>
                <w:sz w:val="14"/>
                <w:szCs w:val="14"/>
              </w:rPr>
              <w:t>Imagens meramente ilustrativas.</w:t>
            </w:r>
          </w:p>
        </w:tc>
      </w:tr>
    </w:tbl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tbl>
      <w:tblPr>
        <w:tblStyle w:val="TableNormal"/>
        <w:name w:val="Tabela4"/>
        <w:tabOrder w:val="0"/>
        <w:jc w:val="left"/>
        <w:tblInd w:w="-5" w:type="dxa"/>
        <w:tblW w:w="10265" w:type="dxa"/>
        <w:tblLook w:val="0600" w:firstRow="0" w:lastRow="0" w:firstColumn="0" w:lastColumn="0" w:noHBand="1" w:noVBand="1"/>
      </w:tblPr>
      <w:tblGrid>
        <w:gridCol w:w="1710"/>
        <w:gridCol w:w="3482"/>
        <w:gridCol w:w="1940"/>
        <w:gridCol w:w="3133"/>
      </w:tblGrid>
      <w:tr>
        <w:trPr>
          <w:tblHeader w:val="0"/>
          <w:cantSplit w:val="0"/>
          <w:trHeight w:val="285" w:hRule="atLeast"/>
        </w:trPr>
        <w:tc>
          <w:tcPr>
            <w:tcW w:w="10265" w:type="dxa"/>
            <w:gridSpan w:val="4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i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Informações da Configuração da Peça</w:t>
            </w:r>
            <w:r>
              <w:rPr>
                <w:rFonts w:ascii="Arial" w:hAnsi="Arial" w:eastAsia="Meiryo UI" w:cs="Arial"/>
                <w:b/>
                <w:iCs/>
                <w:sz w:val="20"/>
              </w:rPr>
            </w:r>
          </w:p>
          <w:p>
            <w:pPr>
              <w:rPr>
                <w:rFonts w:ascii="Arial" w:hAnsi="Arial" w:eastAsia="Meiryo UI" w:cs="Arial"/>
                <w:b/>
                <w:iCs/>
                <w:sz w:val="20"/>
              </w:rPr>
            </w:pPr>
            <w:r>
              <w:rPr>
                <w:rFonts w:ascii="Arial" w:hAnsi="Arial" w:eastAsia="Meiryo UI" w:cs="Arial"/>
                <w:b/>
                <w:iCs/>
                <w:sz w:val="20"/>
              </w:rPr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Número de Peça:    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pStyle w:val="para3"/>
              <w:rPr>
                <w:rFonts w:eastAsia="Meiryo UI"/>
                <w:b w:val="0"/>
                <w:bCs w:val="0"/>
                <w:color w:val="auto"/>
                <w:sz w:val="20"/>
              </w:rPr>
            </w:pPr>
            <w:r>
              <w:rPr>
                <w:rFonts w:eastAsia="Meiryo UI"/>
                <w:b w:val="0"/>
                <w:bCs w:val="0"/>
                <w:color w:val="auto"/>
                <w:sz w:val="20"/>
              </w:rPr>
              <w:t>Ver abaixo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Dimensões do Produto: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1TB/2TB: 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mm: 80(L) x 111(C) x 13.5(A) 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pol: 3.15(L) x 4.37(C) x 0.53(A)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4TB: 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mm: 80(L) x 111(C) x 19.5(A)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pol: 3.15(L) x 4.37(C) x 0.77(A)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Nome do Produto : 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Disco Rígido Portátil Externo Canvio</w:t>
            </w:r>
            <w:r>
              <w:rPr>
                <w:rFonts w:ascii="Arial" w:hAnsi="Arial" w:eastAsia="Meiryo UI" w:cs="Arial"/>
                <w:iCs/>
                <w:sz w:val="20"/>
                <w:vertAlign w:val="superscript"/>
              </w:rPr>
              <w:t xml:space="preserve">® </w:t>
            </w:r>
            <w:r>
              <w:rPr>
                <w:rFonts w:ascii="Arial" w:hAnsi="Arial" w:eastAsia="Meiryo UI" w:cs="Arial"/>
                <w:iCs/>
                <w:sz w:val="20"/>
              </w:rPr>
              <w:t xml:space="preserve">Gaming 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Peso do Produto:</w:t>
            </w:r>
          </w:p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(aproximado)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1TB/2TB: 149 g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4TB: 210 g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Cor: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pStyle w:val="para3"/>
              <w:rPr>
                <w:rFonts w:eastAsia="Meiryo UI"/>
                <w:b w:val="0"/>
                <w:bCs w:val="0"/>
                <w:color w:val="auto"/>
                <w:sz w:val="20"/>
              </w:rPr>
            </w:pPr>
            <w:r>
              <w:rPr>
                <w:rFonts w:eastAsia="Meiryo UI"/>
                <w:b w:val="0"/>
                <w:bCs w:val="0"/>
                <w:color w:val="auto"/>
                <w:sz w:val="20"/>
              </w:rPr>
              <w:t>Ver abaixo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Dimensões da Embalagem: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pStyle w:val="para15"/>
              <w:rPr>
                <w:rFonts w:eastAsia="Meiryo UI"/>
                <w:color w:val="auto"/>
                <w:sz w:val="20"/>
                <w:szCs w:val="20"/>
              </w:rPr>
            </w:pPr>
            <w:r>
              <w:rPr>
                <w:rFonts w:eastAsia="Meiryo UI"/>
                <w:color w:val="auto"/>
                <w:sz w:val="20"/>
                <w:szCs w:val="20"/>
              </w:rPr>
              <w:t>mm: 141(L) x 111(C) x 38(A)</w:t>
            </w:r>
          </w:p>
          <w:p>
            <w:pPr>
              <w:pStyle w:val="para15"/>
              <w:rPr>
                <w:rFonts w:eastAsia="Meiryo UI"/>
                <w:color w:val="auto"/>
                <w:sz w:val="20"/>
                <w:szCs w:val="20"/>
              </w:rPr>
            </w:pPr>
            <w:r>
              <w:rPr>
                <w:rFonts w:eastAsia="Meiryo UI"/>
                <w:color w:val="auto"/>
                <w:sz w:val="20"/>
                <w:szCs w:val="20"/>
              </w:rPr>
              <w:t xml:space="preserve">pol: 5.55(L) x 4.37(C) x 1.50(A)  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Código UPC: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pStyle w:val="para3"/>
              <w:rPr>
                <w:rFonts w:eastAsia="Meiryo UI"/>
                <w:b w:val="0"/>
                <w:bCs w:val="0"/>
                <w:color w:val="auto"/>
                <w:sz w:val="20"/>
              </w:rPr>
            </w:pPr>
            <w:r>
              <w:rPr>
                <w:rFonts w:eastAsia="Meiryo UI"/>
                <w:b w:val="0"/>
                <w:bCs w:val="0"/>
                <w:color w:val="auto"/>
                <w:sz w:val="20"/>
              </w:rPr>
              <w:t>Ver abaixo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Peso da Embalagem</w:t>
            </w:r>
          </w:p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(aproximado)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1TB/2TB: 241 g 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4TB: 297 g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UPC da Caixa Master: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pStyle w:val="para3"/>
              <w:rPr>
                <w:rFonts w:eastAsia="Meiryo UI"/>
                <w:b w:val="0"/>
                <w:bCs w:val="0"/>
                <w:color w:val="auto"/>
                <w:sz w:val="20"/>
              </w:rPr>
            </w:pPr>
            <w:r>
              <w:rPr>
                <w:rFonts w:eastAsia="Meiryo UI"/>
                <w:b w:val="0"/>
                <w:bCs w:val="0"/>
                <w:color w:val="auto"/>
                <w:sz w:val="20"/>
              </w:rPr>
              <w:t>Ver abaixo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Material da Embalagem: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Caixa de Varejo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Categoria do Produto: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  <w:lang w:val="sv-se"/>
              </w:rPr>
            </w:pPr>
            <w:r>
              <w:rPr>
                <w:rFonts w:ascii="Arial" w:hAnsi="Arial" w:eastAsia="Meiryo UI" w:cs="Arial"/>
                <w:iCs/>
                <w:sz w:val="20"/>
                <w:lang w:val="sv-se"/>
              </w:rPr>
              <w:t xml:space="preserve">Disco Rígido Externo; Armazenamento externo; Armazenamento portátil; Disco Rígido Portátil, Disco rígido para jogos, armazenamento de jogos, disco de jogos, 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Quantidade da Caixa Master: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5 unidades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Garantia</w:t>
            </w:r>
            <w:r>
              <w:rPr>
                <w:rFonts w:ascii="Arial" w:hAnsi="Arial" w:eastAsia="Meiryo UI" w:cs="Arial"/>
                <w:b/>
                <w:bCs/>
                <w:sz w:val="20"/>
                <w:vertAlign w:val="superscript"/>
              </w:rPr>
              <w:t>2</w:t>
            </w: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: 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Garantia limitada padrão de 2 anos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Dimensões da Caixa Master: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mm: 205(L)×123(C)×165(A)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polegadas: 8.07(L) x 4.84(C) x 6.50(A)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Data Disponível: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Outubro de 2020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Peso da Caixa Master:</w:t>
            </w:r>
          </w:p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(Aproximado)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1TB/2TB: 1.33 kg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4TB: 1.62 kg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Regiões de Venda: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  <w:lang w:val="es-es"/>
              </w:rPr>
              <w:t>EUA, Canadá, SCA</w:t>
            </w:r>
            <w:r>
              <w:rPr>
                <w:rFonts w:ascii="Arial" w:hAnsi="Arial" w:eastAsia="Meiryo UI" w:cs="Arial"/>
                <w:iCs/>
                <w:sz w:val="20"/>
              </w:rPr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Unidades por Pallet: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  <w:lang w:val="it-it"/>
              </w:rPr>
            </w:pPr>
            <w:r>
              <w:rPr>
                <w:rFonts w:ascii="Arial" w:hAnsi="Arial" w:eastAsia="Meiryo UI" w:cs="Arial"/>
                <w:iCs/>
                <w:sz w:val="20"/>
                <w:lang w:val="it-it"/>
              </w:rPr>
              <w:t>1350 pcs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Data de Embargo: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  <w:lang w:val="es-es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14 days after available date</w:t>
            </w:r>
            <w:r>
              <w:rPr>
                <w:rFonts w:ascii="Arial" w:hAnsi="Arial" w:eastAsia="Meiryo UI" w:cs="Arial"/>
                <w:iCs/>
                <w:sz w:val="20"/>
                <w:lang w:val="es-es"/>
              </w:rPr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Camadas por Pallet: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6 camadas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Quantidade Mínima de Pedido: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5 unidades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Unidades por camada: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225 pcs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País de Origem: 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Produto fabricado nas Filipinas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Reposição: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n/a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Conteúdo do Pacote:</w:t>
            </w:r>
          </w:p>
        </w:tc>
        <w:tc>
          <w:tcPr>
            <w:tcW w:w="8555" w:type="dxa"/>
            <w:gridSpan w:val="3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Disco Rígido Portátil Externo Canvio</w:t>
            </w:r>
            <w:r>
              <w:rPr>
                <w:rFonts w:ascii="Arial" w:hAnsi="Arial" w:eastAsia="Meiryo UI" w:cs="Arial"/>
                <w:iCs/>
                <w:sz w:val="20"/>
                <w:vertAlign w:val="superscript"/>
              </w:rPr>
              <w:t>®</w:t>
            </w:r>
            <w:r>
              <w:rPr>
                <w:rFonts w:ascii="Arial" w:hAnsi="Arial" w:eastAsia="Meiryo UI" w:cs="Arial"/>
                <w:iCs/>
                <w:sz w:val="20"/>
              </w:rPr>
              <w:t xml:space="preserve"> Gaming</w:t>
            </w:r>
          </w:p>
          <w:p>
            <w:pPr>
              <w:rPr>
                <w:rFonts w:ascii="Arial" w:hAnsi="Arial" w:eastAsia="Meiryo UI" w:cs="Arial"/>
                <w:iCs/>
                <w:sz w:val="20"/>
                <w:vertAlign w:val="superscript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Cabo USB, Guia de início rápido, </w:t>
            </w:r>
            <w:r>
              <w:rPr>
                <w:rFonts w:ascii="Calibri" w:hAnsi="Calibri"/>
                <w:sz w:val="22"/>
                <w:szCs w:val="22"/>
              </w:rPr>
              <w:t>Garantia limitada padrão de 2 anos</w:t>
            </w:r>
            <w:r>
              <w:rPr>
                <w:rFonts w:ascii="Arial" w:hAnsi="Arial" w:eastAsia="Meiryo UI" w:cs="Arial"/>
                <w:iCs/>
                <w:sz w:val="20"/>
                <w:vertAlign w:val="superscript"/>
              </w:rPr>
              <w:t>2</w:t>
            </w:r>
            <w:r>
              <w:rPr>
                <w:rFonts w:ascii="Arial" w:hAnsi="Arial" w:eastAsia="Meiryo UI" w:cs="Arial"/>
                <w:iCs/>
                <w:sz w:val="20"/>
                <w:vertAlign w:val="superscript"/>
              </w:rPr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Arial" w:cs="Arial"/>
                <w:b/>
                <w:bCs/>
                <w:sz w:val="20"/>
              </w:rPr>
            </w:pPr>
            <w:r>
              <w:rPr>
                <w:rFonts w:ascii="Arial" w:hAnsi="Arial" w:eastAsia="Arial" w:cs="Arial"/>
                <w:b/>
                <w:sz w:val="20"/>
              </w:rPr>
              <w:t>Requisitos do Sistema</w:t>
            </w:r>
            <w:r>
              <w:rPr>
                <w:rFonts w:ascii="Arial" w:hAnsi="Arial" w:eastAsia="Arial" w:cs="Arial"/>
                <w:b/>
                <w:bCs/>
                <w:sz w:val="20"/>
              </w:rPr>
              <w:t>:</w:t>
            </w:r>
            <w:r>
              <w:rPr>
                <w:rFonts w:ascii="Arial" w:hAnsi="Arial" w:eastAsia="Arial" w:cs="Arial"/>
                <w:b/>
                <w:bCs/>
                <w:sz w:val="20"/>
              </w:rPr>
            </w:r>
          </w:p>
        </w:tc>
        <w:tc>
          <w:tcPr>
            <w:tcW w:w="8555" w:type="dxa"/>
            <w:gridSpan w:val="3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Computadores:</w:t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Windows</w:t>
            </w:r>
            <w:r>
              <w:rPr>
                <w:rFonts w:ascii="Arial" w:hAnsi="Arial" w:eastAsia="MS Mincho"/>
                <w:sz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</w:rPr>
              <w:t xml:space="preserve"> 10, Windows</w:t>
            </w:r>
            <w:r>
              <w:rPr>
                <w:rFonts w:ascii="Arial" w:hAnsi="Arial" w:eastAsia="MS Mincho"/>
                <w:sz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</w:rPr>
              <w:t xml:space="preserve"> 8.1</w:t>
            </w:r>
          </w:p>
          <w:p>
            <w:pPr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macOS v10.15 / v10.14 / v10.13</w:t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Consoles</w:t>
            </w:r>
            <w:r>
              <w:rPr>
                <w:rFonts w:ascii="Arial" w:hAnsi="Arial" w:eastAsia="MS Mincho"/>
                <w:sz w:val="20"/>
                <w:vertAlign w:val="superscript"/>
              </w:rPr>
              <w:t>4</w:t>
            </w:r>
            <w:r>
              <w:rPr>
                <w:rFonts w:ascii="Arial" w:hAnsi="Arial" w:eastAsia="MS Mincho"/>
                <w:sz w:val="20"/>
              </w:rPr>
              <w:t>:</w:t>
            </w:r>
          </w:p>
          <w:p>
            <w:pPr>
              <w:pStyle w:val="para12"/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sz w:val="20"/>
                <w:szCs w:val="20"/>
              </w:rPr>
            </w:pPr>
            <w:r>
              <w:rPr>
                <w:rFonts w:ascii="Arial" w:hAnsi="Arial" w:eastAsia="MS Mincho"/>
                <w:sz w:val="20"/>
                <w:szCs w:val="20"/>
              </w:rPr>
              <w:t>PlayStation</w:t>
            </w:r>
            <w:r>
              <w:rPr>
                <w:rFonts w:ascii="Arial" w:hAnsi="Arial" w:eastAsia="MS Mincho"/>
                <w:sz w:val="20"/>
                <w:szCs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  <w:szCs w:val="20"/>
              </w:rPr>
            </w:r>
          </w:p>
          <w:p>
            <w:pPr>
              <w:pStyle w:val="para12"/>
              <w:numPr>
                <w:ilvl w:val="1"/>
                <w:numId w:val="26"/>
              </w:numPr>
              <w:ind w:left="1440" w:hanging="360"/>
              <w:rPr>
                <w:rFonts w:ascii="Arial" w:hAnsi="Arial" w:eastAsia="MS Mincho"/>
                <w:sz w:val="20"/>
                <w:szCs w:val="20"/>
              </w:rPr>
            </w:pPr>
            <w:r>
              <w:rPr>
                <w:rFonts w:ascii="Arial" w:hAnsi="Arial" w:eastAsia="MS Mincho"/>
                <w:sz w:val="20"/>
                <w:szCs w:val="20"/>
              </w:rPr>
              <w:t>Xbox</w:t>
            </w:r>
            <w:r>
              <w:rPr>
                <w:rFonts w:ascii="Arial" w:hAnsi="Arial" w:eastAsia="MS Mincho"/>
                <w:sz w:val="20"/>
                <w:szCs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  <w:szCs w:val="20"/>
              </w:rPr>
              <w:t xml:space="preserve"> </w:t>
            </w:r>
          </w:p>
          <w:p>
            <w:pPr>
              <w:pStyle w:val="para12"/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  <w:szCs w:val="20"/>
              </w:rPr>
            </w:pPr>
            <w:r>
              <w:rPr>
                <w:rFonts w:ascii="Arial" w:hAnsi="Arial" w:eastAsia="MS Mincho"/>
                <w:sz w:val="20"/>
                <w:szCs w:val="20"/>
              </w:rPr>
              <w:t xml:space="preserve">Verifique a compatibilidade de disposito mais recente em:    </w:t>
            </w:r>
          </w:p>
          <w:p>
            <w:pPr>
              <w:pStyle w:val="para12"/>
              <w:numPr>
                <w:ilvl w:val="1"/>
                <w:numId w:val="26"/>
              </w:numPr>
              <w:ind w:left="1440" w:hanging="360"/>
              <w:rPr>
                <w:rFonts w:ascii="Arial" w:hAnsi="Arial" w:cs="Arial"/>
                <w:sz w:val="22"/>
              </w:rPr>
            </w:pPr>
            <w:hyperlink r:id="rId8" w:history="1">
              <w:r>
                <w:rPr>
                  <w:rStyle w:val="char2"/>
                  <w:rFonts w:ascii="Arial" w:hAnsi="Arial" w:cs="Arial"/>
                  <w:sz w:val="18"/>
                </w:rPr>
                <w:t>https://www.canvio.jp/en/compati/hdd/ot_ehdd/game/index.htm</w:t>
              </w:r>
            </w:hyperlink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</w:r>
          </w:p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Porta USB 2.0 ou USB 3.0 disponível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Meio Ambiente: </w:t>
            </w:r>
          </w:p>
        </w:tc>
        <w:tc>
          <w:tcPr>
            <w:tcW w:w="8555" w:type="dxa"/>
            <w:gridSpan w:val="3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numPr>
                <w:ilvl w:val="0"/>
                <w:numId w:val="26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Compatível com RoHS</w:t>
            </w:r>
            <w:r>
              <w:rPr>
                <w:rFonts w:ascii="Arial" w:hAnsi="Arial" w:eastAsia="Meiryo UI" w:cs="Arial"/>
                <w:iCs/>
                <w:sz w:val="20"/>
                <w:vertAlign w:val="superscript"/>
              </w:rPr>
              <w:t>6</w:t>
            </w:r>
            <w:r>
              <w:rPr>
                <w:rFonts w:ascii="Arial" w:hAnsi="Arial" w:eastAsia="MS Mincho"/>
                <w:sz w:val="20"/>
              </w:rPr>
            </w:r>
          </w:p>
        </w:tc>
      </w:tr>
    </w:tbl>
    <w:p>
      <w:pPr>
        <w:rPr>
          <w:rFonts w:ascii="Arial" w:hAnsi="Arial" w:eastAsia="Meiryo UI" w:cs="Arial"/>
          <w:b/>
          <w:sz w:val="20"/>
          <w:u w:color="auto" w:val="single"/>
        </w:rPr>
      </w:pPr>
      <w:r>
        <w:rPr>
          <w:rFonts w:ascii="Arial" w:hAnsi="Arial" w:eastAsia="Meiryo UI" w:cs="Arial"/>
          <w:b/>
          <w:sz w:val="20"/>
          <w:u w:color="auto" w:val="single"/>
        </w:rPr>
      </w:r>
    </w:p>
    <w:p>
      <w:pPr>
        <w:rPr>
          <w:rFonts w:ascii="Arial" w:hAnsi="Arial" w:eastAsia="Meiryo UI" w:cs="Arial"/>
          <w:b/>
          <w:sz w:val="20"/>
          <w:u w:color="auto" w:val="single"/>
        </w:rPr>
      </w:pPr>
      <w:r>
        <w:rPr>
          <w:rFonts w:ascii="Arial" w:hAnsi="Arial" w:eastAsia="Meiryo UI" w:cs="Arial"/>
          <w:b/>
          <w:sz w:val="20"/>
          <w:u w:color="auto" w:val="single"/>
        </w:rPr>
      </w:r>
    </w:p>
    <w:p>
      <w:pPr>
        <w:rPr>
          <w:rFonts w:ascii="Arial" w:hAnsi="Arial" w:eastAsia="Meiryo UI" w:cs="Arial"/>
          <w:b/>
          <w:sz w:val="20"/>
          <w:u w:color="auto" w:val="single"/>
        </w:rPr>
      </w:pPr>
      <w:r>
        <w:rPr>
          <w:rFonts w:ascii="Arial" w:hAnsi="Arial" w:eastAsia="Meiryo UI" w:cs="Arial"/>
          <w:b/>
          <w:sz w:val="20"/>
          <w:u w:color="auto" w:val="single"/>
        </w:rPr>
      </w:r>
    </w:p>
    <w:tbl>
      <w:tblPr>
        <w:tblStyle w:val="TableNormal"/>
        <w:name w:val="Tabela5"/>
        <w:tabOrder w:val="0"/>
        <w:jc w:val="left"/>
        <w:tblInd w:w="0" w:type="dxa"/>
        <w:tblW w:w="8652" w:type="dxa"/>
        <w:tblLook w:val="0600" w:firstRow="0" w:lastRow="0" w:firstColumn="0" w:lastColumn="0" w:noHBand="1" w:noVBand="1"/>
      </w:tblPr>
      <w:tblGrid>
        <w:gridCol w:w="2085"/>
        <w:gridCol w:w="1634"/>
        <w:gridCol w:w="1461"/>
        <w:gridCol w:w="1616"/>
        <w:gridCol w:w="1856"/>
      </w:tblGrid>
      <w:tr>
        <w:trPr>
          <w:tblHeader w:val="0"/>
          <w:cantSplit w:val="0"/>
          <w:trHeight w:val="0" w:hRule="auto"/>
        </w:trPr>
        <w:tc>
          <w:tcPr>
            <w:tcW w:w="2085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Número de Peça</w:t>
            </w:r>
          </w:p>
        </w:tc>
        <w:tc>
          <w:tcPr>
            <w:tcW w:w="1634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  <w:vertAlign w:val="superscript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Capacidade</w:t>
            </w:r>
            <w:r>
              <w:rPr>
                <w:rFonts w:ascii="Arial" w:hAnsi="Arial" w:eastAsia="Meiryo UI" w:cs="Arial"/>
                <w:b/>
                <w:sz w:val="20"/>
                <w:vertAlign w:val="superscript"/>
              </w:rPr>
              <w:t>1</w:t>
            </w:r>
            <w:r>
              <w:rPr>
                <w:rFonts w:ascii="Arial" w:hAnsi="Arial" w:eastAsia="Meiryo UI" w:cs="Arial"/>
                <w:b/>
                <w:sz w:val="20"/>
                <w:vertAlign w:val="superscript"/>
              </w:rPr>
            </w:r>
          </w:p>
        </w:tc>
        <w:tc>
          <w:tcPr>
            <w:tcW w:w="1461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Cores</w:t>
            </w:r>
          </w:p>
        </w:tc>
        <w:tc>
          <w:tcPr>
            <w:tcW w:w="1616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UPC</w:t>
            </w:r>
          </w:p>
        </w:tc>
        <w:tc>
          <w:tcPr>
            <w:tcW w:w="1856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UPC da Caixa de 5 Embalagens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HDTX110XK3AA</w:t>
            </w:r>
          </w:p>
        </w:tc>
        <w:tc>
          <w:tcPr>
            <w:tcW w:w="1634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1TB</w:t>
            </w:r>
          </w:p>
        </w:tc>
        <w:tc>
          <w:tcPr>
            <w:tcW w:w="14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Preto</w:t>
            </w:r>
          </w:p>
        </w:tc>
        <w:tc>
          <w:tcPr>
            <w:tcW w:w="16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723844000820</w:t>
            </w:r>
          </w:p>
        </w:tc>
        <w:tc>
          <w:tcPr>
            <w:tcW w:w="18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10723844000827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HDTX120XK3AA</w:t>
            </w:r>
          </w:p>
        </w:tc>
        <w:tc>
          <w:tcPr>
            <w:tcW w:w="1634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2TB</w:t>
            </w:r>
          </w:p>
        </w:tc>
        <w:tc>
          <w:tcPr>
            <w:tcW w:w="14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Preto</w:t>
            </w:r>
          </w:p>
        </w:tc>
        <w:tc>
          <w:tcPr>
            <w:tcW w:w="16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723844000837</w:t>
            </w:r>
          </w:p>
        </w:tc>
        <w:tc>
          <w:tcPr>
            <w:tcW w:w="18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10723844000834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HDTX140XK3CA</w:t>
            </w:r>
          </w:p>
        </w:tc>
        <w:tc>
          <w:tcPr>
            <w:tcW w:w="1634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4TB</w:t>
            </w:r>
          </w:p>
        </w:tc>
        <w:tc>
          <w:tcPr>
            <w:tcW w:w="14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Preto</w:t>
            </w:r>
          </w:p>
        </w:tc>
        <w:tc>
          <w:tcPr>
            <w:tcW w:w="16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723844000844</w:t>
            </w:r>
          </w:p>
        </w:tc>
        <w:tc>
          <w:tcPr>
            <w:tcW w:w="18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851" protected="0"/>
          </w:tcPr>
          <w:p>
            <w:pPr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10723844000841</w:t>
            </w:r>
          </w:p>
        </w:tc>
      </w:tr>
    </w:tbl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14"/>
          <w:szCs w:val="14"/>
        </w:rPr>
      </w:pPr>
      <w:r>
        <w:rPr>
          <w:rFonts w:ascii="Arial" w:hAnsi="Arial" w:eastAsia="Meiryo UI" w:cs="Arial"/>
          <w:sz w:val="14"/>
          <w:szCs w:val="14"/>
        </w:rPr>
      </w:r>
    </w:p>
    <w:p>
      <w:pPr>
        <w:pStyle w:val="para12"/>
        <w:numPr>
          <w:ilvl w:val="0"/>
          <w:numId w:val="9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Um Gigabyte (1 GB) significa 10⁹ = 1.000.000.000 bytes, e um Terabyte (1 TB) significa 10¹² = 1.000.000.000.000 bytes, usando potências de 10. No entanto, um sistema operacional de computador relata a capacidade de armazenamento usando potências de 2 para a definição de 1 GB = 2³⁰ = 1,073,741,824 bytes e 1 TB = 2⁴⁰ = 1.099.511.627.776 bytes e, portanto, indica menor capacidade de armazenamento. A capacidade de armazenamento disponível (incluindo exemplos de vários arquivos de mídia) variará de acordo com o tamanho do arquivo, a formatação, as configurações, o software e o sistema operacional, entre outros fatores. </w:t>
      </w:r>
    </w:p>
    <w:p>
      <w:pPr>
        <w:pStyle w:val="para12"/>
        <w:numPr>
          <w:ilvl w:val="0"/>
          <w:numId w:val="9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A garantia limitada padrão de 2 (dois) anos se aplica. O folheto de garantia está pré-carregado na unidade de disco rígido ou pode ser visualizado on-line em:</w:t>
      </w:r>
      <w:hyperlink r:id="rId11" w:history="1">
        <w:r>
          <w:rPr>
            <w:rStyle w:val="char2"/>
            <w:rFonts w:ascii="Arial" w:hAnsi="Arial" w:eastAsia="Poppins" w:cs="Arial"/>
            <w:sz w:val="14"/>
            <w:szCs w:val="14"/>
          </w:rPr>
          <w:t xml:space="preserve"> http://storage.toshiba.com/consumer-hdd/support/warranty-info</w:t>
        </w:r>
      </w:hyperlink>
      <w:r>
        <w:rPr>
          <w:rFonts w:ascii="Arial" w:hAnsi="Arial" w:eastAsia="Poppins" w:cs="Arial"/>
          <w:sz w:val="14"/>
          <w:szCs w:val="14"/>
        </w:rPr>
        <w:t xml:space="preserve"> </w:t>
      </w:r>
      <w:r>
        <w:rPr>
          <w:rFonts w:ascii="Arial" w:hAnsi="Arial" w:eastAsia="Poppins" w:cs="Arial"/>
          <w:sz w:val="14"/>
          <w:szCs w:val="14"/>
        </w:rPr>
      </w:r>
    </w:p>
    <w:p>
      <w:pPr>
        <w:numPr>
          <w:ilvl w:val="0"/>
          <w:numId w:val="9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Os preços, as especificações, as configurações, as cores, os componentes, os serviços e a disponibilidade do produto estão sujeitos a alteração sem aviso prévio. </w:t>
      </w:r>
    </w:p>
    <w:p>
      <w:pPr>
        <w:numPr>
          <w:ilvl w:val="0"/>
          <w:numId w:val="9"/>
        </w:numPr>
        <w:ind w:left="360" w:hanging="360"/>
        <w:spacing w:line="276" w:lineRule="auto"/>
        <w:rPr>
          <w:rStyle w:val="char2"/>
          <w:rFonts w:ascii="Arial" w:hAnsi="Arial" w:eastAsia="Poppins" w:cs="Arial"/>
          <w:color w:val="auto"/>
          <w:sz w:val="14"/>
          <w:szCs w:val="14"/>
          <w:u w:color="auto" w:val="none"/>
        </w:rPr>
      </w:pPr>
      <w:r>
        <w:rPr>
          <w:rFonts w:ascii="Arial" w:hAnsi="Arial" w:eastAsia="Poppins" w:cs="Arial"/>
          <w:sz w:val="14"/>
          <w:szCs w:val="14"/>
        </w:rPr>
        <w:t xml:space="preserve">A compatibilidade pode variar de acordo com a configuração de hardware e o sistema operacional do usuário. Favor verificar a compatibilidade do dispositivo e instruções de conexão revisando os manuais do usuário. As informações mais recentes podem ser vistas online no endereço </w:t>
      </w:r>
      <w:hyperlink r:id="rId8" w:history="1">
        <w:r>
          <w:rPr>
            <w:rStyle w:val="char2"/>
            <w:rFonts w:ascii="Arial" w:hAnsi="Arial" w:eastAsia="Poppins" w:cs="Arial"/>
            <w:sz w:val="14"/>
            <w:szCs w:val="14"/>
          </w:rPr>
          <w:t>https://www.canvio.jp/en/compati/hdd/ot_ehdd/game/index.htm</w:t>
        </w:r>
      </w:hyperlink>
      <w:r>
        <w:rPr>
          <w:rStyle w:val="char2"/>
          <w:rFonts w:ascii="Arial" w:hAnsi="Arial" w:eastAsia="Poppins" w:cs="Arial"/>
          <w:color w:val="auto"/>
          <w:sz w:val="14"/>
          <w:szCs w:val="14"/>
          <w:u w:color="auto" w:val="none"/>
        </w:rPr>
        <w:t xml:space="preserve">  A compatibilidade é baseada nas informações atualmente disponíveis e está sujeita a </w:t>
      </w:r>
      <w:r>
        <w:rPr>
          <w:rFonts w:ascii="Arial" w:hAnsi="Arial" w:eastAsia="Poppins" w:cs="Arial"/>
          <w:sz w:val="14"/>
          <w:szCs w:val="14"/>
        </w:rPr>
        <w:t>alterações e restrições de acordo com as especificações de hardware.</w:t>
      </w:r>
      <w:r>
        <w:rPr>
          <w:rStyle w:val="char2"/>
          <w:rFonts w:ascii="Arial" w:hAnsi="Arial" w:eastAsia="Poppins" w:cs="Arial"/>
          <w:color w:val="auto"/>
          <w:sz w:val="14"/>
          <w:szCs w:val="14"/>
          <w:u w:color="auto" w:val="none"/>
        </w:rPr>
      </w:r>
    </w:p>
    <w:p>
      <w:pPr>
        <w:pStyle w:val="para12"/>
        <w:numPr>
          <w:ilvl w:val="0"/>
          <w:numId w:val="9"/>
        </w:numPr>
        <w:ind w:left="360" w:hanging="360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O armazenamento de jogos estimado é baseado nos tamanhos médios de jogos, que variam de 10 GB a 40 GB para jogos da geração atual. O número de jogos varia com base no tamanho do arquivo, formatação, outros programas e fatores. Podem ser requeridos os discos originais para verificar a propriedade dos jogos comprados e carregados do disco. Pode ser necessária uma conexão com a Internet e uma conta original do proprietário do jogo. </w:t>
      </w:r>
    </w:p>
    <w:p>
      <w:pPr>
        <w:numPr>
          <w:ilvl w:val="0"/>
          <w:numId w:val="9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Toshiba Storage &amp; Electronic Devices Solutions Company define produtos "Compatíveis com RoHS"  como produtos que (i) não contêm mais do que um valor de concentração máxima de 0,1% em peso em Materiais Homogêneos para chumbo, mercúrio, cromo hexavalente, bifenilos polibromados (PBBs) e éteres difenílicos polibromados (PBDEs) e de 0,01% em peso em Materiais Homogêneos para cádmio; ou (ii) se enquadram em qualquer uma das isenções de aplicação estabelecidas no anexo da Diretiva da RoHS (Diretiva 2011/65 / EC do Parlamento Europeu e do Conselho de 2011 sobre a restrição do uso de certas substâncias perigosas em equipamentos elétricos e eletrônicos). "Material homogêneo" significa um material de composição uniforme que não pode ser separado mecanicamente (ou seja, separado, em princípio, por ações mecânicas como desparafusamento, corte, esmagamento, moagem e / ou processos abrasivos) em diferentes materiais. Exemplos de "Materiais Homogêneos" seriam tipos particulares de plásticos, cerâmicas, vidro, metais, ligas, papel, cartão, resinas e revestimentos. </w:t>
      </w:r>
    </w:p>
    <w:p>
      <w:pPr>
        <w:numPr>
          <w:ilvl w:val="0"/>
          <w:numId w:val="9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5 Gbps é a máxima taxa de transferência de interface de acordo com as especificações do Universal Serial Bus 3.0. A taxa de transferência real varia de acordo com a configuração do sistema e outros fatores. </w:t>
      </w:r>
    </w:p>
    <w:p>
      <w:pPr>
        <w:numPr>
          <w:ilvl w:val="0"/>
          <w:numId w:val="9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A velocidade de leitura e gravação poderá variar de acordo com o dispositivo host, as condições de leitura e gravação e o tamanho do arquivo.</w:t>
      </w:r>
    </w:p>
    <w:p>
      <w:pPr>
        <w:numPr>
          <w:ilvl w:val="0"/>
          <w:numId w:val="9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Imagens ilustrativas dos produtos.</w:t>
      </w:r>
    </w:p>
    <w:p>
      <w:pPr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</w:r>
    </w:p>
    <w:p>
      <w:pPr>
        <w:numPr>
          <w:ilvl w:val="0"/>
          <w:numId w:val="30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“PlayStation” e “Xbox” são marcas registradas ou marcas comerciais da Sony Interactive Entertainment Inc. e Microsoft Corporation respectivamente.</w:t>
      </w:r>
    </w:p>
    <w:p>
      <w:pPr>
        <w:numPr>
          <w:ilvl w:val="0"/>
          <w:numId w:val="30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Windows e Microsoft são marcas comerciais ou marcas registradas da Microsoft Corporation nos Estados Unidos e/ou outros países.</w:t>
      </w:r>
    </w:p>
    <w:p>
      <w:pPr>
        <w:numPr>
          <w:ilvl w:val="0"/>
          <w:numId w:val="30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Mac, OS X, iPad, e iPad Pro são marcas da Apple Inc., registradas nos Estados Unidos e outros países.</w:t>
      </w:r>
    </w:p>
    <w:p>
      <w:pPr>
        <w:pStyle w:val="para12"/>
        <w:numPr>
          <w:ilvl w:val="0"/>
          <w:numId w:val="30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Canvio e o logotipo da Canvio são marcas comerciais ou marcas registradas da Toshiba America Electronic Components, Inc. nos Estados Unidos e em outros países.</w:t>
      </w:r>
      <w:r/>
      <w:bookmarkStart w:id="0" w:name="_GoBack"/>
      <w:bookmarkEnd w:id="0"/>
      <w:r/>
      <w:r>
        <w:rPr>
          <w:rFonts w:ascii="Arial" w:hAnsi="Arial" w:eastAsia="Poppins" w:cs="Arial"/>
          <w:sz w:val="14"/>
          <w:szCs w:val="14"/>
        </w:rPr>
        <w:t xml:space="preserve"> Todas as outras marcas comerciais são propriedade de seus respectivos dono.</w:t>
      </w:r>
      <w:r>
        <w:rPr>
          <w:rFonts w:ascii="Arial" w:hAnsi="Arial" w:eastAsia="Poppins" w:cs="Arial"/>
          <w:sz w:val="14"/>
          <w:szCs w:val="14"/>
        </w:rPr>
      </w:r>
    </w:p>
    <w:p>
      <w:pPr>
        <w:numPr>
          <w:ilvl w:val="0"/>
          <w:numId w:val="30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© 2020 Toshiba America Electronic Components, Inc. Todos direitos reservados.</w:t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color w:val="ff0000"/>
          <w:sz w:val="20"/>
        </w:rPr>
      </w:pPr>
      <w:r>
        <w:rPr>
          <w:rFonts w:ascii="Arial" w:hAnsi="Arial" w:eastAsia="Meiryo UI" w:cs="Arial"/>
          <w:color w:val="ff0000"/>
          <w:sz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2"/>
      <w:footerReference w:type="default" r:id="rId13"/>
      <w:type w:val="nextPage"/>
      <w:pgSz w:h="15840" w:w="12240"/>
      <w:pgMar w:left="990" w:top="630" w:right="990" w:bottom="810" w:footer="450"/>
      <w:paperSrc w:first="0" w:other="0" a="0" b="0"/>
      <w:pgNumType w:fmt="decimal"/>
      <w:tmGutter w:val="3"/>
      <w:mirrorMargins w:val="0"/>
      <w:tmSection w:h="-2">
        <w:tmHeader w:id="0" w:h="0" edge="720" text="0">
          <w:shd w:val="none"/>
        </w:tmHeader>
        <w:tmFooter w:id="0" w:h="0" edge="45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Meiryo UI">
    <w:panose1 w:val="020B0600070205080204"/>
    <w:charset w:val="80"/>
    <w:family w:val="swiss"/>
    <w:pitch w:val="default"/>
  </w:font>
  <w:font w:name="MS Mincho">
    <w:panose1 w:val="020B0609070205080204"/>
    <w:charset w:val="80"/>
    <w:family w:val="modern"/>
    <w:pitch w:val="default"/>
  </w:font>
  <w:font w:name="Tahoma">
    <w:panose1 w:val="020B0604030504040204"/>
    <w:charset w:val="00"/>
    <w:family w:val="swiss"/>
    <w:pitch w:val="default"/>
  </w:font>
  <w:font w:name="Poppins">
    <w:panose1 w:val="020B0604020202020204"/>
    <w:charset w:val="00"/>
    <w:family w:val="auto"/>
    <w:pitch w:val="default"/>
  </w:font>
  <w:font w:name="MS Gothic">
    <w:panose1 w:val="020B0609070205080204"/>
    <w:charset w:val="80"/>
    <w:family w:val="moder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arial 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9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© 2020 Toshiba America Electronic Components, Inc. </w:t>
    </w:r>
  </w:p>
  <w:p>
    <w:pPr>
      <w:pStyle w:val="para9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Todos os direitos reservados. As marcas registradas são propriedades de seus respectivos donos.</w:t>
    </w:r>
  </w:p>
  <w:p>
    <w:pPr>
      <w:pStyle w:val="para9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8"/>
    </w:pPr>
    <w:r>
      <w:rPr>
        <w:noProof/>
      </w:rPr>
      <w:drawing>
        <wp:anchor distT="0" distB="0" distL="114300" distR="114300" simplePos="0" relativeHeight="251659265" behindDoc="0" locked="0" layoutInCell="0" hidden="0" allowOverlap="1">
          <wp:simplePos x="0" y="0"/>
          <wp:positionH relativeFrom="margin">
            <wp:posOffset>-638175</wp:posOffset>
          </wp:positionH>
          <wp:positionV relativeFrom="paragraph">
            <wp:posOffset>-476250</wp:posOffset>
          </wp:positionV>
          <wp:extent cx="7773035" cy="902335"/>
          <wp:effectExtent l="0" t="0" r="0" b="0"/>
          <wp:wrapSquare wrapText="bothSides"/>
          <wp:docPr id="102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8"/>
                  <pic:cNvPicPr>
                    <a:picLocks noChangeAspect="1"/>
                    <a:extLst>
                      <a:ext uri="smNativeData">
                        <sm:smNativeData xmlns:sm="smNativeData" val="SMDATA_14_Iws3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QogAAAAAAAAAAAAAAAAAAAQAAABP8//8AAAAAAgAAABL9///RLwAAjQUAAAAAAAAAAAAAA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9023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0"/>
      <w:numFmt w:val="decimal"/>
      <w:suff w:val="tab"/>
      <w:lvlText w:val="*"/>
      <w:lvlJc w:val="left"/>
      <w:pPr>
        <w:ind w:left="0" w:hanging="0"/>
      </w:p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"/>
      <w:lvlJc w:val="left"/>
      <w:pPr>
        <w:ind w:left="0" w:hanging="0"/>
      </w:pPr>
      <w:rPr>
        <w:rFonts w:ascii="Wingdings" w:hAnsi="Wingdings"/>
      </w:rPr>
    </w:lvl>
    <w:lvl w:ilvl="1">
      <w:numFmt w:val="bullet"/>
      <w:suff w:val="tab"/>
      <w:lvlText w:val=""/>
      <w:lvlJc w:val="left"/>
      <w:pPr>
        <w:ind w:left="480" w:hanging="0"/>
      </w:pPr>
      <w:rPr>
        <w:rFonts w:ascii="Wingdings" w:hAnsi="Wingdings"/>
      </w:rPr>
    </w:lvl>
    <w:lvl w:ilvl="2">
      <w:numFmt w:val="bullet"/>
      <w:suff w:val="tab"/>
      <w:lvlText w:val=""/>
      <w:lvlJc w:val="left"/>
      <w:pPr>
        <w:ind w:left="960" w:hanging="0"/>
      </w:pPr>
      <w:rPr>
        <w:rFonts w:ascii="Wingdings" w:hAnsi="Wingdings"/>
      </w:rPr>
    </w:lvl>
    <w:lvl w:ilvl="3">
      <w:numFmt w:val="bullet"/>
      <w:suff w:val="tab"/>
      <w:lvlText w:val=""/>
      <w:lvlJc w:val="left"/>
      <w:pPr>
        <w:ind w:left="1440" w:hanging="0"/>
      </w:pPr>
      <w:rPr>
        <w:rFonts w:ascii="Wingdings" w:hAnsi="Wingdings"/>
      </w:rPr>
    </w:lvl>
    <w:lvl w:ilvl="4">
      <w:numFmt w:val="bullet"/>
      <w:suff w:val="tab"/>
      <w:lvlText w:val=""/>
      <w:lvlJc w:val="left"/>
      <w:pPr>
        <w:ind w:left="1920" w:hanging="0"/>
      </w:pPr>
      <w:rPr>
        <w:rFonts w:ascii="Wingdings" w:hAnsi="Wingdings"/>
      </w:rPr>
    </w:lvl>
    <w:lvl w:ilvl="5">
      <w:numFmt w:val="bullet"/>
      <w:suff w:val="tab"/>
      <w:lvlText w:val=""/>
      <w:lvlJc w:val="left"/>
      <w:pPr>
        <w:ind w:left="2400" w:hanging="0"/>
      </w:pPr>
      <w:rPr>
        <w:rFonts w:ascii="Wingdings" w:hAnsi="Wingdings"/>
      </w:rPr>
    </w:lvl>
    <w:lvl w:ilvl="6">
      <w:numFmt w:val="bullet"/>
      <w:suff w:val="tab"/>
      <w:lvlText w:val=""/>
      <w:lvlJc w:val="left"/>
      <w:pPr>
        <w:ind w:left="2880" w:hanging="0"/>
      </w:pPr>
      <w:rPr>
        <w:rFonts w:ascii="Wingdings" w:hAnsi="Wingdings"/>
      </w:rPr>
    </w:lvl>
    <w:lvl w:ilvl="7">
      <w:numFmt w:val="bullet"/>
      <w:suff w:val="tab"/>
      <w:lvlText w:val=""/>
      <w:lvlJc w:val="left"/>
      <w:pPr>
        <w:ind w:left="3360" w:hanging="0"/>
      </w:pPr>
      <w:rPr>
        <w:rFonts w:ascii="Wingdings" w:hAnsi="Wingdings"/>
      </w:rPr>
    </w:lvl>
    <w:lvl w:ilvl="8">
      <w:numFmt w:val="bullet"/>
      <w:suff w:val="tab"/>
      <w:lvlText w:val=""/>
      <w:lvlJc w:val="left"/>
      <w:pPr>
        <w:ind w:left="3840" w:hanging="0"/>
      </w:pPr>
      <w:rPr>
        <w:rFonts w:ascii="Wingdings" w:hAnsi="Wingding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Lista numerada 8"/>
    <w:lvl w:ilvl="0">
      <w:numFmt w:val="bullet"/>
      <w:suff w:val="tab"/>
      <w:lvlText w:val="•"/>
      <w:lvlJc w:val="left"/>
      <w:pPr>
        <w:ind w:left="360" w:hanging="0"/>
      </w:pPr>
      <w:rPr>
        <w:rFonts w:ascii="Arial" w:hAnsi="Arial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Arial" w:hAnsi="Arial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Arial" w:hAnsi="Arial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Arial" w:hAnsi="Arial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Arial" w:hAnsi="Arial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Arial" w:hAnsi="Arial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Arial" w:hAnsi="Arial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Arial" w:hAnsi="Arial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Arial" w:hAnsi="Arial"/>
      </w:rPr>
    </w:lvl>
  </w:abstractNum>
  <w:abstractNum w:abstractNumId="9">
    <w:multiLevelType w:val="hybridMultilevel"/>
    <w:name w:val="Lista numerada 9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0">
    <w:multiLevelType w:val="hybridMultilevel"/>
    <w:name w:val="Lista numerada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Lista numerada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Lista numerada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singleLevel"/>
    <w:name w:val="Lista numerada 13"/>
    <w:lvl w:ilvl="0">
      <w:start w:val="1"/>
      <w:numFmt w:val="decimal"/>
      <w:suff w:val="tab"/>
      <w:lvlText w:val="%1) "/>
      <w:lvlJc w:val="left"/>
      <w:pPr>
        <w:ind w:left="1440" w:hanging="0"/>
      </w:pPr>
      <w:rPr>
        <w:rFonts w:ascii="Times New Roman" w:hAnsi="Times New Roman"/>
        <w:b w:val="0"/>
        <w:sz w:val="24"/>
        <w:u w:color="auto" w:val="none"/>
      </w:rPr>
    </w:lvl>
  </w:abstractNum>
  <w:abstractNum w:abstractNumId="14">
    <w:multiLevelType w:val="hybridMultilevel"/>
    <w:name w:val="Lista numerada 1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Meiryo UI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Lista numerada 1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Lista numerada 1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Lista numerada 1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Lista numerada 18"/>
    <w:lvl w:ilvl="0">
      <w:numFmt w:val="bullet"/>
      <w:suff w:val="tab"/>
      <w:lvlText w:val="●"/>
      <w:lvlJc w:val="left"/>
      <w:pPr>
        <w:ind w:left="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72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44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16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288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60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32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04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5760" w:hanging="0"/>
      </w:pPr>
      <w:rPr>
        <w:u w:color="auto" w:val="none"/>
      </w:rPr>
    </w:lvl>
  </w:abstractNum>
  <w:abstractNum w:abstractNumId="19">
    <w:multiLevelType w:val="hybridMultilevel"/>
    <w:name w:val="Lista numerada 1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20">
    <w:multiLevelType w:val="hybridMultilevel"/>
    <w:name w:val="Lista numerada 2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21">
    <w:multiLevelType w:val="hybridMultilevel"/>
    <w:name w:val="Lista numerada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22">
    <w:multiLevelType w:val="hybridMultilevel"/>
    <w:name w:val="Lista numerada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23">
    <w:multiLevelType w:val="hybridMultilevel"/>
    <w:name w:val="Lista numerada 2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Meiryo UI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Lista numerada 24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  <w:sz w:val="20"/>
      </w:rPr>
    </w:lvl>
    <w:lvl w:ilvl="1">
      <w:numFmt w:val="bullet"/>
      <w:suff w:val="tab"/>
      <w:lvlText w:val=""/>
      <w:lvlJc w:val="left"/>
      <w:pPr>
        <w:ind w:left="720" w:hanging="0"/>
      </w:pPr>
      <w:rPr>
        <w:rFonts w:ascii="Symbol" w:hAnsi="Symbol"/>
        <w:sz w:val="20"/>
      </w:rPr>
    </w:lvl>
    <w:lvl w:ilvl="2">
      <w:numFmt w:val="bullet"/>
      <w:suff w:val="tab"/>
      <w:lvlText w:val=""/>
      <w:lvlJc w:val="left"/>
      <w:pPr>
        <w:ind w:left="1440" w:hanging="0"/>
      </w:pPr>
      <w:rPr>
        <w:rFonts w:ascii="Symbol" w:hAnsi="Symbol"/>
        <w:sz w:val="20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  <w:sz w:val="20"/>
      </w:rPr>
    </w:lvl>
    <w:lvl w:ilvl="4">
      <w:numFmt w:val="bullet"/>
      <w:suff w:val="tab"/>
      <w:lvlText w:val=""/>
      <w:lvlJc w:val="left"/>
      <w:pPr>
        <w:ind w:left="2880" w:hanging="0"/>
      </w:pPr>
      <w:rPr>
        <w:rFonts w:ascii="Symbol" w:hAnsi="Symbol"/>
        <w:sz w:val="20"/>
      </w:rPr>
    </w:lvl>
    <w:lvl w:ilvl="5">
      <w:numFmt w:val="bullet"/>
      <w:suff w:val="tab"/>
      <w:lvlText w:val=""/>
      <w:lvlJc w:val="left"/>
      <w:pPr>
        <w:ind w:left="3600" w:hanging="0"/>
      </w:pPr>
      <w:rPr>
        <w:rFonts w:ascii="Symbol" w:hAnsi="Symbol"/>
        <w:sz w:val="20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  <w:sz w:val="20"/>
      </w:rPr>
    </w:lvl>
    <w:lvl w:ilvl="7">
      <w:numFmt w:val="bullet"/>
      <w:suff w:val="tab"/>
      <w:lvlText w:val=""/>
      <w:lvlJc w:val="left"/>
      <w:pPr>
        <w:ind w:left="5040" w:hanging="0"/>
      </w:pPr>
      <w:rPr>
        <w:rFonts w:ascii="Symbol" w:hAnsi="Symbol"/>
        <w:sz w:val="20"/>
      </w:rPr>
    </w:lvl>
    <w:lvl w:ilvl="8">
      <w:numFmt w:val="bullet"/>
      <w:suff w:val="tab"/>
      <w:lvlText w:val=""/>
      <w:lvlJc w:val="left"/>
      <w:pPr>
        <w:ind w:left="5760" w:hanging="0"/>
      </w:pPr>
      <w:rPr>
        <w:rFonts w:ascii="Symbol" w:hAnsi="Symbol"/>
        <w:sz w:val="20"/>
      </w:rPr>
    </w:lvl>
  </w:abstractNum>
  <w:abstractNum w:abstractNumId="25">
    <w:multiLevelType w:val="hybridMultilevel"/>
    <w:name w:val="Lista numerada 2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6">
    <w:multiLevelType w:val="hybridMultilevel"/>
    <w:name w:val="Lista numerada 2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7">
    <w:multiLevelType w:val="hybridMultilevel"/>
    <w:name w:val="Lista numerada 2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28">
    <w:multiLevelType w:val="hybridMultilevel"/>
    <w:name w:val="Lista numerada 2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29">
    <w:multiLevelType w:val="hybridMultilevel"/>
    <w:name w:val="Lista numerada 2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0">
    <w:multiLevelType w:val="hybridMultilevel"/>
    <w:name w:val="Lista numerada 30"/>
    <w:lvl w:ilvl="0">
      <w:numFmt w:val="bullet"/>
      <w:suff w:val="tab"/>
      <w:lvlText w:val="●"/>
      <w:lvlJc w:val="left"/>
      <w:pPr>
        <w:ind w:left="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72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44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16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288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60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32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04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5760" w:hanging="0"/>
      </w:pPr>
      <w:rPr>
        <w:u w:color="auto" w:val="none"/>
      </w:rPr>
    </w:lvl>
  </w:abstractNum>
  <w:abstractNum w:abstractNumId="31">
    <w:multiLevelType w:val="hybridMultilevel"/>
    <w:name w:val="Lista numerada 3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2">
    <w:multiLevelType w:val="hybridMultilevel"/>
    <w:name w:val="Lista numerada 3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33">
    <w:multiLevelType w:val="hybridMultilevel"/>
    <w:name w:val="Lista numerada 3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34">
    <w:multiLevelType w:val="singleLevel"/>
    <w:name w:val="Lista numerada 34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35">
    <w:multiLevelType w:val="hybridMultilevel"/>
    <w:name w:val="Lista numerada 3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36">
    <w:multiLevelType w:val="hybridMultilevel"/>
    <w:name w:val="Lista numerada 36"/>
    <w:lvl w:ilvl="0">
      <w:numFmt w:val="bullet"/>
      <w:suff w:val="tab"/>
      <w:lvlText w:val="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"/>
      <w:lvlJc w:val="left"/>
      <w:pPr>
        <w:ind w:left="1080" w:hanging="0"/>
      </w:pPr>
      <w:rPr>
        <w:rFonts w:ascii="Wingdings" w:hAnsi="Wingdings"/>
      </w:rPr>
    </w:lvl>
    <w:lvl w:ilvl="2">
      <w:numFmt w:val="bullet"/>
      <w:suff w:val="tab"/>
      <w:lvlText w:val=""/>
      <w:lvlJc w:val="left"/>
      <w:pPr>
        <w:ind w:left="1800" w:hanging="0"/>
      </w:pPr>
      <w:rPr>
        <w:rFonts w:ascii="Wingdings" w:hAnsi="Wingdings"/>
      </w:rPr>
    </w:lvl>
    <w:lvl w:ilvl="3">
      <w:numFmt w:val="bullet"/>
      <w:suff w:val="tab"/>
      <w:lvlText w:val="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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"/>
      <w:lvlJc w:val="left"/>
      <w:pPr>
        <w:ind w:left="3960" w:hanging="0"/>
      </w:pPr>
      <w:rPr>
        <w:rFonts w:ascii="Wingdings" w:hAnsi="Wingdings"/>
      </w:rPr>
    </w:lvl>
    <w:lvl w:ilvl="6">
      <w:numFmt w:val="bullet"/>
      <w:suff w:val="tab"/>
      <w:lvlText w:val=""/>
      <w:lvlJc w:val="left"/>
      <w:pPr>
        <w:ind w:left="4680" w:hanging="0"/>
      </w:pPr>
      <w:rPr>
        <w:rFonts w:ascii="Wingdings" w:hAnsi="Wingdings"/>
      </w:rPr>
    </w:lvl>
    <w:lvl w:ilvl="7">
      <w:numFmt w:val="bullet"/>
      <w:suff w:val="tab"/>
      <w:lvlText w:val=""/>
      <w:lvlJc w:val="left"/>
      <w:pPr>
        <w:ind w:left="5400" w:hanging="0"/>
      </w:pPr>
      <w:rPr>
        <w:rFonts w:ascii="Wingdings" w:hAnsi="Wingdings"/>
      </w:rPr>
    </w:lvl>
    <w:lvl w:ilvl="8">
      <w:numFmt w:val="bullet"/>
      <w:suff w:val="tab"/>
      <w:lvlText w:val=""/>
      <w:lvlJc w:val="left"/>
      <w:pPr>
        <w:ind w:left="6120" w:hanging="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7442851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Calibri" w:cs="Times New Roman"/>
        <w:sz w:val="20"/>
        <w:szCs w:val="20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>
    <w:name w:val="heading 1"/>
    <w:qFormat/>
    <w:basedOn w:val="para0"/>
    <w:next w:val="para0"/>
    <w:pPr>
      <w:keepNext/>
      <w:outlineLvl w:val="0"/>
    </w:pPr>
    <w:rPr>
      <w:b/>
      <w:sz w:val="28"/>
    </w:rPr>
  </w:style>
  <w:style w:type="paragraph" w:styleId="para2">
    <w:name w:val="heading 2"/>
    <w:qFormat/>
    <w:basedOn w:val="para0"/>
    <w:next w:val="para0"/>
    <w:pPr>
      <w:keepNext/>
      <w:outlineLvl w:val="1"/>
    </w:pPr>
    <w:rPr>
      <w:rFonts w:ascii="Arial" w:hAnsi="Arial" w:cs="Arial"/>
      <w:b/>
      <w:bCs/>
      <w:color w:val="ff0000"/>
    </w:rPr>
  </w:style>
  <w:style w:type="paragraph" w:styleId="para3">
    <w:name w:val="heading 3"/>
    <w:qFormat/>
    <w:basedOn w:val="para0"/>
    <w:next w:val="para0"/>
    <w:pPr>
      <w:keepNext/>
      <w:outlineLvl w:val="2"/>
    </w:pPr>
    <w:rPr>
      <w:rFonts w:ascii="Arial" w:hAnsi="Arial" w:cs="Arial"/>
      <w:b/>
      <w:bCs/>
      <w:iCs/>
      <w:color w:val="0000ff"/>
      <w:sz w:val="22"/>
    </w:rPr>
  </w:style>
  <w:style w:type="paragraph" w:styleId="para4">
    <w:name w:val="Body Text"/>
    <w:qFormat/>
    <w:basedOn w:val="para0"/>
    <w:pPr>
      <w:tabs defTabSz="720">
        <w:tab w:val="left" w:pos="5850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5">
    <w:name w:val="Body Text 2"/>
    <w:qFormat/>
    <w:basedOn w:val="para0"/>
    <w:pPr>
      <w:tabs defTabSz="720">
        <w:tab w:val="left" w:pos="5850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</w:rPr>
  </w:style>
  <w:style w:type="paragraph" w:styleId="para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</w:rPr>
  </w:style>
  <w:style w:type="paragraph" w:styleId="para7" w:customStyle="1">
    <w:name w:val="Blockquote"/>
    <w:qFormat/>
    <w:basedOn w:val="para0"/>
    <w:pPr>
      <w:ind w:left="360" w:right="360"/>
      <w:spacing w:before="100" w:after="100"/>
    </w:pPr>
  </w:style>
  <w:style w:type="paragraph" w:styleId="para8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9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10">
    <w:name w:val="Body Text 3"/>
    <w:qFormat/>
    <w:basedOn w:val="para0"/>
    <w:rPr>
      <w:rFonts w:ascii="Arial" w:hAnsi="Arial" w:cs="Arial"/>
      <w:sz w:val="22"/>
    </w:rPr>
  </w:style>
  <w:style w:type="paragraph" w:styleId="para11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2">
    <w:name w:val="List Paragraph"/>
    <w:qFormat/>
    <w:basedOn w:val="para0"/>
    <w:pPr>
      <w:ind w:left="720"/>
      <w:contextualSpacing/>
    </w:pPr>
    <w:rPr>
      <w:rFonts w:eastAsia="Times New Roman"/>
      <w:szCs w:val="24"/>
    </w:rPr>
  </w:style>
  <w:style w:type="paragraph" w:styleId="para13" w:customStyle="1">
    <w:name w:val="annotation text"/>
    <w:qFormat/>
    <w:basedOn w:val="para0"/>
    <w:rPr>
      <w:sz w:val="20"/>
    </w:rPr>
  </w:style>
  <w:style w:type="paragraph" w:styleId="para14" w:customStyle="1">
    <w:name w:val="annotation subject"/>
    <w:qFormat/>
    <w:basedOn w:val="para13"/>
    <w:next w:val="para13"/>
    <w:rPr>
      <w:b/>
      <w:bCs/>
    </w:rPr>
  </w:style>
  <w:style w:type="paragraph" w:styleId="para15" w:customStyle="1">
    <w:name w:val="Default"/>
    <w:qFormat/>
    <w:pPr>
      <w:widowControl w:val="0"/>
    </w:pPr>
    <w:rPr>
      <w:rFonts w:ascii="Arial" w:hAnsi="Arial" w:eastAsia="Calibri" w:cs="Arial"/>
      <w:color w:val="000000"/>
      <w:sz w:val="24"/>
      <w:szCs w:val="24"/>
      <w:lang w:val="en-us" w:eastAsia="ja-jp" w:bidi="ar-sa"/>
    </w:rPr>
  </w:style>
  <w:style w:type="paragraph" w:styleId="para16" w:customStyle="1">
    <w:name w:val="Revision"/>
    <w:qFormat/>
    <w:rPr>
      <w:rFonts w:eastAsia="Calibri"/>
      <w:sz w:val="24"/>
      <w:lang w:val="en-us" w:eastAsia="ja-jp" w:bidi="ar-sa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Comment Text Char"/>
    <w:basedOn w:val="char0"/>
  </w:style>
  <w:style w:type="character" w:styleId="char5" w:customStyle="1">
    <w:name w:val="Comment Subject Char"/>
    <w:basedOn w:val="char4"/>
    <w:rPr>
      <w:b/>
      <w:bCs/>
    </w:rPr>
  </w:style>
  <w:style w:type="character" w:styleId="char6" w:customStyle="1">
    <w:name w:val="Footer Char"/>
    <w:basedOn w:val="char0"/>
    <w:rPr>
      <w:sz w:val="24"/>
    </w:rPr>
  </w:style>
  <w:style w:type="character" w:styleId="char7" w:customStyle="1">
    <w:name w:val="Header Char"/>
    <w:basedOn w:val="char0"/>
    <w:rPr>
      <w:sz w:val="24"/>
    </w:rPr>
  </w:style>
  <w:style w:type="character" w:styleId="char8">
    <w:name w:val="FollowedHyperlink"/>
    <w:basedOn w:val="char0"/>
    <w:rPr>
      <w:color w:val="8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Calibri" w:cs="Times New Roman"/>
        <w:sz w:val="20"/>
        <w:szCs w:val="20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>
    <w:name w:val="heading 1"/>
    <w:qFormat/>
    <w:basedOn w:val="para0"/>
    <w:next w:val="para0"/>
    <w:pPr>
      <w:keepNext/>
      <w:outlineLvl w:val="0"/>
    </w:pPr>
    <w:rPr>
      <w:b/>
      <w:sz w:val="28"/>
    </w:rPr>
  </w:style>
  <w:style w:type="paragraph" w:styleId="para2">
    <w:name w:val="heading 2"/>
    <w:qFormat/>
    <w:basedOn w:val="para0"/>
    <w:next w:val="para0"/>
    <w:pPr>
      <w:keepNext/>
      <w:outlineLvl w:val="1"/>
    </w:pPr>
    <w:rPr>
      <w:rFonts w:ascii="Arial" w:hAnsi="Arial" w:cs="Arial"/>
      <w:b/>
      <w:bCs/>
      <w:color w:val="ff0000"/>
    </w:rPr>
  </w:style>
  <w:style w:type="paragraph" w:styleId="para3">
    <w:name w:val="heading 3"/>
    <w:qFormat/>
    <w:basedOn w:val="para0"/>
    <w:next w:val="para0"/>
    <w:pPr>
      <w:keepNext/>
      <w:outlineLvl w:val="2"/>
    </w:pPr>
    <w:rPr>
      <w:rFonts w:ascii="Arial" w:hAnsi="Arial" w:cs="Arial"/>
      <w:b/>
      <w:bCs/>
      <w:iCs/>
      <w:color w:val="0000ff"/>
      <w:sz w:val="22"/>
    </w:rPr>
  </w:style>
  <w:style w:type="paragraph" w:styleId="para4">
    <w:name w:val="Body Text"/>
    <w:qFormat/>
    <w:basedOn w:val="para0"/>
    <w:pPr>
      <w:tabs defTabSz="720">
        <w:tab w:val="left" w:pos="5850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5">
    <w:name w:val="Body Text 2"/>
    <w:qFormat/>
    <w:basedOn w:val="para0"/>
    <w:pPr>
      <w:tabs defTabSz="720">
        <w:tab w:val="left" w:pos="5850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</w:rPr>
  </w:style>
  <w:style w:type="paragraph" w:styleId="para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</w:rPr>
  </w:style>
  <w:style w:type="paragraph" w:styleId="para7" w:customStyle="1">
    <w:name w:val="Blockquote"/>
    <w:qFormat/>
    <w:basedOn w:val="para0"/>
    <w:pPr>
      <w:ind w:left="360" w:right="360"/>
      <w:spacing w:before="100" w:after="100"/>
    </w:pPr>
  </w:style>
  <w:style w:type="paragraph" w:styleId="para8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9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10">
    <w:name w:val="Body Text 3"/>
    <w:qFormat/>
    <w:basedOn w:val="para0"/>
    <w:rPr>
      <w:rFonts w:ascii="Arial" w:hAnsi="Arial" w:cs="Arial"/>
      <w:sz w:val="22"/>
    </w:rPr>
  </w:style>
  <w:style w:type="paragraph" w:styleId="para11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2">
    <w:name w:val="List Paragraph"/>
    <w:qFormat/>
    <w:basedOn w:val="para0"/>
    <w:pPr>
      <w:ind w:left="720"/>
      <w:contextualSpacing/>
    </w:pPr>
    <w:rPr>
      <w:rFonts w:eastAsia="Times New Roman"/>
      <w:szCs w:val="24"/>
    </w:rPr>
  </w:style>
  <w:style w:type="paragraph" w:styleId="para13" w:customStyle="1">
    <w:name w:val="annotation text"/>
    <w:qFormat/>
    <w:basedOn w:val="para0"/>
    <w:rPr>
      <w:sz w:val="20"/>
    </w:rPr>
  </w:style>
  <w:style w:type="paragraph" w:styleId="para14" w:customStyle="1">
    <w:name w:val="annotation subject"/>
    <w:qFormat/>
    <w:basedOn w:val="para13"/>
    <w:next w:val="para13"/>
    <w:rPr>
      <w:b/>
      <w:bCs/>
    </w:rPr>
  </w:style>
  <w:style w:type="paragraph" w:styleId="para15" w:customStyle="1">
    <w:name w:val="Default"/>
    <w:qFormat/>
    <w:pPr>
      <w:widowControl w:val="0"/>
    </w:pPr>
    <w:rPr>
      <w:rFonts w:ascii="Arial" w:hAnsi="Arial" w:eastAsia="Calibri" w:cs="Arial"/>
      <w:color w:val="000000"/>
      <w:sz w:val="24"/>
      <w:szCs w:val="24"/>
      <w:lang w:val="en-us" w:eastAsia="ja-jp" w:bidi="ar-sa"/>
    </w:rPr>
  </w:style>
  <w:style w:type="paragraph" w:styleId="para16" w:customStyle="1">
    <w:name w:val="Revision"/>
    <w:qFormat/>
    <w:rPr>
      <w:rFonts w:eastAsia="Calibri"/>
      <w:sz w:val="24"/>
      <w:lang w:val="en-us" w:eastAsia="ja-jp" w:bidi="ar-sa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Comment Text Char"/>
    <w:basedOn w:val="char0"/>
  </w:style>
  <w:style w:type="character" w:styleId="char5" w:customStyle="1">
    <w:name w:val="Comment Subject Char"/>
    <w:basedOn w:val="char4"/>
    <w:rPr>
      <w:b/>
      <w:bCs/>
    </w:rPr>
  </w:style>
  <w:style w:type="character" w:styleId="char6" w:customStyle="1">
    <w:name w:val="Footer Char"/>
    <w:basedOn w:val="char0"/>
    <w:rPr>
      <w:sz w:val="24"/>
    </w:rPr>
  </w:style>
  <w:style w:type="character" w:styleId="char7" w:customStyle="1">
    <w:name w:val="Header Char"/>
    <w:basedOn w:val="char0"/>
    <w:rPr>
      <w:sz w:val="24"/>
    </w:rPr>
  </w:style>
  <w:style w:type="character" w:styleId="char8">
    <w:name w:val="FollowedHyperlink"/>
    <w:basedOn w:val="char0"/>
    <w:rPr>
      <w:color w:val="8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canvio.jp/en/compati/hdd/ot_ehdd/game/index.ht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storage.toshiba.com/consumer-hdd/support/warranty-info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Name:</dc:title>
  <dc:subject/>
  <dc:creator>mmascenik@itp-usa.com</dc:creator>
  <cp:keywords/>
  <dc:description/>
  <cp:lastModifiedBy>bruno abreu</cp:lastModifiedBy>
  <cp:revision>8</cp:revision>
  <cp:lastPrinted>2019-12-18T22:40:00Z</cp:lastPrinted>
  <dcterms:created xsi:type="dcterms:W3CDTF">2020-08-13T02:08:00Z</dcterms:created>
  <dcterms:modified xsi:type="dcterms:W3CDTF">2020-08-14T22:07:31Z</dcterms:modified>
</cp:coreProperties>
</file>