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3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Projeto Usinas de Geração de Energia</w:t>
      </w:r>
    </w:p>
    <w:p w:rsidR="00000000" w:rsidDel="00000000" w:rsidP="00000000" w:rsidRDefault="00000000" w:rsidRPr="00000000" w14:paraId="00000002">
      <w:pPr>
        <w:spacing w:after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 Inicial:</w:t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tl w:val="0"/>
        </w:rPr>
        <w:t>Este plano tem como objetivo definir as atividades necessárias para conceber, desenvolver, testar e transferir soluções de segurança criptográfica aplicáveis a usinas de geração de energia.</w:t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  <w:t>O projeto está organizado em duas frentes tecnológicas. A primeira trata de arquitetura, inventário, criptoagilidade e proxy. A segunda trata da avaliação e integração com Distribuição Quântica de Chaves (QKD).</w:t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Etapas:</w:t>
      </w:r>
    </w:p>
    <w:p w:rsidR="00000000" w:rsidDel="00000000" w:rsidP="00000000" w:rsidRDefault="00000000" w:rsidRPr="00000000" w14:paraId="00000008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Benchmarking e Informacional</w:t>
      </w:r>
    </w:p>
    <w:p w:rsidR="00000000" w:rsidDel="00000000" w:rsidP="00000000" w:rsidRDefault="00000000" w:rsidRPr="00000000" w14:paraId="00000009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Conceitual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ind w:left="108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Testes</w:t>
      </w:r>
    </w:p>
    <w:p w:rsidR="00000000" w:rsidDel="00000000" w:rsidP="00000000" w:rsidRDefault="00000000" w:rsidRPr="00000000" w14:paraId="0000000C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5. Transferência de Tecnologia</w:t>
      </w:r>
    </w:p>
    <w:p w:rsidR="00000000" w:rsidDel="00000000" w:rsidP="00000000" w:rsidRDefault="00000000" w:rsidRPr="00000000" w14:paraId="0000000D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952oyaq7rc0" w:id="0"/>
      <w:bookmarkEnd w:id="0"/>
      <w:r w:rsidDel="00000000" w:rsidR="00000000" w:rsidRPr="00000000">
        <w:rPr>
          <w:rtl w:val="0"/>
        </w:rPr>
        <w:t>1. Benchmarking e Informacional</w:t>
      </w:r>
    </w:p>
    <w:p>
      <w:pPr/>
      <w:r>
        <w:t>Consolidar referências, requisitos e arquiteturas relevantes para orientar as decisões das fases seguintes e nivelar o conhecimento das equipes.</w:t>
      </w:r>
    </w:p>
    <w:p w:rsidR="00000000" w:rsidDel="00000000" w:rsidP="00000000" w:rsidRDefault="00000000" w:rsidRPr="00000000" w14:paraId="00000010">
      <w:pPr>
        <w:pStyle w:val="Heading4"/>
        <w:numPr>
          <w:ilvl w:val="0"/>
          <w:numId w:val="1"/>
        </w:numPr>
        <w:spacing w:after="0" w:afterAutospacing="0"/>
        <w:ind w:left="720" w:hanging="360"/>
        <w:rPr>
          <w:color w:val="000000"/>
        </w:rPr>
      </w:pPr>
      <w:bookmarkStart w:colFirst="0" w:colLast="0" w:name="_4qoikzmf1e5o" w:id="1"/>
      <w:bookmarkEnd w:id="1"/>
      <w:r w:rsidDel="00000000" w:rsidR="00000000" w:rsidRPr="00000000">
        <w:rPr>
          <w:color w:val="000000"/>
          <w:rtl w:val="0"/>
        </w:rPr>
        <w:t xml:space="preserve">Levantamento de estado da arte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>Levantamento de requisitos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>Levantamento de arquiteturas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>Treinamento e capacitação das equipes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2wqypo7hh9v" w:id="2"/>
      <w:bookmarkEnd w:id="2"/>
      <w:r w:rsidDel="00000000" w:rsidR="00000000" w:rsidRPr="00000000">
        <w:rPr>
          <w:rtl w:val="0"/>
        </w:rPr>
        <w:t xml:space="preserve">2. Conceitual</w:t>
      </w:r>
    </w:p>
    <w:p>
      <w:pPr/>
      <w:r>
        <w:t>Definir a arquitetura-alvo, a governança e o planejamento da evolução criptográfica antes da implementação.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h4hquo5twkl0" w:id="3"/>
      <w:bookmarkEnd w:id="3"/>
      <w:r w:rsidDel="00000000" w:rsidR="00000000" w:rsidRPr="00000000">
        <w:rPr>
          <w:rtl w:val="0"/>
        </w:rPr>
        <w:t xml:space="preserve">2.1 Definição e Detalhamento da Arquitetura</w:t>
      </w:r>
    </w:p>
    <w:p>
      <w:pPr/>
      <w:r>
        <w:t>Mapear a situação atual e definir a arquitetura-alvo e de transição para os ambientes de TI e tecnologia operacional das usinas.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Identificar ativos, aplicações, redes, fluxos críticos, protocolos e limites de confiança.</w:t>
      </w:r>
    </w:p>
    <w:p>
      <w:pPr>
        <w:numPr>
          <w:ilvl w:val="0"/>
          <w:numId w:val="1"/>
        </w:numPr>
        <w:ind w:left="720" w:hanging="360"/>
      </w:pPr>
      <w:r>
        <w:t>Definir os componentes de proxy, gestão de certificados e chaves, inventário e monitoração.</w:t>
      </w:r>
    </w:p>
    <w:p>
      <w:pPr>
        <w:numPr>
          <w:ilvl w:val="0"/>
          <w:numId w:val="1"/>
        </w:numPr>
        <w:ind w:left="720" w:hanging="360"/>
      </w:pPr>
      <w:r>
        <w:t>Definir requisitos de disponibilidade, latência, auditoria, recuperação e rollback.</w:t>
      </w:r>
    </w:p>
    <w:p>
      <w:pPr>
        <w:numPr>
          <w:ilvl w:val="0"/>
          <w:numId w:val="1"/>
        </w:numPr>
        <w:ind w:left="720" w:hanging="360"/>
      </w:pPr>
      <w:r>
        <w:t>Validar a arquitetura com segurança, engenharia, operação e responsáveis pelas aplicações.</w:t>
      </w:r>
    </w:p>
    <w:p>
      <w:pPr>
        <w:keepNext w:val="0"/>
      </w:pPr>
      <w:r>
        <w:rPr>
          <w:b/>
        </w:rPr>
        <w:t xml:space="preserve">Estimativa: </w:t>
      </w:r>
      <w:r>
        <w:t>3 a 5 semanas.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4s8751pgasxa" w:id="4"/>
      <w:bookmarkEnd w:id="4"/>
      <w:r w:rsidDel="00000000" w:rsidR="00000000" w:rsidRPr="00000000">
        <w:rPr>
          <w:rtl w:val="0"/>
        </w:rPr>
        <w:t>2.2 Governança e Criptoagilidade</w:t>
      </w:r>
    </w:p>
    <w:p>
      <w:pPr/>
      <w:r>
        <w:t>Estabelecer a capacidade de substituir algoritmos, bibliotecas, certificados e provedores sem alterações extensas nas aplicações e sem interrupções desnecessárias.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Definir responsáveis, processo de decisão, exceções e comunicação das mudanças criptográficas.</w:t>
      </w:r>
    </w:p>
    <w:p>
      <w:pPr>
        <w:numPr>
          <w:ilvl w:val="0"/>
          <w:numId w:val="1"/>
        </w:numPr>
        <w:ind w:left="720" w:hanging="360"/>
      </w:pPr>
      <w:r>
        <w:t>Criar uma política com mecanismos permitidos, transitórios e proibidos.</w:t>
      </w:r>
    </w:p>
    <w:p>
      <w:pPr>
        <w:numPr>
          <w:ilvl w:val="0"/>
          <w:numId w:val="1"/>
        </w:numPr>
        <w:ind w:left="720" w:hanging="360"/>
      </w:pPr>
      <w:r>
        <w:t>Traduzir a política em perfis técnicos aplicáveis por configuração ou automação, quando possível.</w:t>
      </w:r>
    </w:p>
    <w:p>
      <w:pPr>
        <w:numPr>
          <w:ilvl w:val="0"/>
          <w:numId w:val="1"/>
        </w:numPr>
        <w:ind w:left="720" w:hanging="360"/>
      </w:pPr>
      <w:r>
        <w:t>Definir indicadores de cobertura, conformidade, tempo, custo e facilidade de migração.</w:t>
      </w:r>
    </w:p>
    <w:p>
      <w:pPr>
        <w:numPr>
          <w:ilvl w:val="0"/>
          <w:numId w:val="1"/>
        </w:numPr>
        <w:ind w:left="720" w:hanging="360"/>
      </w:pPr>
      <w:r>
        <w:t>Planejar exercícios periódicos de troca, coexistência e rollback.</w:t>
      </w:r>
    </w:p>
    <w:p>
      <w:pPr>
        <w:keepNext w:val="0"/>
      </w:pPr>
      <w:r>
        <w:rPr>
          <w:b/>
        </w:rPr>
        <w:t xml:space="preserve">Estimativa: </w:t>
      </w:r>
      <w:r>
        <w:t>3 a 5 semanas.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opp6264oh9bx" w:id="5"/>
      <w:bookmarkEnd w:id="5"/>
      <w:r w:rsidDel="00000000" w:rsidR="00000000" w:rsidRPr="00000000">
        <w:rPr>
          <w:rtl w:val="0"/>
        </w:rPr>
        <w:t xml:space="preserve">2.3 Inventário Lógico, Físico e Criptográfico</w:t>
      </w:r>
    </w:p>
    <w:p>
      <w:pPr/>
      <w:r>
        <w:t>Criar uma visão consolidada do uso de criptografia, relacionando dados críticos aos ativos e componentes que os protegem.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Inventariar algoritmos, protocolos, bibliotecas, certificados, chaves, hardware e firmware.</w:t>
      </w:r>
    </w:p>
    <w:p>
      <w:pPr>
        <w:numPr>
          <w:ilvl w:val="0"/>
          <w:numId w:val="1"/>
        </w:numPr>
        <w:ind w:left="720" w:hanging="360"/>
      </w:pPr>
      <w:r>
        <w:t>Relacionar os itens aos dados protegidos, proprietários, criticidade, exposição e fornecedores.</w:t>
      </w:r>
    </w:p>
    <w:p>
      <w:pPr>
        <w:numPr>
          <w:ilvl w:val="0"/>
          <w:numId w:val="1"/>
        </w:numPr>
        <w:ind w:left="720" w:hanging="360"/>
      </w:pPr>
      <w:r>
        <w:t>Registrar expiração, fim de suporte, capacidade de atualização e dificuldade de migração.</w:t>
      </w:r>
    </w:p>
    <w:p>
      <w:pPr>
        <w:numPr>
          <w:ilvl w:val="0"/>
          <w:numId w:val="1"/>
        </w:numPr>
        <w:ind w:left="720" w:hanging="360"/>
      </w:pPr>
      <w:r>
        <w:t>Definir coleta recorrente e integração com os inventários corporativos existentes.</w:t>
      </w:r>
    </w:p>
    <w:p>
      <w:pPr>
        <w:keepNext w:val="0"/>
      </w:pPr>
      <w:r>
        <w:rPr>
          <w:b/>
        </w:rPr>
        <w:t xml:space="preserve">Estimativa: </w:t>
      </w:r>
      <w:r>
        <w:t>4 a 7 semanas.</w:t>
      </w:r>
    </w:p>
    <w:p w:rsidR="00000000" w:rsidDel="00000000" w:rsidP="00000000" w:rsidRDefault="00000000" w:rsidRPr="00000000" w14:paraId="0000001A">
      <w:pPr>
        <w:pStyle w:val="Heading4"/>
        <w:rPr/>
      </w:pPr>
      <w:bookmarkStart w:colFirst="0" w:colLast="0" w:name="_7odypcbho6z4" w:id="6"/>
      <w:bookmarkEnd w:id="6"/>
      <w:r w:rsidDel="00000000" w:rsidR="00000000" w:rsidRPr="00000000">
        <w:rPr>
          <w:rtl w:val="0"/>
        </w:rPr>
        <w:t xml:space="preserve">2.4 Planejamento Criptográfico</w:t>
      </w:r>
    </w:p>
    <w:p>
      <w:pPr/>
      <w:r>
        <w:t>Transformar a política, o inventário e os riscos em um roadmap de correções, modernização e migração.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Priorizar ativos conforme criticidade dos dados, exposição e urgência da substituição.</w:t>
      </w:r>
    </w:p>
    <w:p>
      <w:pPr>
        <w:numPr>
          <w:ilvl w:val="0"/>
          <w:numId w:val="1"/>
        </w:numPr>
        <w:ind w:left="720" w:hanging="360"/>
      </w:pPr>
      <w:r>
        <w:t>Definir ondas de migração, pilotos, critérios de entrada e saída e responsáveis.</w:t>
      </w:r>
    </w:p>
    <w:p>
      <w:pPr>
        <w:numPr>
          <w:ilvl w:val="0"/>
          <w:numId w:val="1"/>
        </w:numPr>
        <w:ind w:left="720" w:hanging="360"/>
      </w:pPr>
      <w:r>
        <w:t>Planejar coexistência, rollback e controles compensatórios para ativos não atualizáveis.</w:t>
      </w:r>
    </w:p>
    <w:p>
      <w:pPr>
        <w:numPr>
          <w:ilvl w:val="0"/>
          <w:numId w:val="1"/>
        </w:numPr>
        <w:ind w:left="720" w:hanging="360"/>
      </w:pPr>
      <w:r>
        <w:t>Incluir requisitos de criptoagilidade em aquisições, contratos e avaliações de fornecedores.</w:t>
      </w:r>
    </w:p>
    <w:p>
      <w:pPr>
        <w:numPr>
          <w:ilvl w:val="0"/>
          <w:numId w:val="1"/>
        </w:numPr>
        <w:ind w:left="720" w:hanging="360"/>
      </w:pPr>
      <w:r>
        <w:t>Revisar periodicamente a política, o inventário, os riscos e o progresso das migrações.</w:t>
      </w:r>
    </w:p>
    <w:p>
      <w:pPr>
        <w:keepNext w:val="0"/>
      </w:pPr>
      <w:r>
        <w:rPr>
          <w:b/>
        </w:rPr>
        <w:t xml:space="preserve">Estimativa: </w:t>
      </w:r>
      <w:r>
        <w:t>3 a 5 semanas.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ewx5dk4rjr9n" w:id="7"/>
      <w:bookmarkEnd w:id="7"/>
      <w:r w:rsidDel="00000000" w:rsidR="00000000" w:rsidRPr="00000000">
        <w:rPr>
          <w:rtl w:val="0"/>
        </w:rPr>
        <w:t xml:space="preserve">3. Desenvolvimento</w:t>
      </w:r>
    </w:p>
    <w:p>
      <w:pPr/>
      <w:r>
        <w:t>Implementar as correções e os componentes definidos na fase conceitual, inicialmente em laboratório e ambiente de integração.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yj99lzsucip1" w:id="8"/>
      <w:bookmarkEnd w:id="8"/>
      <w:r w:rsidDel="00000000" w:rsidR="00000000" w:rsidRPr="00000000">
        <w:rPr>
          <w:rtl w:val="0"/>
        </w:rPr>
        <w:t xml:space="preserve">3.1 Correções</w:t>
      </w:r>
    </w:p>
    <w:p>
      <w:pPr/>
      <w:r>
        <w:t>Corrigir configurações inseguras, dependências obsoletas e falhas no uso de certificados, chaves e protocolos.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Atualizar bibliotecas e provedores compatíveis com as aplicações.</w:t>
      </w:r>
    </w:p>
    <w:p>
      <w:pPr>
        <w:numPr>
          <w:ilvl w:val="0"/>
          <w:numId w:val="1"/>
        </w:numPr>
        <w:ind w:left="720" w:hanging="360"/>
      </w:pPr>
      <w:r>
        <w:t>Remover mecanismos proibidos e fortalecer parâmetros e configurações.</w:t>
      </w:r>
    </w:p>
    <w:p>
      <w:pPr>
        <w:numPr>
          <w:ilvl w:val="0"/>
          <w:numId w:val="1"/>
        </w:numPr>
        <w:ind w:left="720" w:hanging="360"/>
      </w:pPr>
      <w:r>
        <w:t>Corrigir validação, renovação, revogação e armazenamento de certificados e chaves.</w:t>
      </w:r>
    </w:p>
    <w:p>
      <w:pPr>
        <w:numPr>
          <w:ilvl w:val="0"/>
          <w:numId w:val="1"/>
        </w:numPr>
        <w:ind w:left="720" w:hanging="360"/>
      </w:pPr>
      <w:r>
        <w:t>Adicionar testes de regressão e evidências antes e depois das mudanças.</w:t>
      </w:r>
    </w:p>
    <w:p>
      <w:pPr>
        <w:keepNext w:val="0"/>
      </w:pPr>
      <w:r>
        <w:rPr>
          <w:b/>
        </w:rPr>
        <w:t xml:space="preserve">Estimativa: </w:t>
      </w:r>
      <w:r>
        <w:t>4 a 8 semanas por onda de aplicações.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5tzfv99f8wd8" w:id="9"/>
      <w:bookmarkEnd w:id="9"/>
      <w:r w:rsidDel="00000000" w:rsidR="00000000" w:rsidRPr="00000000">
        <w:rPr>
          <w:rtl w:val="0"/>
        </w:rPr>
        <w:t xml:space="preserve">3.2 Proxy</w:t>
      </w:r>
    </w:p>
    <w:p>
      <w:pPr/>
      <w:r>
        <w:t>Implementar um proxy ou gateway para centralizar políticas criptográficas e modernizar fluxos de sistemas que não podem ser alterados diretamente.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Definir, para cada fluxo, terminação TLS, recriptografia ou encaminhamento transparente.</w:t>
      </w:r>
    </w:p>
    <w:p>
      <w:pPr>
        <w:numPr>
          <w:ilvl w:val="0"/>
          <w:numId w:val="1"/>
        </w:numPr>
        <w:ind w:left="720" w:hanging="360"/>
      </w:pPr>
      <w:r>
        <w:t>Implementar a comunicação cliente-proxy-servidor, incluindo autenticação mútua quando necessária.</w:t>
      </w:r>
    </w:p>
    <w:p>
      <w:pPr>
        <w:numPr>
          <w:ilvl w:val="0"/>
          <w:numId w:val="1"/>
        </w:numPr>
        <w:ind w:left="720" w:hanging="360"/>
      </w:pPr>
      <w:r>
        <w:t>Integrar emissão, renovação e rotação de certificados e chaves com PKI, KMS ou HSM.</w:t>
      </w:r>
    </w:p>
    <w:p>
      <w:pPr>
        <w:numPr>
          <w:ilvl w:val="0"/>
          <w:numId w:val="1"/>
        </w:numPr>
        <w:ind w:left="720" w:hanging="360"/>
      </w:pPr>
      <w:r>
        <w:t>Aplicar perfis criptográficos centralizados e permitir a troca controlada de algoritmos e provedores.</w:t>
      </w:r>
    </w:p>
    <w:p>
      <w:pPr>
        <w:numPr>
          <w:ilvl w:val="0"/>
          <w:numId w:val="1"/>
        </w:numPr>
        <w:ind w:left="720" w:hanging="360"/>
      </w:pPr>
      <w:r>
        <w:t>Implementar alta disponibilidade, health checks, comportamento de falha e rollback.</w:t>
      </w:r>
    </w:p>
    <w:p>
      <w:pPr>
        <w:numPr>
          <w:ilvl w:val="0"/>
          <w:numId w:val="1"/>
        </w:numPr>
        <w:ind w:left="720" w:hanging="360"/>
      </w:pPr>
      <w:r>
        <w:t>Registrar handshake, algoritmo negociado, latência, erros, capacidade e expiração de certificados.</w:t>
      </w:r>
    </w:p>
    <w:p>
      <w:pPr>
        <w:keepNext w:val="0"/>
      </w:pPr>
      <w:r>
        <w:rPr>
          <w:b/>
        </w:rPr>
        <w:t xml:space="preserve">Estimativa: </w:t>
      </w:r>
      <w:r>
        <w:t>6 a 10 semanas para a POC integrada.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jvuzky3pn79o" w:id="10"/>
      <w:bookmarkEnd w:id="10"/>
      <w:r w:rsidDel="00000000" w:rsidR="00000000" w:rsidRPr="00000000">
        <w:rPr>
          <w:rtl w:val="0"/>
        </w:rPr>
        <w:t>3.3 Desacoplamento das Aplicações da Criptografia</w:t>
      </w:r>
    </w:p>
    <w:p>
      <w:pPr/>
      <w:r>
        <w:t>Separar as regras de negócio das implementações criptográficas por meio de adaptadores, bibliotecas, APIs ou serviços controlados.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Mapear chamadas criptográficas e dependências incorporadas ao código.</w:t>
      </w:r>
    </w:p>
    <w:p>
      <w:pPr>
        <w:numPr>
          <w:ilvl w:val="0"/>
          <w:numId w:val="1"/>
        </w:numPr>
        <w:ind w:left="720" w:hanging="360"/>
      </w:pPr>
      <w:r>
        <w:t>Definir uma interface simples, documentada e com padrões seguros.</w:t>
      </w:r>
    </w:p>
    <w:p>
      <w:pPr>
        <w:numPr>
          <w:ilvl w:val="0"/>
          <w:numId w:val="1"/>
        </w:numPr>
        <w:ind w:left="720" w:hanging="360"/>
      </w:pPr>
      <w:r>
        <w:t>Implementar provedores intercambiáveis e seleção por configuração autorizada.</w:t>
      </w:r>
    </w:p>
    <w:p>
      <w:pPr>
        <w:numPr>
          <w:ilvl w:val="0"/>
          <w:numId w:val="1"/>
        </w:numPr>
        <w:ind w:left="720" w:hanging="360"/>
      </w:pPr>
      <w:r>
        <w:t>Versionar formatos e metadados para permitir coexistência e leitura de dados antigos.</w:t>
      </w:r>
    </w:p>
    <w:p>
      <w:pPr>
        <w:numPr>
          <w:ilvl w:val="0"/>
          <w:numId w:val="1"/>
        </w:numPr>
        <w:ind w:left="720" w:hanging="360"/>
      </w:pPr>
      <w:r>
        <w:t>Adaptar uma aplicação piloto e validar troca de provedor e rollback.</w:t>
      </w:r>
    </w:p>
    <w:p>
      <w:pPr>
        <w:keepNext w:val="0"/>
      </w:pPr>
      <w:r>
        <w:rPr>
          <w:b/>
        </w:rPr>
        <w:t xml:space="preserve">Estimativa: </w:t>
      </w:r>
      <w:r>
        <w:t>6 a 10 semanas para a plataforma e a primeira aplicação piloto.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reju22mkotpp" w:id="11"/>
      <w:bookmarkEnd w:id="11"/>
      <w:r w:rsidDel="00000000" w:rsidR="00000000" w:rsidRPr="00000000">
        <w:rPr>
          <w:rtl w:val="0"/>
        </w:rPr>
        <w:t xml:space="preserve">3.4 QKD</w:t>
      </w:r>
    </w:p>
    <w:p>
      <w:pPr/>
      <w:r>
        <w:t>Integrar a distribuição quântica de chaves a um caso de uso controlado, mantendo autenticação, gestão de chaves e operação híbrida.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Montar ambiente simulado ou de laboratório com os nós e canais necessários.</w:t>
      </w:r>
    </w:p>
    <w:p>
      <w:pPr>
        <w:numPr>
          <w:ilvl w:val="0"/>
          <w:numId w:val="1"/>
        </w:numPr>
        <w:ind w:left="720" w:hanging="360"/>
      </w:pPr>
      <w:r>
        <w:t>Integrar a interface QKD ao KMS, HSM ou gerenciador de chaves.</w:t>
      </w:r>
    </w:p>
    <w:p>
      <w:pPr>
        <w:numPr>
          <w:ilvl w:val="0"/>
          <w:numId w:val="1"/>
        </w:numPr>
        <w:ind w:left="720" w:hanging="360"/>
      </w:pPr>
      <w:r>
        <w:t>Conectar o consumidor de chaves, como encryptor, VPN ou aplicação.</w:t>
      </w:r>
    </w:p>
    <w:p>
      <w:pPr>
        <w:numPr>
          <w:ilvl w:val="0"/>
          <w:numId w:val="1"/>
        </w:numPr>
        <w:ind w:left="720" w:hanging="360"/>
      </w:pPr>
      <w:r>
        <w:t>Definir estoque, consumo, rotação, expiração e descarte das chaves.</w:t>
      </w:r>
    </w:p>
    <w:p>
      <w:pPr>
        <w:numPr>
          <w:ilvl w:val="0"/>
          <w:numId w:val="1"/>
        </w:numPr>
        <w:ind w:left="720" w:hanging="360"/>
      </w:pPr>
      <w:r>
        <w:t>Implementar fallback, failback, alarmes e monitoração sem registrar material de chave.</w:t>
      </w:r>
    </w:p>
    <w:p>
      <w:pPr>
        <w:keepNext w:val="0"/>
      </w:pPr>
      <w:r>
        <w:rPr>
          <w:b/>
        </w:rPr>
        <w:t xml:space="preserve">Estimativa: </w:t>
      </w:r>
      <w:r>
        <w:t>8 a 14 semanas em laboratório; a implantação física depende de aquisição e infraestrutura.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4qseh17w6izr" w:id="12"/>
      <w:bookmarkEnd w:id="12"/>
      <w:r w:rsidDel="00000000" w:rsidR="00000000" w:rsidRPr="00000000">
        <w:rPr>
          <w:rtl w:val="0"/>
        </w:rPr>
        <w:t xml:space="preserve">4. Testes</w:t>
      </w:r>
    </w:p>
    <w:p>
      <w:pPr/>
      <w:r>
        <w:t>Comprovar funcionamento, interoperabilidade, capacidade de transição, desempenho e segurança, incluindo cenários de falha e rollback.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t8o91tm3vmy5" w:id="13"/>
      <w:bookmarkEnd w:id="13"/>
      <w:r w:rsidDel="00000000" w:rsidR="00000000" w:rsidRPr="00000000">
        <w:rPr>
          <w:rtl w:val="0"/>
        </w:rPr>
        <w:t>4.1 Testes Funcionais, de Integração e Interoperabilidade</w:t>
      </w:r>
    </w:p>
    <w:p>
      <w:pPr/>
      <w:r>
        <w:t>Validar os fluxos ponta a ponta, as interfaces e a coexistência entre componentes atuais e novos.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Testar certificados, chaves, políticas, proxy, aplicações e integrações QKD.</w:t>
      </w:r>
    </w:p>
    <w:p>
      <w:pPr>
        <w:numPr>
          <w:ilvl w:val="0"/>
          <w:numId w:val="1"/>
        </w:numPr>
        <w:ind w:left="720" w:hanging="360"/>
      </w:pPr>
      <w:r>
        <w:t>Validar clientes, servidores, bibliotecas, versões e equipamentos do piloto.</w:t>
      </w:r>
    </w:p>
    <w:p>
      <w:pPr>
        <w:numPr>
          <w:ilvl w:val="0"/>
          <w:numId w:val="1"/>
        </w:numPr>
        <w:ind w:left="720" w:hanging="360"/>
      </w:pPr>
      <w:r>
        <w:t>Executar cenários nominais, negativos e de incompatibilidade.</w:t>
      </w:r>
    </w:p>
    <w:p>
      <w:pPr>
        <w:numPr>
          <w:ilvl w:val="0"/>
          <w:numId w:val="1"/>
        </w:numPr>
        <w:ind w:left="720" w:hanging="360"/>
      </w:pPr>
      <w:r>
        <w:t>Registrar evidências, defeitos, correções e resultados de regressão.</w:t>
      </w:r>
    </w:p>
    <w:p>
      <w:pPr>
        <w:keepNext w:val="0"/>
      </w:pPr>
      <w:r>
        <w:rPr>
          <w:b/>
        </w:rPr>
        <w:t xml:space="preserve">Estimativa: </w:t>
      </w:r>
      <w:r>
        <w:t>3 a 5 semanas.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mni9vwt9k91w" w:id="14"/>
      <w:bookmarkEnd w:id="14"/>
      <w:r w:rsidDel="00000000" w:rsidR="00000000" w:rsidRPr="00000000">
        <w:rPr>
          <w:rtl w:val="0"/>
        </w:rPr>
        <w:t>4.2 Testes de Criptoagilidade</w:t>
      </w:r>
    </w:p>
    <w:p>
      <w:pPr/>
      <w:r>
        <w:t>Comprovar que algoritmos, provedores, certificados ou perfis podem ser substituídos de forma controlada e mensurável.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Executar troca de perfil ou provedor e medir o tempo e o esforço necessários.</w:t>
      </w:r>
    </w:p>
    <w:p>
      <w:pPr>
        <w:numPr>
          <w:ilvl w:val="0"/>
          <w:numId w:val="1"/>
        </w:numPr>
        <w:ind w:left="720" w:hanging="360"/>
      </w:pPr>
      <w:r>
        <w:t>Validar coexistência, leitura de dados existentes e retirada do mecanismo anterior.</w:t>
      </w:r>
    </w:p>
    <w:p>
      <w:pPr>
        <w:numPr>
          <w:ilvl w:val="0"/>
          <w:numId w:val="1"/>
        </w:numPr>
        <w:ind w:left="720" w:hanging="360"/>
      </w:pPr>
      <w:r>
        <w:t>Testar rollback e retorno ao estado estável.</w:t>
      </w:r>
    </w:p>
    <w:p>
      <w:pPr>
        <w:numPr>
          <w:ilvl w:val="0"/>
          <w:numId w:val="1"/>
        </w:numPr>
        <w:ind w:left="720" w:hanging="360"/>
      </w:pPr>
      <w:r>
        <w:t>Verificar proteção contra downgrade e seleção de mecanismos proibidos.</w:t>
      </w:r>
    </w:p>
    <w:p>
      <w:pPr>
        <w:numPr>
          <w:ilvl w:val="0"/>
          <w:numId w:val="1"/>
        </w:numPr>
        <w:ind w:left="720" w:hanging="360"/>
      </w:pPr>
      <w:r>
        <w:t>Registrar lacunas e ações para melhorar a maturidade de criptoagilidade.</w:t>
      </w:r>
    </w:p>
    <w:p>
      <w:pPr>
        <w:keepNext w:val="0"/>
      </w:pPr>
      <w:r>
        <w:rPr>
          <w:b/>
        </w:rPr>
        <w:t xml:space="preserve">Estimativa: </w:t>
      </w:r>
      <w:r>
        <w:t>3 a 5 semanas.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whzbqczhls0a" w:id="15"/>
      <w:bookmarkEnd w:id="15"/>
      <w:r w:rsidDel="00000000" w:rsidR="00000000" w:rsidRPr="00000000">
        <w:rPr>
          <w:rtl w:val="0"/>
        </w:rPr>
        <w:t>4.3 Desempenho e Segurança</w:t>
      </w:r>
    </w:p>
    <w:p>
      <w:pPr/>
      <w:r>
        <w:t>Avaliar o impacto das mudanças e verificar a resiliência e a proteção dos componentes implementados.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Medir handshake, latência, vazão, CPU, memória e tamanho de certificados e mensagens.</w:t>
      </w:r>
    </w:p>
    <w:p>
      <w:pPr>
        <w:numPr>
          <w:ilvl w:val="0"/>
          <w:numId w:val="1"/>
        </w:numPr>
        <w:ind w:left="720" w:hanging="360"/>
      </w:pPr>
      <w:r>
        <w:t>Executar carga e comparar os resultados com a linha de base.</w:t>
      </w:r>
    </w:p>
    <w:p>
      <w:pPr>
        <w:numPr>
          <w:ilvl w:val="0"/>
          <w:numId w:val="1"/>
        </w:numPr>
        <w:ind w:left="720" w:hanging="360"/>
      </w:pPr>
      <w:r>
        <w:t>Simular falhas de proxy, PKI, KMS/HSM, comunicação e QKD.</w:t>
      </w:r>
    </w:p>
    <w:p>
      <w:pPr>
        <w:numPr>
          <w:ilvl w:val="0"/>
          <w:numId w:val="1"/>
        </w:numPr>
        <w:ind w:left="720" w:hanging="360"/>
      </w:pPr>
      <w:r>
        <w:t>Validar alta disponibilidade, recuperação, fallback e failback.</w:t>
      </w:r>
    </w:p>
    <w:p>
      <w:pPr>
        <w:numPr>
          <w:ilvl w:val="0"/>
          <w:numId w:val="1"/>
        </w:numPr>
        <w:ind w:left="720" w:hanging="360"/>
      </w:pPr>
      <w:r>
        <w:t>Revisar código, configurações, acessos, segredos, logs e superfícies expostas.</w:t>
      </w:r>
    </w:p>
    <w:p>
      <w:pPr>
        <w:keepNext w:val="0"/>
      </w:pPr>
      <w:r>
        <w:rPr>
          <w:b/>
        </w:rPr>
        <w:t xml:space="preserve">Estimativa: </w:t>
      </w:r>
      <w:r>
        <w:t>4 a 6 semanas.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5tweba9sej9q" w:id="16"/>
      <w:bookmarkEnd w:id="16"/>
      <w:r w:rsidDel="00000000" w:rsidR="00000000" w:rsidRPr="00000000">
        <w:rPr>
          <w:rtl w:val="0"/>
        </w:rPr>
        <w:t xml:space="preserve">5. Transferência de Tecnologia</w:t>
      </w:r>
    </w:p>
    <w:p>
      <w:pPr/>
      <w:r>
        <w:t>Preparar as equipes para instalar, operar, monitorar, manter e evoluir a solução com autonomia.</w:t>
      </w:r>
    </w:p>
    <w:p>
      <w:pPr>
        <w:keepNext/>
      </w:pPr>
      <w:r>
        <w:rPr>
          <w:b/>
        </w:rPr>
        <w:t>Atividades:</w:t>
      </w:r>
    </w:p>
    <w:p>
      <w:pPr>
        <w:numPr>
          <w:ilvl w:val="0"/>
          <w:numId w:val="1"/>
        </w:numPr>
        <w:ind w:left="720" w:hanging="360"/>
      </w:pPr>
      <w:r>
        <w:t>Consolidar arquitetura, interfaces, configurações e decisões técnicas.</w:t>
      </w:r>
    </w:p>
    <w:p>
      <w:pPr>
        <w:numPr>
          <w:ilvl w:val="0"/>
          <w:numId w:val="1"/>
        </w:numPr>
        <w:ind w:left="720" w:hanging="360"/>
      </w:pPr>
      <w:r>
        <w:t>Produzir guias de instalação, atualização, certificados, chaves, proxy, QKD e rollback.</w:t>
      </w:r>
    </w:p>
    <w:p>
      <w:pPr>
        <w:numPr>
          <w:ilvl w:val="0"/>
          <w:numId w:val="1"/>
        </w:numPr>
        <w:ind w:left="720" w:hanging="360"/>
      </w:pPr>
      <w:r>
        <w:t>Realizar treinamentos específicos para arquitetura, desenvolvimento, segurança e operação.</w:t>
      </w:r>
    </w:p>
    <w:p>
      <w:pPr>
        <w:numPr>
          <w:ilvl w:val="0"/>
          <w:numId w:val="1"/>
        </w:numPr>
        <w:ind w:left="720" w:hanging="360"/>
      </w:pPr>
      <w:r>
        <w:t>Executar laboratórios de mudança de perfil, falha, recuperação e análise de logs.</w:t>
      </w:r>
    </w:p>
    <w:p>
      <w:pPr>
        <w:numPr>
          <w:ilvl w:val="0"/>
          <w:numId w:val="1"/>
        </w:numPr>
        <w:ind w:left="720" w:hanging="360"/>
      </w:pPr>
      <w:r>
        <w:t>Realizar handover, operação assistida e avaliação da autonomia das equipes.</w:t>
      </w:r>
    </w:p>
    <w:p>
      <w:pPr>
        <w:keepNext w:val="0"/>
      </w:pPr>
      <w:r>
        <w:rPr>
          <w:b/>
        </w:rPr>
        <w:t xml:space="preserve">Estimativa: </w:t>
      </w:r>
      <w:r>
        <w:t>6 a 10 semanas, com sobreposição aos testes.</w:t>
      </w:r>
    </w:p>
    <w:p>
      <w:pPr>
        <w:keepNext w:val="0"/>
      </w:pPr>
      <w:r>
        <w:rPr>
          <w:b/>
        </w:rPr>
        <w:t xml:space="preserve">Referência técnica: </w:t>
      </w:r>
      <w:r>
        <w:t>NIST CSWP 39-upd1 - Considerations for Achieving Crypto Agility: Strategies and Practices.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Projeto Usinas de Geração de Energia</dc:title>
  <cp:lastModifiedBy>python-docx</cp:lastModifiedBy>
  <cp:revision>1</cp:revision>
  <dcterms:modified xsi:type="dcterms:W3CDTF">2026-08-26T19:45:05Z</dcterms:modified>
  <dc:subject>Plano de atividades complementado com criptoagilidade e proxy</dc:subject>
</cp:coreProperties>
</file>