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a7e69b4701bd2da7341036db1589512602a258"/>
    <w:p>
      <w:pPr>
        <w:pStyle w:val="Heading1"/>
      </w:pPr>
      <w:r>
        <w:t xml:space="preserve">EventAlpha AI — Technology Stack &amp; Cloud APIs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0" w:name="architecture-philosophy"/>
    <w:p>
      <w:pPr>
        <w:pStyle w:val="Heading2"/>
      </w:pPr>
      <w:r>
        <w:t xml:space="preserve">1. Architecture philosophy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cloud/API-first</w:t>
      </w:r>
      <w:r>
        <w:t xml:space="preserve"> </w:t>
      </w:r>
      <w:r>
        <w:t xml:space="preserve">design. No production LLM runs on the local CPU/GPU. The developer laptop runs the web app, backend and local dependencies with Docker; OpenAI and data vendors perform the expensive external work.</w:t>
      </w:r>
    </w:p>
    <w:p>
      <w:pPr>
        <w:pStyle w:val="BodyText"/>
      </w:pPr>
      <w:r>
        <w:t xml:space="preserve">Use a</w:t>
      </w:r>
      <w:r>
        <w:t xml:space="preserve"> </w:t>
      </w:r>
      <w:r>
        <w:rPr>
          <w:b/>
          <w:bCs/>
        </w:rPr>
        <w:t xml:space="preserve">modular monolith + asynchronous workers for the MVP</w:t>
      </w:r>
      <w:r>
        <w:t xml:space="preserve">, not dozens of microservices. Maintain strong module boundaries so high-load components can later be split without a rewrite.</w:t>
      </w:r>
    </w:p>
    <w:bookmarkEnd w:id="20"/>
    <w:bookmarkStart w:id="21" w:name="recommended-stack"/>
    <w:p>
      <w:pPr>
        <w:pStyle w:val="Heading2"/>
      </w:pPr>
      <w:r>
        <w:t xml:space="preserve">2. Recommended stack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55"/>
        <w:gridCol w:w="4536"/>
        <w:gridCol w:w="360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Layer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Recommended technology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Why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Web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Next.js + React + TypeScript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mature SSR/client hybrid, typed UI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UI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Tailwind CSS + accessible component library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fast consistent design system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Charts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TradingView Lightweight Charts or equivalent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performant financial visualization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API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Python + FastAPI + Pydantic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async I/O, typed contracts, excellent data/AI ecosystem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Async HTTP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httpx / provider SDKs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non-blocking external API calls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DB ORM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SQLAlchemy 2 + Alembic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migrations + explicit persistence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Operational DB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PostgreSQL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durable relational source of truth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Time series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TimescaleDB extension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bars/features/signals by time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Cache/event bus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Redis + Redis Streams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low-friction MVP queue/stream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Scale-up event bus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Redpanda/Kafka later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high-throughput replayable streams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Object archive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S3-compatible object storage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raw payloads, snapshots, backtest artifacts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Quant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Polars, NumPy, SciPy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fast vectorized feature engineering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ML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scikit-learn + LightGBM/XGBoost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strong tabular baselines before deep learning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Optional DL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PyTorch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only when justified by measured benefit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AI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OpenAI Responses API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structured outputs, streaming, tools/function calling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Observability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OpenTelemetry + Prometheus/Grafana + Sentry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traces, metrics, errors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Containers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Docker / Docker Compose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reproducible dev/test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CI/CD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GitHub Actions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tests, security scans, image build, deploy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IaC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Terraform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reproducible cloud infrastructure</w:t>
            </w:r>
          </w:p>
        </w:tc>
      </w:tr>
    </w:tbl>
    <w:bookmarkEnd w:id="21"/>
    <w:bookmarkStart w:id="23" w:name="openai-model-strategy"/>
    <w:p>
      <w:pPr>
        <w:pStyle w:val="Heading2"/>
      </w:pPr>
      <w:r>
        <w:t xml:space="preserve">3. OpenAI model strategy</w:t>
      </w:r>
    </w:p>
    <w:p>
      <w:pPr>
        <w:pStyle w:val="FirstParagraph"/>
      </w:pPr>
      <w:r>
        <w:t xml:space="preserve">As verified on 26 August 2026, GPT-5.6 models support Responses API workflows, streaming, function calling and Structured Outputs. The project should route work by complexity rather than calling the most expensive model for everything.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55"/>
        <w:gridCol w:w="4536"/>
        <w:gridCol w:w="360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Model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Role in EventAlpha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Current text price / 1M tokens*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GPT-5.6 Luna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bulk classification, entity extraction, sentiment/event schema, dedup assistance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$0.20 input / $1.20 output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GPT-5.6 Terra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important/ambiguous event analysis, cross-source synthesis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$2.00 input / $12.00 output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GPT-5.6 Sol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rare high-impact/conflicting cases, complex macro/geopolitical reasoning</w:t>
            </w:r>
          </w:p>
        </w:tc>
        <w:tc>
          <w:tcPr>
            <w:tcW w:type="dxa" w:w="360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$4.00 input / $20.00 output promotional pricing</w:t>
            </w:r>
          </w:p>
        </w:tc>
      </w:tr>
    </w:tbl>
    <w:p>
      <w:pPr>
        <w:pStyle w:val="BodyText"/>
      </w:pPr>
      <w:r>
        <w:t xml:space="preserve">*Prices verified from current model documentation and subject to change. Revalidate before deployment. Sol promotional pricing is documented as available at least through 21 November 2026.</w:t>
      </w:r>
    </w:p>
    <w:bookmarkStart w:id="22" w:name="non-negotiable-openai-integration-rules"/>
    <w:p>
      <w:pPr>
        <w:pStyle w:val="Heading3"/>
      </w:pPr>
      <w:r>
        <w:t xml:space="preserve">Non-negotiable OpenAI integration rules</w:t>
      </w:r>
    </w:p>
    <w:p>
      <w:pPr>
        <w:pStyle w:val="Compact"/>
        <w:numPr>
          <w:ilvl w:val="0"/>
          <w:numId w:val="1001"/>
        </w:numPr>
      </w:pPr>
      <w:r>
        <w:t xml:space="preserve">Call OpenAI</w:t>
      </w:r>
      <w:r>
        <w:t xml:space="preserve"> </w:t>
      </w:r>
      <w:r>
        <w:rPr>
          <w:b/>
          <w:bCs/>
        </w:rPr>
        <w:t xml:space="preserve">only from the backend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API keys live in a secrets manager or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never the browser bundle.</w:t>
      </w:r>
    </w:p>
    <w:p>
      <w:pPr>
        <w:pStyle w:val="Compact"/>
        <w:numPr>
          <w:ilvl w:val="0"/>
          <w:numId w:val="1001"/>
        </w:numPr>
      </w:pPr>
      <w:r>
        <w:t xml:space="preserve">Use strict JSON Schema Structured Outputs for machine-consumed results.</w:t>
      </w:r>
    </w:p>
    <w:p>
      <w:pPr>
        <w:pStyle w:val="Compact"/>
        <w:numPr>
          <w:ilvl w:val="0"/>
          <w:numId w:val="1001"/>
        </w:numPr>
      </w:pPr>
      <w:r>
        <w:t xml:space="preserve">Version the prompt and schema.</w:t>
      </w:r>
    </w:p>
    <w:p>
      <w:pPr>
        <w:pStyle w:val="Compact"/>
        <w:numPr>
          <w:ilvl w:val="0"/>
          <w:numId w:val="1001"/>
        </w:numPr>
      </w:pPr>
      <w:r>
        <w:t xml:space="preserve">Validate every response again with Pydantic.</w:t>
      </w:r>
    </w:p>
    <w:p>
      <w:pPr>
        <w:pStyle w:val="Compact"/>
        <w:numPr>
          <w:ilvl w:val="0"/>
          <w:numId w:val="1001"/>
        </w:numPr>
      </w:pPr>
      <w:r>
        <w:t xml:space="preserve">Apply timeout, bounded retries and circuit breaker.</w:t>
      </w:r>
    </w:p>
    <w:p>
      <w:pPr>
        <w:pStyle w:val="Compact"/>
        <w:numPr>
          <w:ilvl w:val="0"/>
          <w:numId w:val="1001"/>
        </w:numPr>
      </w:pPr>
      <w:r>
        <w:t xml:space="preserve">Capture request ID, model, token usage, latency and cost estimate.</w:t>
      </w:r>
    </w:p>
    <w:p>
      <w:pPr>
        <w:pStyle w:val="Compact"/>
        <w:numPr>
          <w:ilvl w:val="0"/>
          <w:numId w:val="1001"/>
        </w:numPr>
      </w:pPr>
      <w:r>
        <w:t xml:space="preserve">Cache static prompt prefixes/taxonomies when supported and beneficial.</w:t>
      </w:r>
    </w:p>
    <w:p>
      <w:pPr>
        <w:pStyle w:val="Compact"/>
        <w:numPr>
          <w:ilvl w:val="0"/>
          <w:numId w:val="1001"/>
        </w:numPr>
      </w:pPr>
      <w:r>
        <w:t xml:space="preserve">Use Luna for the fast lane; escalate only if deterministic rules indicate ambiguity/high impact.</w:t>
      </w:r>
    </w:p>
    <w:p>
      <w:pPr>
        <w:pStyle w:val="Compact"/>
        <w:numPr>
          <w:ilvl w:val="0"/>
          <w:numId w:val="1001"/>
        </w:numPr>
      </w:pPr>
      <w:r>
        <w:t xml:space="preserve">Never let a natural-language response bypass risk controls.</w:t>
      </w:r>
    </w:p>
    <w:bookmarkEnd w:id="22"/>
    <w:bookmarkEnd w:id="23"/>
    <w:bookmarkStart w:id="28" w:name="data-technology-choices"/>
    <w:p>
      <w:pPr>
        <w:pStyle w:val="Heading2"/>
      </w:pPr>
      <w:r>
        <w:t xml:space="preserve">4. Data technology choices</w:t>
      </w:r>
    </w:p>
    <w:bookmarkStart w:id="24" w:name="market-data"/>
    <w:p>
      <w:pPr>
        <w:pStyle w:val="Heading3"/>
      </w:pPr>
      <w:r>
        <w:t xml:space="preserve">Market data</w:t>
      </w:r>
    </w:p>
    <w:p>
      <w:pPr>
        <w:pStyle w:val="FirstParagraph"/>
      </w:pPr>
      <w:r>
        <w:rPr>
          <w:b/>
          <w:bCs/>
        </w:rPr>
        <w:t xml:space="preserve">MVP:</w:t>
      </w:r>
      <w:r>
        <w:t xml:space="preserve"> </w:t>
      </w:r>
      <w:r>
        <w:t xml:space="preserve">Alpaca adapter because it offers HTTP/WebSocket market data plus paper trading. Free equity data is IEX-only, so the architecture must not pretend it is the entire US market. For more complete/professional data, use SIP where licensed or add Databento/another institutional vendor.</w:t>
      </w:r>
    </w:p>
    <w:bookmarkEnd w:id="24"/>
    <w:bookmarkStart w:id="25" w:name="global-eventsnews"/>
    <w:p>
      <w:pPr>
        <w:pStyle w:val="Heading3"/>
      </w:pPr>
      <w:r>
        <w:t xml:space="preserve">Global events/news</w:t>
      </w:r>
    </w:p>
    <w:p>
      <w:pPr>
        <w:pStyle w:val="FirstParagraph"/>
      </w:pPr>
      <w:r>
        <w:t xml:space="preserve">Use multiple independent channels:</w:t>
      </w:r>
      <w:r>
        <w:t xml:space="preserve"> </w:t>
      </w:r>
      <w:r>
        <w:t xml:space="preserve">- GDELT / GDELT Cloud for global event context and broad multilingual coverage;</w:t>
      </w:r>
      <w:r>
        <w:t xml:space="preserve"> </w:t>
      </w:r>
      <w:r>
        <w:t xml:space="preserve">- NewsAPI or another licensed aggregator for article discovery;</w:t>
      </w:r>
      <w:r>
        <w:t xml:space="preserve"> </w:t>
      </w:r>
      <w:r>
        <w:t xml:space="preserve">- direct official sources: company investor-relations feeds, central banks, government agencies, exchanges;</w:t>
      </w:r>
      <w:r>
        <w:t xml:space="preserve"> </w:t>
      </w:r>
      <w:r>
        <w:t xml:space="preserve">- SEC EDGAR for US filings;</w:t>
      </w:r>
      <w:r>
        <w:t xml:space="preserve"> </w:t>
      </w:r>
      <w:r>
        <w:t xml:space="preserve">- premium low-latency news vendor later if the strategy proves economically worthwhile.</w:t>
      </w:r>
    </w:p>
    <w:bookmarkEnd w:id="25"/>
    <w:bookmarkStart w:id="26" w:name="macro"/>
    <w:p>
      <w:pPr>
        <w:pStyle w:val="Heading3"/>
      </w:pPr>
      <w:r>
        <w:t xml:space="preserve">Macro</w:t>
      </w:r>
    </w:p>
    <w:p>
      <w:pPr>
        <w:pStyle w:val="FirstParagraph"/>
      </w:pPr>
      <w:r>
        <w:t xml:space="preserve">FRED + ALFRED are especially valuable because</w:t>
      </w:r>
      <w:r>
        <w:t xml:space="preserve"> </w:t>
      </w:r>
      <w:r>
        <w:rPr>
          <w:b/>
          <w:bCs/>
        </w:rPr>
        <w:t xml:space="preserve">vintages/revisions</w:t>
      </w:r>
      <w:r>
        <w:t xml:space="preserve"> </w:t>
      </w:r>
      <w:r>
        <w:t xml:space="preserve">help prevent backtest leakage. Add scheduled central-bank releases and economic calendars through adapters.</w:t>
      </w:r>
    </w:p>
    <w:bookmarkEnd w:id="26"/>
    <w:bookmarkStart w:id="27" w:name="social"/>
    <w:p>
      <w:pPr>
        <w:pStyle w:val="Heading3"/>
      </w:pPr>
      <w:r>
        <w:t xml:space="preserve">Social</w:t>
      </w:r>
    </w:p>
    <w:p>
      <w:pPr>
        <w:pStyle w:val="FirstParagraph"/>
      </w:pPr>
      <w:r>
        <w:t xml:space="preserve">X Filtered Stream can supply near-real-time posts matching curated rules. Treat social data as noisy evidence. Weight verified/authoritative accounts and independent corroboration; never equate repost count with truth.</w:t>
      </w:r>
    </w:p>
    <w:bookmarkEnd w:id="27"/>
    <w:bookmarkEnd w:id="28"/>
    <w:bookmarkStart w:id="29" w:name="frontend-modules"/>
    <w:p>
      <w:pPr>
        <w:pStyle w:val="Heading2"/>
      </w:pPr>
      <w:r>
        <w:t xml:space="preserve">5. Frontend modules</w:t>
      </w:r>
    </w:p>
    <w:p>
      <w:pPr>
        <w:pStyle w:val="FirstParagraph"/>
      </w:pPr>
      <w:r>
        <w:t xml:space="preserve">Suggested route tree: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/live</w:t>
      </w:r>
      <w:r>
        <w:br/>
      </w:r>
      <w:r>
        <w:rPr>
          <w:rStyle w:val="VerbatimChar"/>
        </w:rPr>
        <w:t xml:space="preserve">/events</w:t>
      </w:r>
      <w:r>
        <w:br/>
      </w:r>
      <w:r>
        <w:rPr>
          <w:rStyle w:val="VerbatimChar"/>
        </w:rPr>
        <w:t xml:space="preserve">/signals</w:t>
      </w:r>
      <w:r>
        <w:br/>
      </w:r>
      <w:r>
        <w:rPr>
          <w:rStyle w:val="VerbatimChar"/>
        </w:rPr>
        <w:t xml:space="preserve">/signals/[id]</w:t>
      </w:r>
      <w:r>
        <w:br/>
      </w:r>
      <w:r>
        <w:rPr>
          <w:rStyle w:val="VerbatimChar"/>
        </w:rPr>
        <w:t xml:space="preserve">/assets/[symbol]</w:t>
      </w:r>
      <w:r>
        <w:br/>
      </w:r>
      <w:r>
        <w:rPr>
          <w:rStyle w:val="VerbatimChar"/>
        </w:rPr>
        <w:t xml:space="preserve">/watchlists</w:t>
      </w:r>
      <w:r>
        <w:br/>
      </w:r>
      <w:r>
        <w:rPr>
          <w:rStyle w:val="VerbatimChar"/>
        </w:rPr>
        <w:t xml:space="preserve">/portfolio/paper</w:t>
      </w:r>
      <w:r>
        <w:br/>
      </w:r>
      <w:r>
        <w:rPr>
          <w:rStyle w:val="VerbatimChar"/>
        </w:rPr>
        <w:t xml:space="preserve">/backtests</w:t>
      </w:r>
      <w:r>
        <w:br/>
      </w:r>
      <w:r>
        <w:rPr>
          <w:rStyle w:val="VerbatimChar"/>
        </w:rPr>
        <w:t xml:space="preserve">/models</w:t>
      </w:r>
      <w:r>
        <w:br/>
      </w:r>
      <w:r>
        <w:rPr>
          <w:rStyle w:val="VerbatimChar"/>
        </w:rPr>
        <w:t xml:space="preserve">/data-health</w:t>
      </w:r>
      <w:r>
        <w:br/>
      </w:r>
      <w:r>
        <w:rPr>
          <w:rStyle w:val="VerbatimChar"/>
        </w:rPr>
        <w:t xml:space="preserve">/settings/providers</w:t>
      </w:r>
      <w:r>
        <w:br/>
      </w:r>
      <w:r>
        <w:rPr>
          <w:rStyle w:val="VerbatimChar"/>
        </w:rPr>
        <w:t xml:space="preserve">/settings/risk</w:t>
      </w:r>
    </w:p>
    <w:p>
      <w:pPr>
        <w:pStyle w:val="FirstParagraph"/>
      </w:pPr>
      <w:r>
        <w:t xml:space="preserve">Frontend state rules:</w:t>
      </w:r>
      <w:r>
        <w:t xml:space="preserve"> </w:t>
      </w:r>
      <w:r>
        <w:t xml:space="preserve">- REST for initial page/query data;</w:t>
      </w:r>
      <w:r>
        <w:t xml:space="preserve"> </w:t>
      </w:r>
      <w:r>
        <w:t xml:space="preserve">- WebSocket for incremental live updates;</w:t>
      </w:r>
      <w:r>
        <w:t xml:space="preserve"> </w:t>
      </w:r>
      <w:r>
        <w:t xml:space="preserve">- no direct calls from browser to OpenAI/broker secrets;</w:t>
      </w:r>
      <w:r>
        <w:t xml:space="preserve"> </w:t>
      </w:r>
      <w:r>
        <w:t xml:space="preserve">- optimistic UI only for harmless settings, not orders/risk changes;</w:t>
      </w:r>
      <w:r>
        <w:t xml:space="preserve"> </w:t>
      </w:r>
      <w:r>
        <w:t xml:space="preserve">- timestamps shown in UTC plus user-local timezone;</w:t>
      </w:r>
      <w:r>
        <w:t xml:space="preserve"> </w:t>
      </w:r>
      <w:r>
        <w:t xml:space="preserve">- visible stale-data indicators.</w:t>
      </w:r>
    </w:p>
    <w:bookmarkEnd w:id="29"/>
    <w:bookmarkStart w:id="30" w:name="backend-module-boundaries"/>
    <w:p>
      <w:pPr>
        <w:pStyle w:val="Heading2"/>
      </w:pPr>
      <w:r>
        <w:t xml:space="preserve">6. Backend module boundaries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providers/</w:t>
      </w:r>
      <w:r>
        <w:br/>
      </w:r>
      <w:r>
        <w:rPr>
          <w:rStyle w:val="VerbatimChar"/>
        </w:rPr>
        <w:t xml:space="preserve">    market/</w:t>
      </w:r>
      <w:r>
        <w:br/>
      </w:r>
      <w:r>
        <w:rPr>
          <w:rStyle w:val="VerbatimChar"/>
        </w:rPr>
        <w:t xml:space="preserve">    news/</w:t>
      </w:r>
      <w:r>
        <w:br/>
      </w:r>
      <w:r>
        <w:rPr>
          <w:rStyle w:val="VerbatimChar"/>
        </w:rPr>
        <w:t xml:space="preserve">    social/</w:t>
      </w:r>
      <w:r>
        <w:br/>
      </w:r>
      <w:r>
        <w:rPr>
          <w:rStyle w:val="VerbatimChar"/>
        </w:rPr>
        <w:t xml:space="preserve">    filings/</w:t>
      </w:r>
      <w:r>
        <w:br/>
      </w:r>
      <w:r>
        <w:rPr>
          <w:rStyle w:val="VerbatimChar"/>
        </w:rPr>
        <w:t xml:space="preserve">    macro/</w:t>
      </w:r>
      <w:r>
        <w:br/>
      </w:r>
      <w:r>
        <w:rPr>
          <w:rStyle w:val="VerbatimChar"/>
        </w:rPr>
        <w:t xml:space="preserve">    broker/</w:t>
      </w:r>
      <w:r>
        <w:br/>
      </w:r>
      <w:r>
        <w:rPr>
          <w:rStyle w:val="VerbatimChar"/>
        </w:rPr>
        <w:t xml:space="preserve">  ingestion/</w:t>
      </w:r>
      <w:r>
        <w:br/>
      </w:r>
      <w:r>
        <w:rPr>
          <w:rStyle w:val="VerbatimChar"/>
        </w:rPr>
        <w:t xml:space="preserve">  normalization/</w:t>
      </w:r>
      <w:r>
        <w:br/>
      </w:r>
      <w:r>
        <w:rPr>
          <w:rStyle w:val="VerbatimChar"/>
        </w:rPr>
        <w:t xml:space="preserve">  entity_resolution/</w:t>
      </w:r>
      <w:r>
        <w:br/>
      </w:r>
      <w:r>
        <w:rPr>
          <w:rStyle w:val="VerbatimChar"/>
        </w:rPr>
        <w:t xml:space="preserve">  ai_intelligence/</w:t>
      </w:r>
      <w:r>
        <w:br/>
      </w:r>
      <w:r>
        <w:rPr>
          <w:rStyle w:val="VerbatimChar"/>
        </w:rPr>
        <w:t xml:space="preserve">  quant/</w:t>
      </w:r>
      <w:r>
        <w:br/>
      </w:r>
      <w:r>
        <w:rPr>
          <w:rStyle w:val="VerbatimChar"/>
        </w:rPr>
        <w:t xml:space="preserve">  signal_engine/</w:t>
      </w:r>
      <w:r>
        <w:br/>
      </w:r>
      <w:r>
        <w:rPr>
          <w:rStyle w:val="VerbatimChar"/>
        </w:rPr>
        <w:t xml:space="preserve">  risk_engine/</w:t>
      </w:r>
      <w:r>
        <w:br/>
      </w:r>
      <w:r>
        <w:rPr>
          <w:rStyle w:val="VerbatimChar"/>
        </w:rPr>
        <w:t xml:space="preserve">  execution/</w:t>
      </w:r>
      <w:r>
        <w:br/>
      </w:r>
      <w:r>
        <w:rPr>
          <w:rStyle w:val="VerbatimChar"/>
        </w:rPr>
        <w:t xml:space="preserve">  backtesting/</w:t>
      </w:r>
      <w:r>
        <w:br/>
      </w:r>
      <w:r>
        <w:rPr>
          <w:rStyle w:val="VerbatimChar"/>
        </w:rPr>
        <w:t xml:space="preserve">  audit/</w:t>
      </w:r>
      <w:r>
        <w:br/>
      </w:r>
      <w:r>
        <w:rPr>
          <w:rStyle w:val="VerbatimChar"/>
        </w:rPr>
        <w:t xml:space="preserve">  observability/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contracts/</w:t>
      </w:r>
    </w:p>
    <w:p>
      <w:pPr>
        <w:pStyle w:val="FirstParagraph"/>
      </w:pPr>
      <w:r>
        <w:t xml:space="preserve">Provider interfaces must isolate vendor-specific schemas. The domain layer sees EventAlpha contracts, not Alpaca/X/OpenAI response objects.</w:t>
      </w:r>
    </w:p>
    <w:bookmarkEnd w:id="30"/>
    <w:bookmarkStart w:id="34" w:name="data-stores"/>
    <w:p>
      <w:pPr>
        <w:pStyle w:val="Heading2"/>
      </w:pPr>
      <w:r>
        <w:t xml:space="preserve">7. Data stores</w:t>
      </w:r>
    </w:p>
    <w:bookmarkStart w:id="31" w:name="postgresql-timescaledb"/>
    <w:p>
      <w:pPr>
        <w:pStyle w:val="Heading3"/>
      </w:pPr>
      <w:r>
        <w:t xml:space="preserve">PostgreSQL / TimescaleDB</w:t>
      </w:r>
    </w:p>
    <w:p>
      <w:pPr>
        <w:pStyle w:val="FirstParagraph"/>
      </w:pPr>
      <w:r>
        <w:t xml:space="preserve">Store canonical structured state:</w:t>
      </w:r>
      <w:r>
        <w:t xml:space="preserve"> </w:t>
      </w:r>
      <w:r>
        <w:t xml:space="preserve">- sources/providers;</w:t>
      </w:r>
      <w:r>
        <w:t xml:space="preserve"> </w:t>
      </w:r>
      <w:r>
        <w:t xml:space="preserve">- raw item metadata;</w:t>
      </w:r>
      <w:r>
        <w:t xml:space="preserve"> </w:t>
      </w:r>
      <w:r>
        <w:t xml:space="preserve">- canonical events;</w:t>
      </w:r>
      <w:r>
        <w:t xml:space="preserve"> </w:t>
      </w:r>
      <w:r>
        <w:t xml:space="preserve">- entities/assets;</w:t>
      </w:r>
      <w:r>
        <w:t xml:space="preserve"> </w:t>
      </w:r>
      <w:r>
        <w:t xml:space="preserve">- AI analyses;</w:t>
      </w:r>
      <w:r>
        <w:t xml:space="preserve"> </w:t>
      </w:r>
      <w:r>
        <w:t xml:space="preserve">- bars and feature snapshots;</w:t>
      </w:r>
      <w:r>
        <w:t xml:space="preserve"> </w:t>
      </w:r>
      <w:r>
        <w:t xml:space="preserve">- signals;</w:t>
      </w:r>
      <w:r>
        <w:t xml:space="preserve"> </w:t>
      </w:r>
      <w:r>
        <w:t xml:space="preserve">- risk decisions;</w:t>
      </w:r>
      <w:r>
        <w:t xml:space="preserve"> </w:t>
      </w:r>
      <w:r>
        <w:t xml:space="preserve">- paper orders/fills;</w:t>
      </w:r>
      <w:r>
        <w:t xml:space="preserve"> </w:t>
      </w:r>
      <w:r>
        <w:t xml:space="preserve">- model/prompt/strategy versions;</w:t>
      </w:r>
      <w:r>
        <w:t xml:space="preserve"> </w:t>
      </w:r>
      <w:r>
        <w:t xml:space="preserve">- audit logs.</w:t>
      </w:r>
    </w:p>
    <w:bookmarkEnd w:id="31"/>
    <w:bookmarkStart w:id="32" w:name="redis"/>
    <w:p>
      <w:pPr>
        <w:pStyle w:val="Heading3"/>
      </w:pP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event streams;</w:t>
      </w:r>
    </w:p>
    <w:p>
      <w:pPr>
        <w:pStyle w:val="Compact"/>
        <w:numPr>
          <w:ilvl w:val="0"/>
          <w:numId w:val="1002"/>
        </w:numPr>
      </w:pPr>
      <w:r>
        <w:t xml:space="preserve">idempotency keys;</w:t>
      </w:r>
    </w:p>
    <w:p>
      <w:pPr>
        <w:pStyle w:val="Compact"/>
        <w:numPr>
          <w:ilvl w:val="0"/>
          <w:numId w:val="1002"/>
        </w:numPr>
      </w:pPr>
      <w:r>
        <w:t xml:space="preserve">fast latest-value cache;</w:t>
      </w:r>
    </w:p>
    <w:p>
      <w:pPr>
        <w:pStyle w:val="Compact"/>
        <w:numPr>
          <w:ilvl w:val="0"/>
          <w:numId w:val="1002"/>
        </w:numPr>
      </w:pPr>
      <w:r>
        <w:t xml:space="preserve">distributed locks when unavoidable;</w:t>
      </w:r>
    </w:p>
    <w:p>
      <w:pPr>
        <w:pStyle w:val="Compact"/>
        <w:numPr>
          <w:ilvl w:val="0"/>
          <w:numId w:val="1002"/>
        </w:numPr>
      </w:pPr>
      <w:r>
        <w:t xml:space="preserve">ephemeral rate-limit counters;</w:t>
      </w:r>
    </w:p>
    <w:p>
      <w:pPr>
        <w:pStyle w:val="Compact"/>
        <w:numPr>
          <w:ilvl w:val="0"/>
          <w:numId w:val="1002"/>
        </w:numPr>
      </w:pPr>
      <w:r>
        <w:t xml:space="preserve">WebSocket fan-out metadata.</w:t>
      </w:r>
    </w:p>
    <w:bookmarkEnd w:id="32"/>
    <w:bookmarkStart w:id="33" w:name="object-storage"/>
    <w:p>
      <w:pPr>
        <w:pStyle w:val="Heading3"/>
      </w:pPr>
      <w:r>
        <w:t xml:space="preserve">Object storage</w:t>
      </w:r>
    </w:p>
    <w:p>
      <w:pPr>
        <w:pStyle w:val="Compact"/>
        <w:numPr>
          <w:ilvl w:val="0"/>
          <w:numId w:val="1003"/>
        </w:numPr>
      </w:pPr>
      <w:r>
        <w:t xml:space="preserve">raw payloads where licensing permits;</w:t>
      </w:r>
    </w:p>
    <w:p>
      <w:pPr>
        <w:pStyle w:val="Compact"/>
        <w:numPr>
          <w:ilvl w:val="0"/>
          <w:numId w:val="1003"/>
        </w:numPr>
      </w:pPr>
      <w:r>
        <w:t xml:space="preserve">compressed historical datasets;</w:t>
      </w:r>
    </w:p>
    <w:p>
      <w:pPr>
        <w:pStyle w:val="Compact"/>
        <w:numPr>
          <w:ilvl w:val="0"/>
          <w:numId w:val="1003"/>
        </w:numPr>
      </w:pPr>
      <w:r>
        <w:t xml:space="preserve">model/backtest artifacts;</w:t>
      </w:r>
    </w:p>
    <w:p>
      <w:pPr>
        <w:pStyle w:val="Compact"/>
        <w:numPr>
          <w:ilvl w:val="0"/>
          <w:numId w:val="1003"/>
        </w:numPr>
      </w:pPr>
      <w:r>
        <w:t xml:space="preserve">replay fixtures;</w:t>
      </w:r>
    </w:p>
    <w:p>
      <w:pPr>
        <w:pStyle w:val="Compact"/>
        <w:numPr>
          <w:ilvl w:val="0"/>
          <w:numId w:val="1003"/>
        </w:numPr>
      </w:pPr>
      <w:r>
        <w:t xml:space="preserve">generated reports.</w:t>
      </w:r>
    </w:p>
    <w:bookmarkEnd w:id="33"/>
    <w:bookmarkEnd w:id="34"/>
    <w:bookmarkStart w:id="35" w:name="cloud-deployment-recommendation"/>
    <w:p>
      <w:pPr>
        <w:pStyle w:val="Heading2"/>
      </w:pPr>
      <w:r>
        <w:t xml:space="preserve">8. Cloud deployment recommendation</w:t>
      </w:r>
    </w:p>
    <w:p>
      <w:pPr>
        <w:pStyle w:val="FirstParagraph"/>
      </w:pPr>
      <w:r>
        <w:t xml:space="preserve">A professional AWS-shaped deployment can use:</w:t>
      </w:r>
      <w:r>
        <w:t xml:space="preserve"> </w:t>
      </w:r>
      <w:r>
        <w:t xml:space="preserve">- CloudFront/Cloudflare + WAF;</w:t>
      </w:r>
      <w:r>
        <w:t xml:space="preserve"> </w:t>
      </w:r>
      <w:r>
        <w:t xml:space="preserve">- ECS/Fargate or Kubernetes only if operational scale requires it;</w:t>
      </w:r>
      <w:r>
        <w:t xml:space="preserve"> </w:t>
      </w:r>
      <w:r>
        <w:t xml:space="preserve">- RDS PostgreSQL;</w:t>
      </w:r>
      <w:r>
        <w:t xml:space="preserve"> </w:t>
      </w:r>
      <w:r>
        <w:t xml:space="preserve">- ElastiCache Redis;</w:t>
      </w:r>
      <w:r>
        <w:t xml:space="preserve"> </w:t>
      </w:r>
      <w:r>
        <w:t xml:space="preserve">- S3;</w:t>
      </w:r>
      <w:r>
        <w:t xml:space="preserve"> </w:t>
      </w:r>
      <w:r>
        <w:t xml:space="preserve">- Secrets Manager/KMS;</w:t>
      </w:r>
      <w:r>
        <w:t xml:space="preserve"> </w:t>
      </w:r>
      <w:r>
        <w:t xml:space="preserve">- managed metrics/logs plus OpenTelemetry.</w:t>
      </w:r>
    </w:p>
    <w:p>
      <w:pPr>
        <w:pStyle w:val="BodyText"/>
      </w:pPr>
      <w:r>
        <w:t xml:space="preserve">For the first working MVP, a simpler managed platform is acceptable as long as the container/database/secret interfaces remain portable.</w:t>
      </w:r>
    </w:p>
    <w:bookmarkEnd w:id="35"/>
    <w:bookmarkStart w:id="36" w:name="performance-principles"/>
    <w:p>
      <w:pPr>
        <w:pStyle w:val="Heading2"/>
      </w:pPr>
      <w:r>
        <w:t xml:space="preserve">9. Performance principles</w:t>
      </w:r>
    </w:p>
    <w:p>
      <w:pPr>
        <w:pStyle w:val="Compact"/>
        <w:numPr>
          <w:ilvl w:val="0"/>
          <w:numId w:val="1004"/>
        </w:numPr>
      </w:pPr>
      <w:r>
        <w:t xml:space="preserve">Async I/O for external providers.</w:t>
      </w:r>
    </w:p>
    <w:p>
      <w:pPr>
        <w:pStyle w:val="Compact"/>
        <w:numPr>
          <w:ilvl w:val="0"/>
          <w:numId w:val="1004"/>
        </w:numPr>
      </w:pPr>
      <w:r>
        <w:t xml:space="preserve">One shared market stream per provider account where connection limits apply.</w:t>
      </w:r>
    </w:p>
    <w:p>
      <w:pPr>
        <w:pStyle w:val="Compact"/>
        <w:numPr>
          <w:ilvl w:val="0"/>
          <w:numId w:val="1004"/>
        </w:numPr>
      </w:pPr>
      <w:r>
        <w:t xml:space="preserve">Fan out internally rather than opening a WebSocket per user.</w:t>
      </w:r>
    </w:p>
    <w:p>
      <w:pPr>
        <w:pStyle w:val="Compact"/>
        <w:numPr>
          <w:ilvl w:val="0"/>
          <w:numId w:val="1004"/>
        </w:numPr>
      </w:pPr>
      <w:r>
        <w:t xml:space="preserve">Batch Luna classification where latency permits; use individual fast-lane requests for breaking items.</w:t>
      </w:r>
    </w:p>
    <w:p>
      <w:pPr>
        <w:pStyle w:val="Compact"/>
        <w:numPr>
          <w:ilvl w:val="0"/>
          <w:numId w:val="1004"/>
        </w:numPr>
      </w:pPr>
      <w:r>
        <w:t xml:space="preserve">Compute market features incrementally, not by repeatedly scanning entire histories.</w:t>
      </w:r>
    </w:p>
    <w:p>
      <w:pPr>
        <w:pStyle w:val="Compact"/>
        <w:numPr>
          <w:ilvl w:val="0"/>
          <w:numId w:val="1004"/>
        </w:numPr>
      </w:pPr>
      <w:r>
        <w:t xml:space="preserve">Cache symbol metadata and static taxonomies.</w:t>
      </w:r>
    </w:p>
    <w:p>
      <w:pPr>
        <w:pStyle w:val="Compact"/>
        <w:numPr>
          <w:ilvl w:val="0"/>
          <w:numId w:val="1004"/>
        </w:numPr>
      </w:pPr>
      <w:r>
        <w:t xml:space="preserve">Use database indexes/partitioning by time and asset.</w:t>
      </w:r>
    </w:p>
    <w:p>
      <w:pPr>
        <w:pStyle w:val="Compact"/>
        <w:numPr>
          <w:ilvl w:val="0"/>
          <w:numId w:val="1004"/>
        </w:numPr>
      </w:pPr>
      <w:r>
        <w:t xml:space="preserve">Do not introduce Kafka, ClickHouse or Kubernetes until measurements justify them.</w:t>
      </w:r>
    </w:p>
    <w:bookmarkEnd w:id="36"/>
    <w:bookmarkStart w:id="37" w:name="technology-decisions-to-avoid"/>
    <w:p>
      <w:pPr>
        <w:pStyle w:val="Heading2"/>
      </w:pPr>
      <w:r>
        <w:t xml:space="preserve">10. Technology decisions to avoid</w:t>
      </w:r>
    </w:p>
    <w:p>
      <w:pPr>
        <w:pStyle w:val="Compact"/>
        <w:numPr>
          <w:ilvl w:val="0"/>
          <w:numId w:val="1005"/>
        </w:numPr>
      </w:pPr>
      <w:r>
        <w:t xml:space="preserve">LLM running locally as the production intelligence engine.</w:t>
      </w:r>
    </w:p>
    <w:p>
      <w:pPr>
        <w:pStyle w:val="Compact"/>
        <w:numPr>
          <w:ilvl w:val="0"/>
          <w:numId w:val="1005"/>
        </w:numPr>
      </w:pPr>
      <w:r>
        <w:t xml:space="preserve">Browser-side API secrets.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Everything is a microservice</w:t>
      </w:r>
      <w:r>
        <w:t xml:space="preserve">”</w:t>
      </w:r>
      <w:r>
        <w:t xml:space="preserve"> </w:t>
      </w:r>
      <w:r>
        <w:t xml:space="preserve">from day one.</w:t>
      </w:r>
    </w:p>
    <w:p>
      <w:pPr>
        <w:pStyle w:val="Compact"/>
        <w:numPr>
          <w:ilvl w:val="0"/>
          <w:numId w:val="1005"/>
        </w:numPr>
      </w:pPr>
      <w:r>
        <w:t xml:space="preserve">Using pandas for every high-volume streaming operation when Polars/vectorized incremental logic is more appropriate.</w:t>
      </w:r>
    </w:p>
    <w:p>
      <w:pPr>
        <w:pStyle w:val="Compact"/>
        <w:numPr>
          <w:ilvl w:val="0"/>
          <w:numId w:val="1005"/>
        </w:numPr>
      </w:pPr>
      <w:r>
        <w:t xml:space="preserve">Storing only final signals without raw evidence/version metadata.</w:t>
      </w:r>
    </w:p>
    <w:p>
      <w:pPr>
        <w:pStyle w:val="Compact"/>
        <w:numPr>
          <w:ilvl w:val="0"/>
          <w:numId w:val="1005"/>
        </w:numPr>
      </w:pPr>
      <w:r>
        <w:t xml:space="preserve">Calling Sol for every headline.</w:t>
      </w:r>
    </w:p>
    <w:p>
      <w:pPr>
        <w:pStyle w:val="Compact"/>
        <w:numPr>
          <w:ilvl w:val="0"/>
          <w:numId w:val="1005"/>
        </w:numPr>
      </w:pPr>
      <w:r>
        <w:t xml:space="preserve">Polling real-time market endpoints when WebSocket streams are available.</w:t>
      </w:r>
    </w:p>
    <w:bookmarkEnd w:id="37"/>
    <w:bookmarkStart w:id="38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6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6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6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6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6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6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6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6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6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38"/>
    <w:bookmarkEnd w:id="39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2026-08-26T12:07:14Z</dcterms:created>
  <dcterms:modified xsi:type="dcterms:W3CDTF">2026-08-26T12:07:14Z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