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6bda27997c716009c086a3e4becb52f9922db10"/>
    <w:p>
      <w:pPr>
        <w:pStyle w:val="Heading1"/>
      </w:pPr>
      <w:r>
        <w:t xml:space="preserve">EventAlpha AI — System Architecture &amp; Deployment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3" w:name="architectural-style"/>
    <w:p>
      <w:pPr>
        <w:pStyle w:val="Heading2"/>
      </w:pPr>
      <w:r>
        <w:t xml:space="preserve">1. Architectural style</w:t>
      </w:r>
    </w:p>
    <w:p>
      <w:pPr>
        <w:pStyle w:val="FirstParagraph"/>
      </w:pPr>
      <w:r>
        <w:t xml:space="preserve">EventAlpha should be</w:t>
      </w:r>
      <w:r>
        <w:t xml:space="preserve"> </w:t>
      </w:r>
      <w:r>
        <w:rPr>
          <w:b/>
          <w:bCs/>
        </w:rPr>
        <w:t xml:space="preserve">event-driven internally, modular in code, and simple to deploy initially</w:t>
      </w:r>
      <w:r>
        <w:t xml:space="preserve">. The recommended MVP deployment has four runtime roles: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</w:t>
      </w:r>
      <w:r>
        <w:t xml:space="preserve"> </w:t>
      </w:r>
      <w:r>
        <w:t xml:space="preserve">— Next.js UI;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</w:t>
      </w:r>
      <w:r>
        <w:t xml:space="preserve"> </w:t>
      </w:r>
      <w:r>
        <w:t xml:space="preserve">— FastAPI REST/WebSocket gateway;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worker-fast</w:t>
      </w:r>
      <w:r>
        <w:t xml:space="preserve"> </w:t>
      </w:r>
      <w:r>
        <w:t xml:space="preserve">— low-latency ingestion, AI routing, signal/risk tasks;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worker-batch</w:t>
      </w:r>
      <w:r>
        <w:t xml:space="preserve"> </w:t>
      </w:r>
      <w:r>
        <w:t xml:space="preserve">— historical ingestion, reprocessing, backtests, analytics.</w:t>
      </w:r>
    </w:p>
    <w:p>
      <w:pPr>
        <w:pStyle w:val="FirstParagraph"/>
      </w:pPr>
      <w:r>
        <w:t xml:space="preserve">All roles use shared PostgreSQL/TimescaleDB, Redis and object storage. This avoids premature microservice complexity while preserving clear boundaries.</w:t>
      </w:r>
    </w:p>
    <w:p>
      <w:pPr>
        <w:pStyle w:val="CaptionedFigure"/>
      </w:pPr>
      <w:r>
        <w:drawing>
          <wp:inline>
            <wp:extent cx="5760720" cy="5766227"/>
            <wp:effectExtent b="0" l="0" r="0" t="0"/>
            <wp:docPr descr="Logical architecture" title="" id="21" name="Picture"/>
            <a:graphic>
              <a:graphicData uri="http://schemas.openxmlformats.org/drawingml/2006/picture">
                <pic:pic>
                  <pic:nvPicPr>
                    <pic:cNvPr descr="/mnt/data/EventAlpha_Project_Pack/diagrams/02_logical_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Logical architecture</w:t>
      </w:r>
    </w:p>
    <w:bookmarkEnd w:id="23"/>
    <w:bookmarkStart w:id="25" w:name="ingestion-layer"/>
    <w:p>
      <w:pPr>
        <w:pStyle w:val="Heading2"/>
      </w:pPr>
      <w:r>
        <w:t xml:space="preserve">2. Ingestion layer</w:t>
      </w:r>
    </w:p>
    <w:p>
      <w:pPr>
        <w:pStyle w:val="FirstParagraph"/>
      </w:pPr>
      <w:r>
        <w:t xml:space="preserve">Each provider implements a common adapter contract:</w:t>
      </w:r>
    </w:p>
    <w:p>
      <w:pPr>
        <w:pStyle w:val="SourceCode"/>
      </w:pPr>
      <w:r>
        <w:rPr>
          <w:rStyle w:val="VerbatimChar"/>
        </w:rPr>
        <w:t xml:space="preserve">connect/start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subscribe / poll</w:t>
      </w:r>
      <w:r>
        <w:br/>
      </w:r>
      <w:r>
        <w:rPr>
          <w:rStyle w:val="VerbatimChar"/>
        </w:rPr>
        <w:t xml:space="preserve">normalize_provider_timestamp</w:t>
      </w:r>
      <w:r>
        <w:br/>
      </w:r>
      <w:r>
        <w:rPr>
          <w:rStyle w:val="VerbatimChar"/>
        </w:rPr>
        <w:t xml:space="preserve">emit RawEnvelope</w:t>
      </w:r>
      <w:r>
        <w:br/>
      </w:r>
      <w:r>
        <w:rPr>
          <w:rStyle w:val="VerbatimChar"/>
        </w:rPr>
        <w:t xml:space="preserve">reconnect with backoff</w:t>
      </w:r>
      <w:r>
        <w:br/>
      </w:r>
      <w:r>
        <w:rPr>
          <w:rStyle w:val="VerbatimChar"/>
        </w:rPr>
        <w:t xml:space="preserve">shutdown cleanly</w:t>
      </w:r>
    </w:p>
    <w:p>
      <w:pPr>
        <w:pStyle w:val="FirstParagraph"/>
      </w:pPr>
      <w:r>
        <w:t xml:space="preserve">Every incoming item receives: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;</w:t>
      </w:r>
      <w:r>
        <w:t xml:space="preserve"> </w:t>
      </w:r>
      <w:r>
        <w:t xml:space="preserve">- provider-native identifier;</w:t>
      </w:r>
      <w:r>
        <w:t xml:space="preserve"> </w:t>
      </w:r>
      <w:r>
        <w:t xml:space="preserve">- source publication/event timestamp if present;</w:t>
      </w:r>
      <w:r>
        <w:t xml:space="preserve"> </w:t>
      </w:r>
      <w:r>
        <w:t xml:space="preserve">- EventAlpha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 </w:t>
      </w:r>
      <w:r>
        <w:t xml:space="preserve">in UTC;</w:t>
      </w:r>
      <w:r>
        <w:t xml:space="preserve"> </w:t>
      </w:r>
      <w:r>
        <w:t xml:space="preserve">- SHA-256/content fingerprint;</w:t>
      </w:r>
      <w:r>
        <w:t xml:space="preserve"> </w:t>
      </w:r>
      <w:r>
        <w:t xml:space="preserve">- payload location or normalized raw fields;</w:t>
      </w:r>
      <w:r>
        <w:t xml:space="preserve"> </w:t>
      </w:r>
      <w:r>
        <w:t xml:space="preserve">- trace/correlation ID.</w:t>
      </w:r>
    </w:p>
    <w:bookmarkStart w:id="24" w:name="reliability-rules"/>
    <w:p>
      <w:pPr>
        <w:pStyle w:val="Heading3"/>
      </w:pPr>
      <w:r>
        <w:t xml:space="preserve">Reliability rules</w:t>
      </w:r>
    </w:p>
    <w:p>
      <w:pPr>
        <w:pStyle w:val="Compact"/>
        <w:numPr>
          <w:ilvl w:val="0"/>
          <w:numId w:val="1002"/>
        </w:numPr>
      </w:pPr>
      <w:r>
        <w:t xml:space="preserve">bounded exponential backoff with jitter;</w:t>
      </w:r>
    </w:p>
    <w:p>
      <w:pPr>
        <w:pStyle w:val="Compact"/>
        <w:numPr>
          <w:ilvl w:val="0"/>
          <w:numId w:val="1002"/>
        </w:numPr>
      </w:pPr>
      <w:r>
        <w:t xml:space="preserve">heartbeat and last-seen timestamp;</w:t>
      </w:r>
    </w:p>
    <w:p>
      <w:pPr>
        <w:pStyle w:val="Compact"/>
        <w:numPr>
          <w:ilvl w:val="0"/>
          <w:numId w:val="1002"/>
        </w:numPr>
      </w:pPr>
      <w:r>
        <w:t xml:space="preserve">duplicate-safe ingestion;</w:t>
      </w:r>
    </w:p>
    <w:p>
      <w:pPr>
        <w:pStyle w:val="Compact"/>
        <w:numPr>
          <w:ilvl w:val="0"/>
          <w:numId w:val="1002"/>
        </w:numPr>
      </w:pPr>
      <w:r>
        <w:t xml:space="preserve">dead-letter stream after retry budget;</w:t>
      </w:r>
    </w:p>
    <w:p>
      <w:pPr>
        <w:pStyle w:val="Compact"/>
        <w:numPr>
          <w:ilvl w:val="0"/>
          <w:numId w:val="1002"/>
        </w:numPr>
      </w:pPr>
      <w:r>
        <w:t xml:space="preserve">provider quota/rate-limit metrics;</w:t>
      </w:r>
    </w:p>
    <w:p>
      <w:pPr>
        <w:pStyle w:val="Compact"/>
        <w:numPr>
          <w:ilvl w:val="0"/>
          <w:numId w:val="1002"/>
        </w:numPr>
      </w:pPr>
      <w:r>
        <w:t xml:space="preserve">clock drift monitoring;</w:t>
      </w:r>
    </w:p>
    <w:p>
      <w:pPr>
        <w:pStyle w:val="Compact"/>
        <w:numPr>
          <w:ilvl w:val="0"/>
          <w:numId w:val="1002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provider health state.</w:t>
      </w:r>
    </w:p>
    <w:bookmarkEnd w:id="24"/>
    <w:bookmarkEnd w:id="25"/>
    <w:bookmarkStart w:id="26" w:name="normalization-and-event-clustering"/>
    <w:p>
      <w:pPr>
        <w:pStyle w:val="Heading2"/>
      </w:pPr>
      <w:r>
        <w:t xml:space="preserve">3. Normalization and event clustering</w:t>
      </w:r>
    </w:p>
    <w:p>
      <w:pPr>
        <w:pStyle w:val="FirstParagraph"/>
      </w:pPr>
      <w:r>
        <w:t xml:space="preserve">Pipeline:</w:t>
      </w:r>
      <w:r>
        <w:t xml:space="preserve"> </w:t>
      </w:r>
      <w:r>
        <w:t xml:space="preserve">1. canonicalize encoding/URLs/source names;</w:t>
      </w:r>
      <w:r>
        <w:t xml:space="preserve"> </w:t>
      </w:r>
      <w:r>
        <w:t xml:space="preserve">2. language detection;</w:t>
      </w:r>
      <w:r>
        <w:t xml:space="preserve"> </w:t>
      </w:r>
      <w:r>
        <w:t xml:space="preserve">3. deterministic fingerprints;</w:t>
      </w:r>
      <w:r>
        <w:t xml:space="preserve"> </w:t>
      </w:r>
      <w:r>
        <w:t xml:space="preserve">4. near-duplicate similarity;</w:t>
      </w:r>
      <w:r>
        <w:t xml:space="preserve"> </w:t>
      </w:r>
      <w:r>
        <w:t xml:space="preserve">5. named-entity extraction/linking;</w:t>
      </w:r>
      <w:r>
        <w:t xml:space="preserve"> </w:t>
      </w:r>
      <w:r>
        <w:t xml:space="preserve">6. canonical event cluster assignment;</w:t>
      </w:r>
      <w:r>
        <w:t xml:space="preserve"> </w:t>
      </w:r>
      <w:r>
        <w:t xml:space="preserve">7. novelty score versus recent related clusters;</w:t>
      </w:r>
      <w:r>
        <w:t xml:space="preserve"> </w:t>
      </w:r>
      <w:r>
        <w:t xml:space="preserve">8. source independence assessment.</w:t>
      </w:r>
    </w:p>
    <w:p>
      <w:pPr>
        <w:pStyle w:val="BodyText"/>
      </w:pPr>
      <w:r>
        <w:t xml:space="preserve">The same event reported by 50 outlets should not become</w:t>
      </w:r>
      <w:r>
        <w:t xml:space="preserve"> </w:t>
      </w:r>
      <w:r>
        <w:t xml:space="preserve">“</w:t>
      </w:r>
      <w:r>
        <w:t xml:space="preserve">50x confidence.</w:t>
      </w:r>
      <w:r>
        <w:t xml:space="preserve">”</w:t>
      </w:r>
      <w:r>
        <w:t xml:space="preserve"> </w:t>
      </w:r>
      <w:r>
        <w:t xml:space="preserve">Confidence should increase mainly when independent authoritative evidence arrives.</w:t>
      </w:r>
    </w:p>
    <w:bookmarkEnd w:id="26"/>
    <w:bookmarkStart w:id="30" w:name="ai-intelligence-service"/>
    <w:p>
      <w:pPr>
        <w:pStyle w:val="Heading2"/>
      </w:pPr>
      <w:r>
        <w:t xml:space="preserve">4. AI intelligence service</w:t>
      </w:r>
    </w:p>
    <w:p>
      <w:pPr>
        <w:pStyle w:val="CaptionedFigure"/>
      </w:pPr>
      <w:r>
        <w:drawing>
          <wp:inline>
            <wp:extent cx="5120640" cy="8077848"/>
            <wp:effectExtent b="0" l="0" r="0" t="0"/>
            <wp:docPr descr="OpenAI router" title="" id="28" name="Picture"/>
            <a:graphic>
              <a:graphicData uri="http://schemas.openxmlformats.org/drawingml/2006/picture">
                <pic:pic>
                  <pic:nvPicPr>
                    <pic:cNvPr descr="/mnt/data/EventAlpha_Project_Pack/diagrams/04_openai_model_rou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07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OpenAI router</w:t>
      </w:r>
    </w:p>
    <w:p>
      <w:pPr>
        <w:pStyle w:val="BodyText"/>
      </w:pPr>
      <w:r>
        <w:t xml:space="preserve">The AI service receives a canonical event plus carefully selected evidence, never an unbounded raw firehose. It returns a strict</w:t>
      </w:r>
      <w:r>
        <w:t xml:space="preserve"> </w:t>
      </w:r>
      <w:r>
        <w:rPr>
          <w:rStyle w:val="VerbatimChar"/>
        </w:rPr>
        <w:t xml:space="preserve">AIEventAnalysis</w:t>
      </w:r>
      <w:r>
        <w:t xml:space="preserve"> </w:t>
      </w:r>
      <w:r>
        <w:t xml:space="preserve">schema containing:</w:t>
      </w:r>
      <w:r>
        <w:t xml:space="preserve"> </w:t>
      </w:r>
      <w:r>
        <w:t xml:space="preserve">- event taxonomy;</w:t>
      </w:r>
      <w:r>
        <w:t xml:space="preserve"> </w:t>
      </w:r>
      <w:r>
        <w:t xml:space="preserve">- entities/assets/sectors/countries;</w:t>
      </w:r>
      <w:r>
        <w:t xml:space="preserve"> </w:t>
      </w:r>
      <w:r>
        <w:t xml:space="preserve">- direction per impacted asset;</w:t>
      </w:r>
      <w:r>
        <w:t xml:space="preserve"> </w:t>
      </w:r>
      <w:r>
        <w:t xml:space="preserve">- impact magnitude;</w:t>
      </w:r>
      <w:r>
        <w:t xml:space="preserve"> </w:t>
      </w:r>
      <w:r>
        <w:t xml:space="preserve">- confidence/uncertainty;</w:t>
      </w:r>
      <w:r>
        <w:t xml:space="preserve"> </w:t>
      </w:r>
      <w:r>
        <w:t xml:space="preserve">- novelty and causal channels;</w:t>
      </w:r>
      <w:r>
        <w:t xml:space="preserve"> </w:t>
      </w:r>
      <w:r>
        <w:t xml:space="preserve">- horizon;</w:t>
      </w:r>
      <w:r>
        <w:t xml:space="preserve"> </w:t>
      </w:r>
      <w:r>
        <w:t xml:space="preserve">- contradicting evidence;</w:t>
      </w:r>
      <w:r>
        <w:t xml:space="preserve"> </w:t>
      </w:r>
      <w:r>
        <w:t xml:space="preserve">- invalidation scenarios;</w:t>
      </w:r>
      <w:r>
        <w:t xml:space="preserve"> </w:t>
      </w:r>
      <w:r>
        <w:t xml:space="preserve">- concise explanation;</w:t>
      </w:r>
      <w:r>
        <w:t xml:space="preserve"> </w:t>
      </w:r>
      <w:r>
        <w:t xml:space="preserve">- citations/source IDs used.</w:t>
      </w:r>
    </w:p>
    <w:p>
      <w:pPr>
        <w:pStyle w:val="BodyText"/>
      </w:pPr>
      <w:r>
        <w:t xml:space="preserve">Model router:</w:t>
      </w:r>
      <w:r>
        <w:t xml:space="preserve"> </w:t>
      </w:r>
      <w:r>
        <w:t xml:space="preserve">- Luna default fast lane;</w:t>
      </w:r>
      <w:r>
        <w:t xml:space="preserve"> </w:t>
      </w:r>
      <w:r>
        <w:t xml:space="preserve">- Terra if event importance/ambiguity threshold exceeded;</w:t>
      </w:r>
      <w:r>
        <w:t xml:space="preserve"> </w:t>
      </w:r>
      <w:r>
        <w:t xml:space="preserve">- Sol only when materiality is high and evidence conflict/complexity merits the cost.</w:t>
      </w:r>
    </w:p>
    <w:bookmarkEnd w:id="30"/>
    <w:bookmarkStart w:id="34" w:name="quant-feature-service"/>
    <w:p>
      <w:pPr>
        <w:pStyle w:val="Heading2"/>
      </w:pPr>
      <w:r>
        <w:t xml:space="preserve">5. Quant feature service</w:t>
      </w:r>
    </w:p>
    <w:p>
      <w:pPr>
        <w:pStyle w:val="FirstParagraph"/>
      </w:pPr>
      <w:r>
        <w:t xml:space="preserve">Features are computed</w:t>
      </w:r>
      <w:r>
        <w:t xml:space="preserve"> </w:t>
      </w:r>
      <w:r>
        <w:rPr>
          <w:b/>
          <w:bCs/>
        </w:rPr>
        <w:t xml:space="preserve">as of</w:t>
      </w:r>
      <w:r>
        <w:t xml:space="preserve"> </w:t>
      </w:r>
      <w:r>
        <w:t xml:space="preserve">a timestamp. Example groups:</w:t>
      </w:r>
    </w:p>
    <w:bookmarkStart w:id="31" w:name="pricereturn"/>
    <w:p>
      <w:pPr>
        <w:pStyle w:val="Heading3"/>
      </w:pPr>
      <w:r>
        <w:t xml:space="preserve">Price/return</w:t>
      </w:r>
    </w:p>
    <w:p>
      <w:pPr>
        <w:pStyle w:val="Compact"/>
        <w:numPr>
          <w:ilvl w:val="0"/>
          <w:numId w:val="1003"/>
        </w:numPr>
      </w:pPr>
      <w:r>
        <w:t xml:space="preserve">1m/5m/15m/1h returns;</w:t>
      </w:r>
    </w:p>
    <w:p>
      <w:pPr>
        <w:pStyle w:val="Compact"/>
        <w:numPr>
          <w:ilvl w:val="0"/>
          <w:numId w:val="1003"/>
        </w:numPr>
      </w:pPr>
      <w:r>
        <w:t xml:space="preserve">gap vs prior close;</w:t>
      </w:r>
    </w:p>
    <w:p>
      <w:pPr>
        <w:pStyle w:val="Compact"/>
        <w:numPr>
          <w:ilvl w:val="0"/>
          <w:numId w:val="1003"/>
        </w:numPr>
      </w:pPr>
      <w:r>
        <w:t xml:space="preserve">distance from VWAP/moving reference;</w:t>
      </w:r>
    </w:p>
    <w:p>
      <w:pPr>
        <w:pStyle w:val="Compact"/>
        <w:numPr>
          <w:ilvl w:val="0"/>
          <w:numId w:val="1003"/>
        </w:numPr>
      </w:pPr>
      <w:r>
        <w:t xml:space="preserve">momentum/reversal indicators.</w:t>
      </w:r>
    </w:p>
    <w:bookmarkEnd w:id="31"/>
    <w:bookmarkStart w:id="32" w:name="volatilityliquidity"/>
    <w:p>
      <w:pPr>
        <w:pStyle w:val="Heading3"/>
      </w:pPr>
      <w:r>
        <w:t xml:space="preserve">Volatility/liquidity</w:t>
      </w:r>
    </w:p>
    <w:p>
      <w:pPr>
        <w:pStyle w:val="Compact"/>
        <w:numPr>
          <w:ilvl w:val="0"/>
          <w:numId w:val="1004"/>
        </w:numPr>
      </w:pPr>
      <w:r>
        <w:t xml:space="preserve">realized volatility;</w:t>
      </w:r>
    </w:p>
    <w:p>
      <w:pPr>
        <w:pStyle w:val="Compact"/>
        <w:numPr>
          <w:ilvl w:val="0"/>
          <w:numId w:val="1004"/>
        </w:numPr>
      </w:pPr>
      <w:r>
        <w:t xml:space="preserve">ATR-like range measures;</w:t>
      </w:r>
    </w:p>
    <w:p>
      <w:pPr>
        <w:pStyle w:val="Compact"/>
        <w:numPr>
          <w:ilvl w:val="0"/>
          <w:numId w:val="1004"/>
        </w:numPr>
      </w:pPr>
      <w:r>
        <w:t xml:space="preserve">bid/ask spread where available;</w:t>
      </w:r>
    </w:p>
    <w:p>
      <w:pPr>
        <w:pStyle w:val="Compact"/>
        <w:numPr>
          <w:ilvl w:val="0"/>
          <w:numId w:val="1004"/>
        </w:numPr>
      </w:pPr>
      <w:r>
        <w:t xml:space="preserve">volume and dollar-volume z-scores;</w:t>
      </w:r>
    </w:p>
    <w:p>
      <w:pPr>
        <w:pStyle w:val="Compact"/>
        <w:numPr>
          <w:ilvl w:val="0"/>
          <w:numId w:val="1004"/>
        </w:numPr>
      </w:pPr>
      <w:r>
        <w:t xml:space="preserve">abnormal trade intensity.</w:t>
      </w:r>
    </w:p>
    <w:bookmarkEnd w:id="32"/>
    <w:bookmarkStart w:id="33" w:name="cross-assetcontext"/>
    <w:p>
      <w:pPr>
        <w:pStyle w:val="Heading3"/>
      </w:pPr>
      <w:r>
        <w:t xml:space="preserve">Cross-asset/context</w:t>
      </w:r>
    </w:p>
    <w:p>
      <w:pPr>
        <w:pStyle w:val="Compact"/>
        <w:numPr>
          <w:ilvl w:val="0"/>
          <w:numId w:val="1005"/>
        </w:numPr>
      </w:pPr>
      <w:r>
        <w:t xml:space="preserve">sector ETF move;</w:t>
      </w:r>
    </w:p>
    <w:p>
      <w:pPr>
        <w:pStyle w:val="Compact"/>
        <w:numPr>
          <w:ilvl w:val="0"/>
          <w:numId w:val="1005"/>
        </w:numPr>
      </w:pPr>
      <w:r>
        <w:t xml:space="preserve">index move;</w:t>
      </w:r>
    </w:p>
    <w:p>
      <w:pPr>
        <w:pStyle w:val="Compact"/>
        <w:numPr>
          <w:ilvl w:val="0"/>
          <w:numId w:val="1005"/>
        </w:numPr>
      </w:pPr>
      <w:r>
        <w:t xml:space="preserve">VIX/rates/USD/commodity context;</w:t>
      </w:r>
    </w:p>
    <w:p>
      <w:pPr>
        <w:pStyle w:val="Compact"/>
        <w:numPr>
          <w:ilvl w:val="0"/>
          <w:numId w:val="1005"/>
        </w:numPr>
      </w:pPr>
      <w:r>
        <w:t xml:space="preserve">rolling beta/correlation regime.</w:t>
      </w:r>
    </w:p>
    <w:p>
      <w:pPr>
        <w:pStyle w:val="FirstParagraph"/>
      </w:pPr>
      <w:r>
        <w:t xml:space="preserve">Feature calculations must be deterministic, versioned and backtestable from the same historical inputs.</w:t>
      </w:r>
    </w:p>
    <w:bookmarkEnd w:id="33"/>
    <w:bookmarkEnd w:id="34"/>
    <w:bookmarkStart w:id="35" w:name="signal-fusion-engine"/>
    <w:p>
      <w:pPr>
        <w:pStyle w:val="Heading2"/>
      </w:pPr>
      <w:r>
        <w:t xml:space="preserve">6. Signal fusion engine</w:t>
      </w:r>
    </w:p>
    <w:p>
      <w:pPr>
        <w:pStyle w:val="FirstParagraph"/>
      </w:pPr>
      <w:r>
        <w:t xml:space="preserve">The signal engine does not simply average opinions. It consumes:</w:t>
      </w:r>
      <w:r>
        <w:t xml:space="preserve"> </w:t>
      </w:r>
      <w:r>
        <w:t xml:space="preserve">- AI event impact;</w:t>
      </w:r>
      <w:r>
        <w:t xml:space="preserve"> </w:t>
      </w:r>
      <w:r>
        <w:t xml:space="preserve">- credibility/novelty;</w:t>
      </w:r>
      <w:r>
        <w:t xml:space="preserve"> </w:t>
      </w:r>
      <w:r>
        <w:t xml:space="preserve">- quant features;</w:t>
      </w:r>
      <w:r>
        <w:t xml:space="preserve"> </w:t>
      </w:r>
      <w:r>
        <w:t xml:space="preserve">- macro/context features;</w:t>
      </w:r>
      <w:r>
        <w:t xml:space="preserve"> </w:t>
      </w:r>
      <w:r>
        <w:t xml:space="preserve">- social features when available;</w:t>
      </w:r>
      <w:r>
        <w:t xml:space="preserve"> </w:t>
      </w:r>
      <w:r>
        <w:t xml:space="preserve">- cross-source confirmation;</w:t>
      </w:r>
      <w:r>
        <w:t xml:space="preserve"> </w:t>
      </w:r>
      <w:r>
        <w:t xml:space="preserve">- model calibration output.</w:t>
      </w:r>
    </w:p>
    <w:p>
      <w:pPr>
        <w:pStyle w:val="BodyText"/>
      </w:pPr>
      <w:r>
        <w:t xml:space="preserve">A simple auditable baseline can begin with a versioned weighted score, then be replaced/augmented by a trained tabular model when enough labeled history exists.</w:t>
      </w:r>
    </w:p>
    <w:p>
      <w:pPr>
        <w:pStyle w:val="BodyText"/>
      </w:pPr>
      <w:r>
        <w:t xml:space="preserve">Conceptual baseline:</w:t>
      </w:r>
    </w:p>
    <w:p>
      <w:pPr>
        <w:pStyle w:val="SourceCode"/>
      </w:pPr>
      <w:r>
        <w:rPr>
          <w:rStyle w:val="VerbatimChar"/>
        </w:rPr>
        <w:t xml:space="preserve">raw_edge =</w:t>
      </w:r>
      <w:r>
        <w:br/>
      </w:r>
      <w:r>
        <w:rPr>
          <w:rStyle w:val="VerbatimChar"/>
        </w:rPr>
        <w:t xml:space="preserve">  w_event   * event_impact * credibility * novelty</w:t>
      </w:r>
      <w:r>
        <w:br/>
      </w:r>
      <w:r>
        <w:rPr>
          <w:rStyle w:val="VerbatimChar"/>
        </w:rPr>
        <w:t xml:space="preserve">+ w_quant   * quant_score</w:t>
      </w:r>
      <w:r>
        <w:br/>
      </w:r>
      <w:r>
        <w:rPr>
          <w:rStyle w:val="VerbatimChar"/>
        </w:rPr>
        <w:t xml:space="preserve">+ w_context * market_context</w:t>
      </w:r>
      <w:r>
        <w:br/>
      </w:r>
      <w:r>
        <w:rPr>
          <w:rStyle w:val="VerbatimChar"/>
        </w:rPr>
        <w:t xml:space="preserve">+ w_social  * social_score</w:t>
      </w:r>
      <w:r>
        <w:br/>
      </w:r>
      <w:r>
        <w:rPr>
          <w:rStyle w:val="VerbatimChar"/>
        </w:rPr>
        <w:t xml:space="preserve">+ w_confirm * market_confirmation</w:t>
      </w:r>
      <w:r>
        <w:br/>
      </w:r>
      <w:r>
        <w:br/>
      </w:r>
      <w:r>
        <w:rPr>
          <w:rStyle w:val="VerbatimChar"/>
        </w:rPr>
        <w:t xml:space="preserve">score = tanh(raw_edge)</w:t>
      </w:r>
      <w:r>
        <w:br/>
      </w:r>
      <w:r>
        <w:rPr>
          <w:rStyle w:val="VerbatimChar"/>
        </w:rPr>
        <w:t xml:space="preserve">probability = calibrated_model(score, regime, horizon, ...)</w:t>
      </w:r>
    </w:p>
    <w:p>
      <w:pPr>
        <w:pStyle w:val="FirstParagraph"/>
      </w:pPr>
      <w:r>
        <w:t xml:space="preserve">Weights are configuration/model artifacts, never magic constants hidden in code.</w:t>
      </w:r>
    </w:p>
    <w:bookmarkEnd w:id="35"/>
    <w:bookmarkStart w:id="36" w:name="risk-engine"/>
    <w:p>
      <w:pPr>
        <w:pStyle w:val="Heading2"/>
      </w:pPr>
      <w:r>
        <w:t xml:space="preserve">7. Risk engine</w:t>
      </w:r>
    </w:p>
    <w:p>
      <w:pPr>
        <w:pStyle w:val="FirstParagraph"/>
      </w:pPr>
      <w:r>
        <w:t xml:space="preserve">The risk engine is deterministic and authoritative. It can:</w:t>
      </w:r>
      <w:r>
        <w:t xml:space="preserve"> </w:t>
      </w:r>
      <w:r>
        <w:t xml:space="preserve">- approve;</w:t>
      </w:r>
      <w:r>
        <w:t xml:space="preserve"> </w:t>
      </w:r>
      <w:r>
        <w:t xml:space="preserve">- downgrade BUY/SELL to HOLD/AVOID;</w:t>
      </w:r>
      <w:r>
        <w:t xml:space="preserve"> </w:t>
      </w:r>
      <w:r>
        <w:t xml:space="preserve">- reduce suggested paper size;</w:t>
      </w:r>
      <w:r>
        <w:t xml:space="preserve"> </w:t>
      </w:r>
      <w:r>
        <w:t xml:space="preserve">- block trading entirely.</w:t>
      </w:r>
    </w:p>
    <w:p>
      <w:pPr>
        <w:pStyle w:val="BodyText"/>
      </w:pPr>
      <w:r>
        <w:t xml:space="preserve">Hard gates include stale data, provider outage, spread/liquidity, extreme volatility, daily loss budget, exposure concentration, max concurrent positions, corrupted/missing evidence and global kill switch.</w:t>
      </w:r>
    </w:p>
    <w:bookmarkEnd w:id="36"/>
    <w:bookmarkStart w:id="40" w:name="real-time-delivery"/>
    <w:p>
      <w:pPr>
        <w:pStyle w:val="Heading2"/>
      </w:pPr>
      <w:r>
        <w:t xml:space="preserve">8. Real-time delivery</w:t>
      </w:r>
    </w:p>
    <w:p>
      <w:pPr>
        <w:pStyle w:val="CaptionedFigure"/>
      </w:pPr>
      <w:r>
        <w:drawing>
          <wp:inline>
            <wp:extent cx="6080760" cy="698702"/>
            <wp:effectExtent b="0" l="0" r="0" t="0"/>
            <wp:docPr descr="Breaking news sequence" title="" id="38" name="Picture"/>
            <a:graphic>
              <a:graphicData uri="http://schemas.openxmlformats.org/drawingml/2006/picture">
                <pic:pic>
                  <pic:nvPicPr>
                    <pic:cNvPr descr="/mnt/data/EventAlpha_Project_Pack/diagrams/05_realtime_sequen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69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Breaking news sequence</w:t>
      </w:r>
    </w:p>
    <w:p>
      <w:pPr>
        <w:pStyle w:val="BodyText"/>
      </w:pPr>
      <w:r>
        <w:t xml:space="preserve">The backend publishes typed WebSocket events such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event.created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event.updated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signal.created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signal.updated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risk.blocked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paper_order.updated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provider.health</w:t>
      </w:r>
      <w:r>
        <w:t xml:space="preserve">.</w:t>
      </w:r>
    </w:p>
    <w:p>
      <w:pPr>
        <w:pStyle w:val="BodyText"/>
      </w:pPr>
      <w:r>
        <w:t xml:space="preserve">WebSocket clients receive summaries; the UI fetches full details over REST when needed.</w:t>
      </w:r>
    </w:p>
    <w:bookmarkEnd w:id="40"/>
    <w:bookmarkStart w:id="41" w:name="persistence-and-audit"/>
    <w:p>
      <w:pPr>
        <w:pStyle w:val="Heading2"/>
      </w:pPr>
      <w:r>
        <w:t xml:space="preserve">9. Persistence and audit</w:t>
      </w:r>
    </w:p>
    <w:p>
      <w:pPr>
        <w:pStyle w:val="FirstParagraph"/>
      </w:pPr>
      <w:r>
        <w:t xml:space="preserve">Use append-oriented audit tables. A signal must be reproducible from:</w:t>
      </w:r>
      <w:r>
        <w:t xml:space="preserve"> </w:t>
      </w:r>
      <w:r>
        <w:t xml:space="preserve">- source raw item IDs;</w:t>
      </w:r>
      <w:r>
        <w:t xml:space="preserve"> </w:t>
      </w:r>
      <w:r>
        <w:t xml:space="preserve">- event version;</w:t>
      </w:r>
      <w:r>
        <w:t xml:space="preserve"> </w:t>
      </w:r>
      <w:r>
        <w:t xml:space="preserve">- AI prompt/schema/model version;</w:t>
      </w:r>
      <w:r>
        <w:t xml:space="preserve"> </w:t>
      </w:r>
      <w:r>
        <w:t xml:space="preserve">- feature-set version and exact values;</w:t>
      </w:r>
      <w:r>
        <w:t xml:space="preserve"> </w:t>
      </w:r>
      <w:r>
        <w:t xml:space="preserve">- strategy config hash;</w:t>
      </w:r>
      <w:r>
        <w:t xml:space="preserve"> </w:t>
      </w:r>
      <w:r>
        <w:t xml:space="preserve">- risk config hash;</w:t>
      </w:r>
      <w:r>
        <w:t xml:space="preserve"> </w:t>
      </w:r>
      <w:r>
        <w:t xml:space="preserve">- code version/commit SHA where possible.</w:t>
      </w:r>
    </w:p>
    <w:p>
      <w:pPr>
        <w:pStyle w:val="BodyText"/>
      </w:pPr>
      <w:r>
        <w:t xml:space="preserve">Never overwrite historical model output in place. Create a new analysis/version.</w:t>
      </w:r>
    </w:p>
    <w:bookmarkEnd w:id="41"/>
    <w:bookmarkStart w:id="47" w:name="production-deployment"/>
    <w:p>
      <w:pPr>
        <w:pStyle w:val="Heading2"/>
      </w:pPr>
      <w:r>
        <w:t xml:space="preserve">10. Production deployment</w:t>
      </w:r>
    </w:p>
    <w:p>
      <w:pPr>
        <w:pStyle w:val="CaptionedFigure"/>
      </w:pPr>
      <w:r>
        <w:drawing>
          <wp:inline>
            <wp:extent cx="5760720" cy="2776522"/>
            <wp:effectExtent b="0" l="0" r="0" t="0"/>
            <wp:docPr descr="Production deployment" title="" id="43" name="Picture"/>
            <a:graphic>
              <a:graphicData uri="http://schemas.openxmlformats.org/drawingml/2006/picture">
                <pic:pic>
                  <pic:nvPicPr>
                    <pic:cNvPr descr="/mnt/data/EventAlpha_Project_Pack/diagrams/06_production_deploymen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deployment</w:t>
      </w:r>
    </w:p>
    <w:bookmarkStart w:id="45" w:name="security-zones"/>
    <w:p>
      <w:pPr>
        <w:pStyle w:val="Heading3"/>
      </w:pPr>
      <w:r>
        <w:t xml:space="preserve">Security zones</w:t>
      </w:r>
    </w:p>
    <w:p>
      <w:pPr>
        <w:pStyle w:val="Compact"/>
        <w:numPr>
          <w:ilvl w:val="0"/>
          <w:numId w:val="1006"/>
        </w:numPr>
      </w:pPr>
      <w:r>
        <w:t xml:space="preserve">public edge: HTTPS only;</w:t>
      </w:r>
    </w:p>
    <w:p>
      <w:pPr>
        <w:pStyle w:val="Compact"/>
        <w:numPr>
          <w:ilvl w:val="0"/>
          <w:numId w:val="1006"/>
        </w:numPr>
      </w:pPr>
      <w:r>
        <w:t xml:space="preserve">web/API private application network where possible;</w:t>
      </w:r>
    </w:p>
    <w:p>
      <w:pPr>
        <w:pStyle w:val="Compact"/>
        <w:numPr>
          <w:ilvl w:val="0"/>
          <w:numId w:val="1006"/>
        </w:numPr>
      </w:pPr>
      <w:r>
        <w:t xml:space="preserve">databases not publicly exposed;</w:t>
      </w:r>
    </w:p>
    <w:p>
      <w:pPr>
        <w:pStyle w:val="Compact"/>
        <w:numPr>
          <w:ilvl w:val="0"/>
          <w:numId w:val="1006"/>
        </w:numPr>
      </w:pPr>
      <w:r>
        <w:t xml:space="preserve">egress restricted/observable;</w:t>
      </w:r>
    </w:p>
    <w:p>
      <w:pPr>
        <w:pStyle w:val="Compact"/>
        <w:numPr>
          <w:ilvl w:val="0"/>
          <w:numId w:val="1006"/>
        </w:numPr>
      </w:pPr>
      <w:r>
        <w:t xml:space="preserve">secrets from manager at runtime;</w:t>
      </w:r>
    </w:p>
    <w:p>
      <w:pPr>
        <w:pStyle w:val="Compact"/>
        <w:numPr>
          <w:ilvl w:val="0"/>
          <w:numId w:val="1006"/>
        </w:numPr>
      </w:pPr>
      <w:r>
        <w:t xml:space="preserve">least-privilege IAM/service accounts.</w:t>
      </w:r>
    </w:p>
    <w:bookmarkEnd w:id="45"/>
    <w:bookmarkStart w:id="46" w:name="high-availability-path"/>
    <w:p>
      <w:pPr>
        <w:pStyle w:val="Heading3"/>
      </w:pPr>
      <w:r>
        <w:t xml:space="preserve">High availability path</w:t>
      </w:r>
    </w:p>
    <w:p>
      <w:pPr>
        <w:pStyle w:val="FirstParagraph"/>
      </w:pPr>
      <w:r>
        <w:t xml:space="preserve">MVP can run single instances with managed DB/Redis backups. Production target:</w:t>
      </w:r>
      <w:r>
        <w:t xml:space="preserve"> </w:t>
      </w:r>
      <w:r>
        <w:t xml:space="preserve">- multiple API replicas;</w:t>
      </w:r>
      <w:r>
        <w:t xml:space="preserve"> </w:t>
      </w:r>
      <w:r>
        <w:t xml:space="preserve">- worker replicas with consumer groups;</w:t>
      </w:r>
      <w:r>
        <w:t xml:space="preserve"> </w:t>
      </w:r>
      <w:r>
        <w:t xml:space="preserve">- managed PostgreSQL HA;</w:t>
      </w:r>
      <w:r>
        <w:t xml:space="preserve"> </w:t>
      </w:r>
      <w:r>
        <w:t xml:space="preserve">- Redis failover;</w:t>
      </w:r>
      <w:r>
        <w:t xml:space="preserve"> </w:t>
      </w:r>
      <w:r>
        <w:t xml:space="preserve">- object storage versioning/lifecycle;</w:t>
      </w:r>
      <w:r>
        <w:t xml:space="preserve"> </w:t>
      </w:r>
      <w:r>
        <w:t xml:space="preserve">- health checks and automatic restart;</w:t>
      </w:r>
      <w:r>
        <w:t xml:space="preserve"> </w:t>
      </w:r>
      <w:r>
        <w:t xml:space="preserve">- documented recovery runbook.</w:t>
      </w:r>
    </w:p>
    <w:bookmarkEnd w:id="46"/>
    <w:bookmarkEnd w:id="47"/>
    <w:bookmarkStart w:id="51" w:name="scaling-plan"/>
    <w:p>
      <w:pPr>
        <w:pStyle w:val="Heading2"/>
      </w:pPr>
      <w:r>
        <w:t xml:space="preserve">11. Scaling plan</w:t>
      </w:r>
    </w:p>
    <w:bookmarkStart w:id="48" w:name="stage-a-mvp"/>
    <w:p>
      <w:pPr>
        <w:pStyle w:val="Heading3"/>
      </w:pPr>
      <w:r>
        <w:t xml:space="preserve">Stage A — MVP</w:t>
      </w:r>
    </w:p>
    <w:p>
      <w:pPr>
        <w:pStyle w:val="FirstParagraph"/>
      </w:pPr>
      <w:r>
        <w:t xml:space="preserve">Redis Streams + PostgreSQL/Timescale, 1-4 workers.</w:t>
      </w:r>
    </w:p>
    <w:bookmarkEnd w:id="48"/>
    <w:bookmarkStart w:id="49" w:name="stage-b-validated-product"/>
    <w:p>
      <w:pPr>
        <w:pStyle w:val="Heading3"/>
      </w:pPr>
      <w:r>
        <w:t xml:space="preserve">Stage B — validated product</w:t>
      </w:r>
    </w:p>
    <w:p>
      <w:pPr>
        <w:pStyle w:val="FirstParagraph"/>
      </w:pPr>
      <w:r>
        <w:t xml:space="preserve">Separate fast/batch queues, read replicas, autoscaling workers, stronger provider redundancy.</w:t>
      </w:r>
    </w:p>
    <w:bookmarkEnd w:id="49"/>
    <w:bookmarkStart w:id="50" w:name="stage-c-high-volume-multi-asset"/>
    <w:p>
      <w:pPr>
        <w:pStyle w:val="Heading3"/>
      </w:pPr>
      <w:r>
        <w:t xml:space="preserve">Stage C — high-volume multi-asset</w:t>
      </w:r>
    </w:p>
    <w:p>
      <w:pPr>
        <w:pStyle w:val="FirstParagraph"/>
      </w:pPr>
      <w:r>
        <w:t xml:space="preserve">Consider Redpanda/Kafka, ClickHouse for massive tick analytics, dedicated feature service and isolated execution service. Only adopt after profiling proves need.</w:t>
      </w:r>
    </w:p>
    <w:bookmarkEnd w:id="50"/>
    <w:bookmarkEnd w:id="51"/>
    <w:bookmarkStart w:id="52" w:name="failure-mode-design"/>
    <w:p>
      <w:pPr>
        <w:pStyle w:val="Heading2"/>
      </w:pPr>
      <w:r>
        <w:t xml:space="preserve">12. Failure-mode design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7343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Failure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OpenAI timeout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retry bounded; fallback model/rule or mark analysis unavailable; no guessed action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Market feed stale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block actionable signal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News provider down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continue with remaining providers and lower source coverage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Redis restart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restore consumers; persist critical state in DB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DB unavailable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stop new actionable decisions; buffer only within safe bounded limits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Broker paper API down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stop order attempts; retain signal/evidence; reconcile later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Conflicting sources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escalate model or output HOLD/AVOID with conflict reason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Cost budget exceeded</w:t>
            </w:r>
          </w:p>
        </w:tc>
        <w:tc>
          <w:tcPr>
            <w:tcW w:type="dxa" w:w="734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disable nonessential/batch AI; preserve fast critical lane</w:t>
            </w:r>
          </w:p>
        </w:tc>
      </w:tr>
    </w:tbl>
    <w:bookmarkEnd w:id="52"/>
    <w:bookmarkStart w:id="53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7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7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7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7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7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7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7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7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7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7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7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7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53"/>
    <w:bookmarkEnd w:id="54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Relationship Id="rId27" Type="http://schemas.openxmlformats.org/officeDocument/2006/relationships/image" Target="media/rId27.png"/><Relationship Id="rId37" Type="http://schemas.openxmlformats.org/officeDocument/2006/relationships/image" Target="media/rId37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2026-08-26T12:07:16Z</dcterms:created>
  <dcterms:modified xsi:type="dcterms:W3CDTF">2026-08-26T12:07:16Z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