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a2aad3e241821ccc3f3146a3cc35a2c4f24bc2"/>
    <w:p>
      <w:pPr>
        <w:pStyle w:val="Heading1"/>
      </w:pPr>
      <w:r>
        <w:t xml:space="preserve">EventAlpha AI — Data, AI &amp; Signal Engine Design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3" w:name="data-is-the-product-foundation"/>
    <w:p>
      <w:pPr>
        <w:pStyle w:val="Heading2"/>
      </w:pPr>
      <w:r>
        <w:t xml:space="preserve">1. Data is the product foundation</w:t>
      </w:r>
    </w:p>
    <w:p>
      <w:pPr>
        <w:pStyle w:val="FirstParagraph"/>
      </w:pPr>
      <w:r>
        <w:t xml:space="preserve">The most valuable part of EventAlpha is not the prompt. It is the</w:t>
      </w:r>
      <w:r>
        <w:t xml:space="preserve"> </w:t>
      </w:r>
      <w:r>
        <w:rPr>
          <w:b/>
          <w:bCs/>
        </w:rPr>
        <w:t xml:space="preserve">timestamped, normalized, replayable, point-in-time dataset</w:t>
      </w:r>
      <w:r>
        <w:t xml:space="preserve"> </w:t>
      </w:r>
      <w:r>
        <w:t xml:space="preserve">connecting events to assets and later market outcomes. Every future model improvement depends on this dataset being trustworthy.</w:t>
      </w:r>
    </w:p>
    <w:p>
      <w:pPr>
        <w:pStyle w:val="CaptionedFigure"/>
      </w:pPr>
      <w:r>
        <w:drawing>
          <wp:inline>
            <wp:extent cx="6080760" cy="304946"/>
            <wp:effectExtent b="0" l="0" r="0" t="0"/>
            <wp:docPr descr="Event-to-signal pipeline" title="" id="21" name="Picture"/>
            <a:graphic>
              <a:graphicData uri="http://schemas.openxmlformats.org/drawingml/2006/picture">
                <pic:pic>
                  <pic:nvPicPr>
                    <pic:cNvPr descr="/mnt/data/EventAlpha_Project_Pack/diagrams/03_event_to_signal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Event-to-signal pipeline</w:t>
      </w:r>
    </w:p>
    <w:bookmarkEnd w:id="23"/>
    <w:bookmarkStart w:id="24" w:name="canonical-time-semantics"/>
    <w:p>
      <w:pPr>
        <w:pStyle w:val="Heading2"/>
      </w:pPr>
      <w:r>
        <w:t xml:space="preserve">2. Canonical time semantics</w:t>
      </w:r>
    </w:p>
    <w:p>
      <w:pPr>
        <w:pStyle w:val="FirstParagraph"/>
      </w:pPr>
      <w:r>
        <w:t xml:space="preserve">Every relevant record should distinguish: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: when the real-world event occurred, if known;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: when source says it published;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: when EventAlpha first received it;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: when each pipeline stage completed;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: latest information legally available to a decision.</w:t>
      </w:r>
    </w:p>
    <w:p>
      <w:pPr>
        <w:pStyle w:val="BodyText"/>
      </w:pPr>
      <w:r>
        <w:t xml:space="preserve">Backtests must use</w:t>
      </w:r>
      <w:r>
        <w:t xml:space="preserve"> </w:t>
      </w:r>
      <w:r>
        <w:rPr>
          <w:rStyle w:val="VerbatimChar"/>
        </w:rPr>
        <w:t xml:space="preserve">received_at/as_of</w:t>
      </w:r>
      <w:r>
        <w:t xml:space="preserve"> </w:t>
      </w:r>
      <w:r>
        <w:t xml:space="preserve">semantics rather than assuming publication timestamps were instantly available.</w:t>
      </w:r>
    </w:p>
    <w:bookmarkEnd w:id="24"/>
    <w:bookmarkStart w:id="25" w:name="source-credibility-model"/>
    <w:p>
      <w:pPr>
        <w:pStyle w:val="Heading2"/>
      </w:pPr>
      <w:r>
        <w:t xml:space="preserve">3. Source credibility model</w:t>
      </w:r>
    </w:p>
    <w:p>
      <w:pPr>
        <w:pStyle w:val="FirstParagraph"/>
      </w:pPr>
      <w:r>
        <w:t xml:space="preserve">Maintain a source registry with fields such as:</w:t>
      </w:r>
      <w:r>
        <w:t xml:space="preserve"> </w:t>
      </w:r>
      <w:r>
        <w:t xml:space="preserve">- source type: regulator, central bank, company IR, major wire, newspaper, social account, anonymous social;</w:t>
      </w:r>
      <w:r>
        <w:t xml:space="preserve"> </w:t>
      </w:r>
      <w:r>
        <w:t xml:space="preserve">- historical accuracy/retraction behavior;</w:t>
      </w:r>
      <w:r>
        <w:t xml:space="preserve"> </w:t>
      </w:r>
      <w:r>
        <w:t xml:space="preserve">- direct/secondary reporting;</w:t>
      </w:r>
      <w:r>
        <w:t xml:space="preserve"> </w:t>
      </w:r>
      <w:r>
        <w:t xml:space="preserve">- identity verification;</w:t>
      </w:r>
      <w:r>
        <w:t xml:space="preserve"> </w:t>
      </w:r>
      <w:r>
        <w:t xml:space="preserve">- domain/account allowlist status;</w:t>
      </w:r>
      <w:r>
        <w:t xml:space="preserve"> </w:t>
      </w:r>
      <w:r>
        <w:t xml:space="preserve">- typical latency;</w:t>
      </w:r>
      <w:r>
        <w:t xml:space="preserve"> </w:t>
      </w:r>
      <w:r>
        <w:t xml:space="preserve">- licensing/storage restrictions.</w:t>
      </w:r>
    </w:p>
    <w:p>
      <w:pPr>
        <w:pStyle w:val="BodyText"/>
      </w:pPr>
      <w:r>
        <w:t xml:space="preserve">Credibility is not decided solely by the LLM. Begin with deterministic source priors plus cross-source corroboration and later learn empirical reliability.</w:t>
      </w:r>
    </w:p>
    <w:bookmarkEnd w:id="25"/>
    <w:bookmarkStart w:id="26" w:name="deduplication-and-event-clustering"/>
    <w:p>
      <w:pPr>
        <w:pStyle w:val="Heading2"/>
      </w:pPr>
      <w:r>
        <w:t xml:space="preserve">4. Deduplication and event clustering</w:t>
      </w:r>
    </w:p>
    <w:p>
      <w:pPr>
        <w:pStyle w:val="FirstParagraph"/>
      </w:pPr>
      <w:r>
        <w:t xml:space="preserve">Use layered matching:</w:t>
      </w:r>
      <w:r>
        <w:t xml:space="preserve"> </w:t>
      </w:r>
      <w:r>
        <w:t xml:space="preserve">1. exact provider/source ID;</w:t>
      </w:r>
      <w:r>
        <w:t xml:space="preserve"> </w:t>
      </w:r>
      <w:r>
        <w:t xml:space="preserve">2. normalized URL/content hash;</w:t>
      </w:r>
      <w:r>
        <w:t xml:space="preserve"> </w:t>
      </w:r>
      <w:r>
        <w:t xml:space="preserve">3. title fingerprint;</w:t>
      </w:r>
      <w:r>
        <w:t xml:space="preserve"> </w:t>
      </w:r>
      <w:r>
        <w:t xml:space="preserve">4. semantic embedding similarity;</w:t>
      </w:r>
      <w:r>
        <w:t xml:space="preserve"> </w:t>
      </w:r>
      <w:r>
        <w:t xml:space="preserve">5. entity/time/category overlap.</w:t>
      </w:r>
    </w:p>
    <w:p>
      <w:pPr>
        <w:pStyle w:val="BodyText"/>
      </w:pPr>
      <w:r>
        <w:t xml:space="preserve">A cluster stores a canonical event plus all mentions. The cluster’s novelty score compares it with prior related clusters so recycled news does not repeatedly trigger trades.</w:t>
      </w:r>
    </w:p>
    <w:bookmarkEnd w:id="26"/>
    <w:bookmarkStart w:id="27" w:name="entity-linking"/>
    <w:p>
      <w:pPr>
        <w:pStyle w:val="Heading2"/>
      </w:pPr>
      <w:r>
        <w:t xml:space="preserve">5. Entity linking</w:t>
      </w:r>
    </w:p>
    <w:p>
      <w:pPr>
        <w:pStyle w:val="FirstParagraph"/>
      </w:pPr>
      <w:r>
        <w:t xml:space="preserve">Canonical entity graph includes:</w:t>
      </w:r>
      <w:r>
        <w:t xml:space="preserve"> </w:t>
      </w:r>
      <w:r>
        <w:t xml:space="preserve">- company ↔ ticker ↔ exchange;</w:t>
      </w:r>
      <w:r>
        <w:t xml:space="preserve"> </w:t>
      </w:r>
      <w:r>
        <w:t xml:space="preserve">- parent/subsidiary;</w:t>
      </w:r>
      <w:r>
        <w:t xml:space="preserve"> </w:t>
      </w:r>
      <w:r>
        <w:t xml:space="preserve">- sector/industry;</w:t>
      </w:r>
      <w:r>
        <w:t xml:space="preserve"> </w:t>
      </w:r>
      <w:r>
        <w:t xml:space="preserve">- country/region;</w:t>
      </w:r>
      <w:r>
        <w:t xml:space="preserve"> </w:t>
      </w:r>
      <w:r>
        <w:t xml:space="preserve">- commodity;</w:t>
      </w:r>
      <w:r>
        <w:t xml:space="preserve"> </w:t>
      </w:r>
      <w:r>
        <w:t xml:space="preserve">- currency;</w:t>
      </w:r>
      <w:r>
        <w:t xml:space="preserve"> </w:t>
      </w:r>
      <w:r>
        <w:t xml:space="preserve">- index/ETF constituents;</w:t>
      </w:r>
      <w:r>
        <w:t xml:space="preserve"> </w:t>
      </w:r>
      <w:r>
        <w:t xml:space="preserve">- important executives/public institutions;</w:t>
      </w:r>
      <w:r>
        <w:t xml:space="preserve"> </w:t>
      </w:r>
      <w:r>
        <w:t xml:space="preserve">- optionally supply-chain relationships with confidence/source.</w:t>
      </w:r>
    </w:p>
    <w:p>
      <w:pPr>
        <w:pStyle w:val="BodyText"/>
      </w:pPr>
      <w:r>
        <w:t xml:space="preserve">Entity linking output includes confidence and ambiguity. Ambiguous aliases should not silently map to a ticker.</w:t>
      </w:r>
    </w:p>
    <w:bookmarkEnd w:id="27"/>
    <w:bookmarkStart w:id="28" w:name="aieventanalysis-contract"/>
    <w:p>
      <w:pPr>
        <w:pStyle w:val="Heading2"/>
      </w:pPr>
      <w:r>
        <w:t xml:space="preserve">6. AIEventAnalysis contract</w:t>
      </w:r>
    </w:p>
    <w:p>
      <w:pPr>
        <w:pStyle w:val="FirstParagraph"/>
      </w:pPr>
      <w:r>
        <w:t xml:space="preserve">The LLM must return typed JSON, 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"sanction_or_export_restriction"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"novelty"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"uncertainty"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"horizons"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"causal_channels"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"revenue_exposure"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"supply_constraint"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"invalidation_conditions"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"official denial"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 exemption"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"evidence_source_ids"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"src_..."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Values are hypotheses for the signal engine, not orders.</w:t>
      </w:r>
    </w:p>
    <w:bookmarkEnd w:id="28"/>
    <w:bookmarkStart w:id="29" w:name="prompt-architecture"/>
    <w:p>
      <w:pPr>
        <w:pStyle w:val="Heading2"/>
      </w:pPr>
      <w:r>
        <w:t xml:space="preserve">7. Prompt architecture</w:t>
      </w:r>
    </w:p>
    <w:p>
      <w:pPr>
        <w:pStyle w:val="FirstParagraph"/>
      </w:pPr>
      <w:r>
        <w:t xml:space="preserve">Use a versioned prompt composed of:</w:t>
      </w:r>
      <w:r>
        <w:t xml:space="preserve"> </w:t>
      </w:r>
      <w:r>
        <w:t xml:space="preserve">1. system policy and role;</w:t>
      </w:r>
      <w:r>
        <w:t xml:space="preserve"> </w:t>
      </w:r>
      <w:r>
        <w:t xml:space="preserve">2. event taxonomy definition;</w:t>
      </w:r>
      <w:r>
        <w:t xml:space="preserve"> </w:t>
      </w:r>
      <w:r>
        <w:t xml:space="preserve">3. strict decision rules;</w:t>
      </w:r>
      <w:r>
        <w:t xml:space="preserve"> </w:t>
      </w:r>
      <w:r>
        <w:t xml:space="preserve">4. source/evidence bundle;</w:t>
      </w:r>
      <w:r>
        <w:t xml:space="preserve"> </w:t>
      </w:r>
      <w:r>
        <w:t xml:space="preserve">5. known asset/entity metadata;</w:t>
      </w:r>
      <w:r>
        <w:t xml:space="preserve"> </w:t>
      </w:r>
      <w:r>
        <w:t xml:space="preserve">6. required JSON schema;</w:t>
      </w:r>
      <w:r>
        <w:t xml:space="preserve"> </w:t>
      </w:r>
      <w:r>
        <w:t xml:space="preserve">7. explicit instruction to state uncertainty and contradictions;</w:t>
      </w:r>
      <w:r>
        <w:t xml:space="preserve"> </w:t>
      </w:r>
      <w:r>
        <w:t xml:space="preserve">8. prohibition on inventing missing facts.</w:t>
      </w:r>
    </w:p>
    <w:p>
      <w:pPr>
        <w:pStyle w:val="BodyText"/>
      </w:pPr>
      <w:r>
        <w:t xml:space="preserve">Do not stuff entire article histories into every prompt. Retrieve only relevant evidence.</w:t>
      </w:r>
    </w:p>
    <w:bookmarkEnd w:id="29"/>
    <w:bookmarkStart w:id="33" w:name="model-routing"/>
    <w:p>
      <w:pPr>
        <w:pStyle w:val="Heading2"/>
      </w:pPr>
      <w:r>
        <w:t xml:space="preserve">8. Model routing</w:t>
      </w:r>
    </w:p>
    <w:bookmarkStart w:id="30" w:name="luna-fast-high-volume-stage"/>
    <w:p>
      <w:pPr>
        <w:pStyle w:val="Heading3"/>
      </w:pPr>
      <w:r>
        <w:t xml:space="preserve">Luna — fast high-volume stage</w:t>
      </w:r>
    </w:p>
    <w:p>
      <w:pPr>
        <w:pStyle w:val="Compact"/>
        <w:numPr>
          <w:ilvl w:val="0"/>
          <w:numId w:val="1001"/>
        </w:numPr>
      </w:pPr>
      <w:r>
        <w:t xml:space="preserve">relevance classification;</w:t>
      </w:r>
    </w:p>
    <w:p>
      <w:pPr>
        <w:pStyle w:val="Compact"/>
        <w:numPr>
          <w:ilvl w:val="0"/>
          <w:numId w:val="1001"/>
        </w:numPr>
      </w:pPr>
      <w:r>
        <w:t xml:space="preserve">event taxonomy;</w:t>
      </w:r>
    </w:p>
    <w:p>
      <w:pPr>
        <w:pStyle w:val="Compact"/>
        <w:numPr>
          <w:ilvl w:val="0"/>
          <w:numId w:val="1001"/>
        </w:numPr>
      </w:pPr>
      <w:r>
        <w:t xml:space="preserve">entity candidates;</w:t>
      </w:r>
    </w:p>
    <w:p>
      <w:pPr>
        <w:pStyle w:val="Compact"/>
        <w:numPr>
          <w:ilvl w:val="0"/>
          <w:numId w:val="1001"/>
        </w:numPr>
      </w:pPr>
      <w:r>
        <w:t xml:space="preserve">basic directional impact;</w:t>
      </w:r>
    </w:p>
    <w:p>
      <w:pPr>
        <w:pStyle w:val="Compact"/>
        <w:numPr>
          <w:ilvl w:val="0"/>
          <w:numId w:val="1001"/>
        </w:numPr>
      </w:pPr>
      <w:r>
        <w:t xml:space="preserve">evidence extraction;</w:t>
      </w:r>
    </w:p>
    <w:p>
      <w:pPr>
        <w:pStyle w:val="Compact"/>
        <w:numPr>
          <w:ilvl w:val="0"/>
          <w:numId w:val="1001"/>
        </w:numPr>
      </w:pPr>
      <w:r>
        <w:t xml:space="preserve">sentiment/context tags.</w:t>
      </w:r>
    </w:p>
    <w:bookmarkEnd w:id="30"/>
    <w:bookmarkStart w:id="31" w:name="terra-escalation"/>
    <w:p>
      <w:pPr>
        <w:pStyle w:val="Heading3"/>
      </w:pPr>
      <w:r>
        <w:t xml:space="preserve">Terra — escalation</w:t>
      </w:r>
    </w:p>
    <w:p>
      <w:pPr>
        <w:pStyle w:val="FirstParagraph"/>
      </w:pPr>
      <w:r>
        <w:t xml:space="preserve">Trigger when:</w:t>
      </w:r>
      <w:r>
        <w:t xml:space="preserve"> </w:t>
      </w:r>
      <w:r>
        <w:t xml:space="preserve">- high market-cap exposure;</w:t>
      </w:r>
      <w:r>
        <w:t xml:space="preserve"> </w:t>
      </w:r>
      <w:r>
        <w:t xml:space="preserve">- geopolitical/macro complexity;</w:t>
      </w:r>
      <w:r>
        <w:t xml:space="preserve"> </w:t>
      </w:r>
      <w:r>
        <w:t xml:space="preserve">- contradictory reputable sources;</w:t>
      </w:r>
      <w:r>
        <w:t xml:space="preserve"> </w:t>
      </w:r>
      <w:r>
        <w:t xml:space="preserve">- multiple causal channels;</w:t>
      </w:r>
      <w:r>
        <w:t xml:space="preserve"> </w:t>
      </w:r>
      <w:r>
        <w:t xml:space="preserve">- Luna uncertainty above threshold;</w:t>
      </w:r>
      <w:r>
        <w:t xml:space="preserve"> </w:t>
      </w:r>
      <w:r>
        <w:t xml:space="preserve">- unusual event class.</w:t>
      </w:r>
    </w:p>
    <w:bookmarkEnd w:id="31"/>
    <w:bookmarkStart w:id="32" w:name="sol-rare-expert-escalation"/>
    <w:p>
      <w:pPr>
        <w:pStyle w:val="Heading3"/>
      </w:pPr>
      <w:r>
        <w:t xml:space="preserve">Sol — rare expert escalation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genuinely high-impact cross-market events;</w:t>
      </w:r>
      <w:r>
        <w:t xml:space="preserve"> </w:t>
      </w:r>
      <w:r>
        <w:t xml:space="preserve">- unresolved contradiction after Terra;</w:t>
      </w:r>
      <w:r>
        <w:t xml:space="preserve"> </w:t>
      </w:r>
      <w:r>
        <w:t xml:space="preserve">- complex causal scenario analysis where additional cost is justified.</w:t>
      </w:r>
    </w:p>
    <w:p>
      <w:pPr>
        <w:pStyle w:val="BodyText"/>
      </w:pPr>
      <w:r>
        <w:t xml:space="preserve">Store router reason so cost decisions are auditable.</w:t>
      </w:r>
    </w:p>
    <w:bookmarkEnd w:id="32"/>
    <w:bookmarkEnd w:id="33"/>
    <w:bookmarkStart w:id="34" w:name="quantitative-feature-families"/>
    <w:p>
      <w:pPr>
        <w:pStyle w:val="Heading2"/>
      </w:pPr>
      <w:r>
        <w:t xml:space="preserve">9. Quantitative feature families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703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Family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DCE8F5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3233A"/>
                <w:sz w:val="15"/>
              </w:rPr>
              <w:t>Examples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Returns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1m/5m/15m/1h return, overnight gap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Momentum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rolling momentum, distance from VWAP/reference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Volatility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realized vol, range, volatility regime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Volume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volume z-score, dollar volume, trade intensity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Liquidity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spread/depth where feed supports it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Relative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stock vs sector ETF/index, residual return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Macro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rates, USD, oil, gold, VIX-like proxy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Event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novelty, credibility, source count, event type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Social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author quality, velocity, sentiment dispersion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Calendar</w:t>
            </w:r>
          </w:p>
        </w:tc>
        <w:tc>
          <w:tcPr>
            <w:tcW w:type="dxa" w:w="770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market session, earnings proximity, macro-release window</w:t>
            </w:r>
          </w:p>
        </w:tc>
      </w:tr>
    </w:tbl>
    <w:bookmarkEnd w:id="34"/>
    <w:bookmarkStart w:id="35" w:name="market-confirmation"/>
    <w:p>
      <w:pPr>
        <w:pStyle w:val="Heading2"/>
      </w:pPr>
      <w:r>
        <w:t xml:space="preserve">10. Market confirmation</w:t>
      </w:r>
    </w:p>
    <w:p>
      <w:pPr>
        <w:pStyle w:val="FirstParagraph"/>
      </w:pPr>
      <w:r>
        <w:t xml:space="preserve">Event impact should be checked against observed market behavior. Examples:</w:t>
      </w:r>
      <w:r>
        <w:t xml:space="preserve"> </w:t>
      </w:r>
      <w:r>
        <w:t xml:space="preserve">- predicted bearish but price/volume show no reaction → lower confidence;</w:t>
      </w:r>
      <w:r>
        <w:t xml:space="preserve"> </w:t>
      </w:r>
      <w:r>
        <w:t xml:space="preserve">- predicted positive, sector and asset both break higher on abnormal volume → raise confirmation;</w:t>
      </w:r>
      <w:r>
        <w:t xml:space="preserve"> </w:t>
      </w:r>
      <w:r>
        <w:t xml:space="preserve">- asset moves before the detected article → avoid assuming the article caused the move;</w:t>
      </w:r>
      <w:r>
        <w:t xml:space="preserve"> </w:t>
      </w:r>
      <w:r>
        <w:t xml:space="preserve">- broad market explains most of the move → reduce asset-specific attribution.</w:t>
      </w:r>
    </w:p>
    <w:bookmarkEnd w:id="35"/>
    <w:bookmarkStart w:id="36" w:name="signal-engine-baseline"/>
    <w:p>
      <w:pPr>
        <w:pStyle w:val="Heading2"/>
      </w:pPr>
      <w:r>
        <w:t xml:space="preserve">11. Signal engine baseline</w:t>
      </w:r>
    </w:p>
    <w:p>
      <w:pPr>
        <w:pStyle w:val="FirstParagraph"/>
      </w:pPr>
      <w:r>
        <w:t xml:space="preserve">Create one signal candidate per asset/horizon.</w:t>
      </w:r>
    </w:p>
    <w:p>
      <w:pPr>
        <w:pStyle w:val="BodyText"/>
      </w:pPr>
      <w:r>
        <w:t xml:space="preserve">Recommended stages:</w:t>
      </w:r>
      <w:r>
        <w:t xml:space="preserve"> </w:t>
      </w:r>
      <w:r>
        <w:t xml:space="preserve">1. rule-based eligibility;</w:t>
      </w:r>
      <w:r>
        <w:t xml:space="preserve"> </w:t>
      </w:r>
      <w:r>
        <w:t xml:space="preserve">2. feature vector assembly;</w:t>
      </w:r>
      <w:r>
        <w:t xml:space="preserve"> </w:t>
      </w:r>
      <w:r>
        <w:t xml:space="preserve">3. model/weighted score;</w:t>
      </w:r>
      <w:r>
        <w:t xml:space="preserve"> </w:t>
      </w:r>
      <w:r>
        <w:t xml:space="preserve">4. probability calibration;</w:t>
      </w:r>
      <w:r>
        <w:t xml:space="preserve"> </w:t>
      </w:r>
      <w:r>
        <w:t xml:space="preserve">5. action mapping;</w:t>
      </w:r>
      <w:r>
        <w:t xml:space="preserve"> </w:t>
      </w:r>
      <w:r>
        <w:t xml:space="preserve">6. TTL/invalidation assignment;</w:t>
      </w:r>
      <w:r>
        <w:t xml:space="preserve"> </w:t>
      </w:r>
      <w:r>
        <w:t xml:space="preserve">7. risk-engine review.</w:t>
      </w:r>
    </w:p>
    <w:p>
      <w:pPr>
        <w:pStyle w:val="BodyText"/>
      </w:pPr>
      <w:r>
        <w:t xml:space="preserve">Action thresholds are strategy configuration, not hardcoded forever. A safe starting framework:</w:t>
      </w:r>
      <w:r>
        <w:t xml:space="preserve"> </w:t>
      </w:r>
      <w:r>
        <w:t xml:space="preserve">- strong positive calibrated edge → BUY candidate;</w:t>
      </w:r>
      <w:r>
        <w:t xml:space="preserve"> </w:t>
      </w:r>
      <w:r>
        <w:t xml:space="preserve">- strong negative edge → SELL/REDUCE candidate;</w:t>
      </w:r>
      <w:r>
        <w:t xml:space="preserve"> </w:t>
      </w:r>
      <w:r>
        <w:t xml:space="preserve">- weak edge → HOLD;</w:t>
      </w:r>
      <w:r>
        <w:t xml:space="preserve"> </w:t>
      </w:r>
      <w:r>
        <w:t xml:space="preserve">- poor data quality/conflict/risk → AVOID.</w:t>
      </w:r>
    </w:p>
    <w:bookmarkEnd w:id="36"/>
    <w:bookmarkStart w:id="37" w:name="labels-and-learning-loop"/>
    <w:p>
      <w:pPr>
        <w:pStyle w:val="Heading2"/>
      </w:pPr>
      <w:r>
        <w:t xml:space="preserve">12. Labels and learning loop</w:t>
      </w:r>
    </w:p>
    <w:p>
      <w:pPr>
        <w:pStyle w:val="FirstParagraph"/>
      </w:pPr>
      <w:r>
        <w:t xml:space="preserve">For each published signal, create future outcome labels at defined horizons without rewriting the original signal:</w:t>
      </w:r>
      <w:r>
        <w:t xml:space="preserve"> </w:t>
      </w:r>
      <w:r>
        <w:t xml:space="preserve">- forward return;</w:t>
      </w:r>
      <w:r>
        <w:t xml:space="preserve"> </w:t>
      </w:r>
      <w:r>
        <w:t xml:space="preserve">- abnormal return vs benchmark/sector;</w:t>
      </w:r>
      <w:r>
        <w:t xml:space="preserve"> </w:t>
      </w:r>
      <w:r>
        <w:t xml:space="preserve">- max favorable/adverse excursion;</w:t>
      </w:r>
      <w:r>
        <w:t xml:space="preserve"> </w:t>
      </w:r>
      <w:r>
        <w:t xml:space="preserve">- realized volatility;</w:t>
      </w:r>
      <w:r>
        <w:t xml:space="preserve"> </w:t>
      </w:r>
      <w:r>
        <w:t xml:space="preserve">- whether invalidation occurred;</w:t>
      </w:r>
      <w:r>
        <w:t xml:space="preserve"> </w:t>
      </w:r>
      <w:r>
        <w:t xml:space="preserve">- simulated net return after costs.</w:t>
      </w:r>
    </w:p>
    <w:p>
      <w:pPr>
        <w:pStyle w:val="BodyText"/>
      </w:pPr>
      <w:r>
        <w:t xml:space="preserve">Use these labels to evaluate:</w:t>
      </w:r>
      <w:r>
        <w:t xml:space="preserve"> </w:t>
      </w:r>
      <w:r>
        <w:t xml:space="preserve">- event classes that actually predict returns;</w:t>
      </w:r>
      <w:r>
        <w:t xml:space="preserve"> </w:t>
      </w:r>
      <w:r>
        <w:t xml:space="preserve">- source reliability;</w:t>
      </w:r>
      <w:r>
        <w:t xml:space="preserve"> </w:t>
      </w:r>
      <w:r>
        <w:t xml:space="preserve">- confidence calibration;</w:t>
      </w:r>
      <w:r>
        <w:t xml:space="preserve"> </w:t>
      </w:r>
      <w:r>
        <w:t xml:space="preserve">- best horizon per event type;</w:t>
      </w:r>
      <w:r>
        <w:t xml:space="preserve"> </w:t>
      </w:r>
      <w:r>
        <w:t xml:space="preserve">- model drift.</w:t>
      </w:r>
    </w:p>
    <w:bookmarkEnd w:id="37"/>
    <w:bookmarkStart w:id="38" w:name="avoiding-leakage-and-overfitting"/>
    <w:p>
      <w:pPr>
        <w:pStyle w:val="Heading2"/>
      </w:pPr>
      <w:r>
        <w:t xml:space="preserve">13. Avoiding leakage and overfitting</w:t>
      </w:r>
    </w:p>
    <w:p>
      <w:pPr>
        <w:pStyle w:val="Compact"/>
        <w:numPr>
          <w:ilvl w:val="0"/>
          <w:numId w:val="1002"/>
        </w:numPr>
      </w:pPr>
      <w:r>
        <w:t xml:space="preserve">Use point-in-time universe membership where possible.</w:t>
      </w:r>
    </w:p>
    <w:p>
      <w:pPr>
        <w:pStyle w:val="Compact"/>
        <w:numPr>
          <w:ilvl w:val="0"/>
          <w:numId w:val="1002"/>
        </w:numPr>
      </w:pPr>
      <w:r>
        <w:t xml:space="preserve">Adjust corporate actions correctly.</w:t>
      </w:r>
    </w:p>
    <w:p>
      <w:pPr>
        <w:pStyle w:val="Compact"/>
        <w:numPr>
          <w:ilvl w:val="0"/>
          <w:numId w:val="1002"/>
        </w:numPr>
      </w:pPr>
      <w:r>
        <w:t xml:space="preserve">Use ALFRED vintages/release times for revised macro data.</w:t>
      </w:r>
    </w:p>
    <w:p>
      <w:pPr>
        <w:pStyle w:val="Compact"/>
        <w:numPr>
          <w:ilvl w:val="0"/>
          <w:numId w:val="1002"/>
        </w:numPr>
      </w:pPr>
      <w:r>
        <w:t xml:space="preserve">Split train/validation/test chronologically.</w:t>
      </w:r>
    </w:p>
    <w:p>
      <w:pPr>
        <w:pStyle w:val="Compact"/>
        <w:numPr>
          <w:ilvl w:val="0"/>
          <w:numId w:val="1002"/>
        </w:numPr>
      </w:pPr>
      <w:r>
        <w:t xml:space="preserve">Use walk-forward evaluation.</w:t>
      </w:r>
    </w:p>
    <w:p>
      <w:pPr>
        <w:pStyle w:val="Compact"/>
        <w:numPr>
          <w:ilvl w:val="0"/>
          <w:numId w:val="1002"/>
        </w:numPr>
      </w:pPr>
      <w:r>
        <w:t xml:space="preserve">Prevent same event cluster appearing in train and test through duplicates.</w:t>
      </w:r>
    </w:p>
    <w:p>
      <w:pPr>
        <w:pStyle w:val="Compact"/>
        <w:numPr>
          <w:ilvl w:val="0"/>
          <w:numId w:val="1002"/>
        </w:numPr>
      </w:pPr>
      <w:r>
        <w:t xml:space="preserve">Include realistic data/vendor latency and transaction costs.</w:t>
      </w:r>
    </w:p>
    <w:p>
      <w:pPr>
        <w:pStyle w:val="Compact"/>
        <w:numPr>
          <w:ilvl w:val="0"/>
          <w:numId w:val="1002"/>
        </w:numPr>
      </w:pPr>
      <w:r>
        <w:t xml:space="preserve">Tune on validation, report final results on untouched test periods.</w:t>
      </w:r>
    </w:p>
    <w:bookmarkEnd w:id="38"/>
    <w:bookmarkStart w:id="39" w:name="ai-evaluation-suite"/>
    <w:p>
      <w:pPr>
        <w:pStyle w:val="Heading2"/>
      </w:pPr>
      <w:r>
        <w:t xml:space="preserve">14. AI evaluation suite</w:t>
      </w:r>
    </w:p>
    <w:p>
      <w:pPr>
        <w:pStyle w:val="FirstParagraph"/>
      </w:pPr>
      <w:r>
        <w:t xml:space="preserve">Create a manually reviewed gold set of events. Measure:</w:t>
      </w:r>
      <w:r>
        <w:t xml:space="preserve"> </w:t>
      </w:r>
      <w:r>
        <w:t xml:space="preserve">- event taxonomy accuracy;</w:t>
      </w:r>
      <w:r>
        <w:t xml:space="preserve"> </w:t>
      </w:r>
      <w:r>
        <w:t xml:space="preserve">- entity/ticker precision/recall;</w:t>
      </w:r>
      <w:r>
        <w:t xml:space="preserve"> </w:t>
      </w:r>
      <w:r>
        <w:t xml:space="preserve">- direction agreement;</w:t>
      </w:r>
      <w:r>
        <w:t xml:space="preserve"> </w:t>
      </w:r>
      <w:r>
        <w:t xml:space="preserve">- impact calibration;</w:t>
      </w:r>
      <w:r>
        <w:t xml:space="preserve"> </w:t>
      </w:r>
      <w:r>
        <w:t xml:space="preserve">- hallucination rate;</w:t>
      </w:r>
      <w:r>
        <w:t xml:space="preserve"> </w:t>
      </w:r>
      <w:r>
        <w:t xml:space="preserve">- contradiction detection;</w:t>
      </w:r>
      <w:r>
        <w:t xml:space="preserve"> </w:t>
      </w:r>
      <w:r>
        <w:t xml:space="preserve">- schema-valid response rate;</w:t>
      </w:r>
      <w:r>
        <w:t xml:space="preserve"> </w:t>
      </w:r>
      <w:r>
        <w:t xml:space="preserve">- p50/p95 latency;</w:t>
      </w:r>
      <w:r>
        <w:t xml:space="preserve"> </w:t>
      </w:r>
      <w:r>
        <w:t xml:space="preserve">- average tokens/cost per event;</w:t>
      </w:r>
      <w:r>
        <w:t xml:space="preserve"> </w:t>
      </w:r>
      <w:r>
        <w:t xml:space="preserve">- escalation rate Luna → Terra → Sol.</w:t>
      </w:r>
    </w:p>
    <w:bookmarkEnd w:id="39"/>
    <w:bookmarkStart w:id="40" w:name="cost-control-design"/>
    <w:p>
      <w:pPr>
        <w:pStyle w:val="Heading2"/>
      </w:pPr>
      <w:r>
        <w:t xml:space="preserve">15. Cost-control design</w:t>
      </w:r>
    </w:p>
    <w:p>
      <w:pPr>
        <w:pStyle w:val="FirstParagraph"/>
      </w:pPr>
      <w:r>
        <w:t xml:space="preserve">A notional example using current GPT-5.6 text prices illustrates why routing matters. If deterministic filtering reduces 10,000 raw daily items to 2,000 Luna analyses, then only ~100 events escalate to Terra and ~5 to Sol, AI cost can remain modest relative to blindly using Sol everywhere. Actual cost depends strongly on prompt/output sizes, tool calls, caching and provider rates; instrument it rather than guessing.</w:t>
      </w:r>
    </w:p>
    <w:p>
      <w:pPr>
        <w:pStyle w:val="BodyText"/>
      </w:pPr>
      <w:r>
        <w:t xml:space="preserve">Implement daily/monthly budgets and alerts. When budget is exceeded:</w:t>
      </w:r>
      <w:r>
        <w:t xml:space="preserve"> </w:t>
      </w:r>
      <w:r>
        <w:t xml:space="preserve">- preserve critical fast-lane analyses;</w:t>
      </w:r>
      <w:r>
        <w:t xml:space="preserve"> </w:t>
      </w:r>
      <w:r>
        <w:t xml:space="preserve">- stop nonessential reprocessing;</w:t>
      </w:r>
      <w:r>
        <w:t xml:space="preserve"> </w:t>
      </w:r>
      <w:r>
        <w:t xml:space="preserve">- reduce escalation;</w:t>
      </w:r>
      <w:r>
        <w:t xml:space="preserve"> </w:t>
      </w:r>
      <w:r>
        <w:t xml:space="preserve">- never silently switch to unvalidated behavior.</w:t>
      </w:r>
    </w:p>
    <w:bookmarkEnd w:id="40"/>
    <w:bookmarkStart w:id="41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3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3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3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3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3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3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3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3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41"/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2026-08-26T12:07:17Z</dcterms:created>
  <dcterms:modified xsi:type="dcterms:W3CDTF">2026-08-26T12:07:17Z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