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0bdbfa0497d9d500c81187eb2fef16b10d0ec8b"/>
    <w:p>
      <w:pPr>
        <w:pStyle w:val="Heading1"/>
      </w:pPr>
      <w:r>
        <w:t xml:space="preserve">EventAlpha AI — Architecture Diagrams &amp; Processing Flows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EventAlpha AI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Target architecture / implementation specification</w:t>
      </w:r>
      <w:r>
        <w:br/>
      </w:r>
      <w:r>
        <w:rPr>
          <w:b/>
          <w:bCs/>
        </w:rPr>
        <w:t xml:space="preserve">Reference date:</w:t>
      </w:r>
      <w:r>
        <w:t xml:space="preserve"> </w:t>
      </w:r>
      <w:r>
        <w:t xml:space="preserve">26 August 2026</w:t>
      </w:r>
      <w:r>
        <w:br/>
      </w:r>
      <w:r>
        <w:rPr>
          <w:b/>
          <w:bCs/>
        </w:rPr>
        <w:t xml:space="preserve">Primary goal:</w:t>
      </w:r>
      <w:r>
        <w:t xml:space="preserve"> </w:t>
      </w:r>
      <w:r>
        <w:t xml:space="preserve">low-latency, cloud-first trading decision support based on market data, global events, filings, macro data and social signals.</w:t>
      </w:r>
      <w:r>
        <w:br/>
      </w:r>
      <w:r>
        <w:rPr>
          <w:b/>
          <w:bCs/>
        </w:rPr>
        <w:t xml:space="preserve">Safety principle:</w:t>
      </w:r>
      <w:r>
        <w:t xml:space="preserve"> </w:t>
      </w:r>
      <w:r>
        <w:t xml:space="preserve">the system may generate probabilistic trading signals, but it must never claim guaranteed profitability. Live execution is disabled by default; the mandatory path is research → backtest → shadow → paper trading → explicit human approval.</w:t>
      </w:r>
    </w:p>
    <w:p>
      <w:pPr>
        <w:pStyle w:val="BodyText"/>
      </w:pPr>
      <w:r>
        <w:t xml:space="preserve">This document is the visual companion to the architecture. Editable SVG and PNG versions are delivered in the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folder.</w:t>
      </w:r>
    </w:p>
    <w:bookmarkStart w:id="23" w:name="system-context"/>
    <w:p>
      <w:pPr>
        <w:pStyle w:val="Heading2"/>
      </w:pPr>
      <w:r>
        <w:t xml:space="preserve">1. System context</w:t>
      </w:r>
    </w:p>
    <w:p>
      <w:pPr>
        <w:pStyle w:val="CaptionedFigure"/>
      </w:pPr>
      <w:r>
        <w:drawing>
          <wp:inline>
            <wp:extent cx="6080760" cy="3081705"/>
            <wp:effectExtent b="0" l="0" r="0" t="0"/>
            <wp:docPr descr="System context" title="" id="21" name="Picture"/>
            <a:graphic>
              <a:graphicData uri="http://schemas.openxmlformats.org/drawingml/2006/picture">
                <pic:pic>
                  <pic:nvPicPr>
                    <pic:cNvPr descr="/mnt/data/EventAlpha_Project_Pack/diagrams/01_system_contex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081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shows that EventAlpha is a cloud application that consumes external market/event sources and OpenAI; the trader interacts with EventAlpha, not directly with secret-bearing vendor APIs.</w:t>
      </w:r>
    </w:p>
    <w:bookmarkEnd w:id="23"/>
    <w:bookmarkStart w:id="27" w:name="logical-architecture"/>
    <w:p>
      <w:pPr>
        <w:pStyle w:val="Heading2"/>
      </w:pPr>
      <w:r>
        <w:t xml:space="preserve">2. Logical architecture</w:t>
      </w:r>
    </w:p>
    <w:p>
      <w:pPr>
        <w:pStyle w:val="CaptionedFigure"/>
      </w:pPr>
      <w:r>
        <w:drawing>
          <wp:inline>
            <wp:extent cx="6080760" cy="6086573"/>
            <wp:effectExtent b="0" l="0" r="0" t="0"/>
            <wp:docPr descr="Logical architecture" title="" id="25" name="Picture"/>
            <a:graphic>
              <a:graphicData uri="http://schemas.openxmlformats.org/drawingml/2006/picture">
                <pic:pic>
                  <pic:nvPicPr>
                    <pic:cNvPr descr="/mnt/data/EventAlpha_Project_Pack/diagrams/02_logical_architect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608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Logical architecture</w:t>
      </w:r>
    </w:p>
    <w:p>
      <w:pPr>
        <w:pStyle w:val="BodyText"/>
      </w:pPr>
      <w:r>
        <w:rPr>
          <w:b/>
          <w:bCs/>
        </w:rPr>
        <w:t xml:space="preserve">Key rule:</w:t>
      </w:r>
      <w:r>
        <w:t xml:space="preserve"> </w:t>
      </w:r>
      <w:r>
        <w:t xml:space="preserve">event ingestion, AI intelligence, quant features, fusion and risk are separate logical modules even if deployed together during MVP.</w:t>
      </w:r>
    </w:p>
    <w:bookmarkEnd w:id="27"/>
    <w:bookmarkStart w:id="31" w:name="event-to-signal-pipeline"/>
    <w:p>
      <w:pPr>
        <w:pStyle w:val="Heading2"/>
      </w:pPr>
      <w:r>
        <w:t xml:space="preserve">3. Event-to-signal pipeline</w:t>
      </w:r>
    </w:p>
    <w:p>
      <w:pPr>
        <w:pStyle w:val="CaptionedFigure"/>
      </w:pPr>
      <w:r>
        <w:drawing>
          <wp:inline>
            <wp:extent cx="6080760" cy="304946"/>
            <wp:effectExtent b="0" l="0" r="0" t="0"/>
            <wp:docPr descr="Event to signal" title="" id="29" name="Picture"/>
            <a:graphic>
              <a:graphicData uri="http://schemas.openxmlformats.org/drawingml/2006/picture">
                <pic:pic>
                  <pic:nvPicPr>
                    <pic:cNvPr descr="/mnt/data/EventAlpha_Project_Pack/diagrams/03_event_to_signal_pip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04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Event to signal</w:t>
      </w:r>
    </w:p>
    <w:p>
      <w:pPr>
        <w:pStyle w:val="BodyText"/>
      </w:pPr>
      <w:r>
        <w:rPr>
          <w:b/>
          <w:bCs/>
        </w:rPr>
        <w:t xml:space="preserve">Key rule:</w:t>
      </w:r>
      <w:r>
        <w:t xml:space="preserve"> </w:t>
      </w:r>
      <w:r>
        <w:t xml:space="preserve">the AI analysis is one input. The final published signal happens only after quantitative confirmation and deterministic risk checks.</w:t>
      </w:r>
    </w:p>
    <w:bookmarkEnd w:id="31"/>
    <w:bookmarkStart w:id="35" w:name="openai-model-router"/>
    <w:p>
      <w:pPr>
        <w:pStyle w:val="Heading2"/>
      </w:pPr>
      <w:r>
        <w:t xml:space="preserve">4. OpenAI model router</w:t>
      </w:r>
    </w:p>
    <w:p>
      <w:pPr>
        <w:pStyle w:val="CaptionedFigure"/>
      </w:pPr>
      <w:r>
        <w:drawing>
          <wp:inline>
            <wp:extent cx="4160520" cy="6563251"/>
            <wp:effectExtent b="0" l="0" r="0" t="0"/>
            <wp:docPr descr="OpenAI model router" title="" id="33" name="Picture"/>
            <a:graphic>
              <a:graphicData uri="http://schemas.openxmlformats.org/drawingml/2006/picture">
                <pic:pic>
                  <pic:nvPicPr>
                    <pic:cNvPr descr="/mnt/data/EventAlpha_Project_Pack/diagrams/04_openai_model_route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6563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OpenAI model router</w:t>
      </w:r>
    </w:p>
    <w:p>
      <w:pPr>
        <w:pStyle w:val="BodyText"/>
      </w:pPr>
      <w:r>
        <w:rPr>
          <w:b/>
          <w:bCs/>
        </w:rPr>
        <w:t xml:space="preserve">Key rule:</w:t>
      </w:r>
      <w:r>
        <w:t xml:space="preserve"> </w:t>
      </w:r>
      <w:r>
        <w:t xml:space="preserve">Luna handles volume, Terra handles complexity, Sol handles rare escalations. This optimizes latency and cost.</w:t>
      </w:r>
    </w:p>
    <w:bookmarkEnd w:id="35"/>
    <w:bookmarkStart w:id="39" w:name="breaking-news-sequence"/>
    <w:p>
      <w:pPr>
        <w:pStyle w:val="Heading2"/>
      </w:pPr>
      <w:r>
        <w:t xml:space="preserve">5. Breaking-news sequence</w:t>
      </w:r>
    </w:p>
    <w:p>
      <w:pPr>
        <w:pStyle w:val="CaptionedFigure"/>
      </w:pPr>
      <w:r>
        <w:drawing>
          <wp:inline>
            <wp:extent cx="6272784" cy="720767"/>
            <wp:effectExtent b="0" l="0" r="0" t="0"/>
            <wp:docPr descr="Realtime sequence" title="" id="37" name="Picture"/>
            <a:graphic>
              <a:graphicData uri="http://schemas.openxmlformats.org/drawingml/2006/picture">
                <pic:pic>
                  <pic:nvPicPr>
                    <pic:cNvPr descr="/mnt/data/EventAlpha_Project_Pack/diagrams/05_realtime_sequenc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784" cy="72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Realtime sequence</w:t>
      </w:r>
    </w:p>
    <w:p>
      <w:pPr>
        <w:pStyle w:val="BodyText"/>
      </w:pPr>
      <w:r>
        <w:rPr>
          <w:b/>
          <w:bCs/>
        </w:rPr>
        <w:t xml:space="preserve">Key rule:</w:t>
      </w:r>
      <w:r>
        <w:t xml:space="preserve"> </w:t>
      </w:r>
      <w:r>
        <w:t xml:space="preserve">AI and quant work can run concurrently after normalization. The UI receives only the approved/blocked decision after risk evaluation.</w:t>
      </w:r>
    </w:p>
    <w:bookmarkEnd w:id="39"/>
    <w:bookmarkStart w:id="43" w:name="production-deployment"/>
    <w:p>
      <w:pPr>
        <w:pStyle w:val="Heading2"/>
      </w:pPr>
      <w:r>
        <w:t xml:space="preserve">6. Production deployment</w:t>
      </w:r>
    </w:p>
    <w:p>
      <w:pPr>
        <w:pStyle w:val="CaptionedFigure"/>
      </w:pPr>
      <w:r>
        <w:drawing>
          <wp:inline>
            <wp:extent cx="5888736" cy="2838223"/>
            <wp:effectExtent b="0" l="0" r="0" t="0"/>
            <wp:docPr descr="Production deployment" title="" id="41" name="Picture"/>
            <a:graphic>
              <a:graphicData uri="http://schemas.openxmlformats.org/drawingml/2006/picture">
                <pic:pic>
                  <pic:nvPicPr>
                    <pic:cNvPr descr="/mnt/data/EventAlpha_Project_Pack/diagrams/06_production_deploymen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736" cy="2838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Production deployment</w:t>
      </w:r>
    </w:p>
    <w:p>
      <w:pPr>
        <w:pStyle w:val="BodyText"/>
      </w:pPr>
      <w:r>
        <w:rPr>
          <w:b/>
          <w:bCs/>
        </w:rPr>
        <w:t xml:space="preserve">Key rule:</w:t>
      </w:r>
      <w:r>
        <w:t xml:space="preserve"> </w:t>
      </w:r>
      <w:r>
        <w:t xml:space="preserve">secrets and databases are server-side. The public browser never contains OpenAI/broker credentials.</w:t>
      </w:r>
    </w:p>
    <w:bookmarkEnd w:id="43"/>
    <w:bookmarkStart w:id="47" w:name="core-data-model"/>
    <w:p>
      <w:pPr>
        <w:pStyle w:val="Heading2"/>
      </w:pPr>
      <w:r>
        <w:t xml:space="preserve">7. Core data model</w:t>
      </w:r>
    </w:p>
    <w:p>
      <w:pPr>
        <w:pStyle w:val="CaptionedFigure"/>
      </w:pPr>
      <w:r>
        <w:drawing>
          <wp:inline>
            <wp:extent cx="6272784" cy="1050430"/>
            <wp:effectExtent b="0" l="0" r="0" t="0"/>
            <wp:docPr descr="Core data model" title="" id="45" name="Picture"/>
            <a:graphic>
              <a:graphicData uri="http://schemas.openxmlformats.org/drawingml/2006/picture">
                <pic:pic>
                  <pic:nvPicPr>
                    <pic:cNvPr descr="/mnt/data/EventAlpha_Project_Pack/diagrams/07_core_data_mode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784" cy="1050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Core data model</w:t>
      </w:r>
    </w:p>
    <w:p>
      <w:pPr>
        <w:pStyle w:val="BodyText"/>
      </w:pPr>
      <w:r>
        <w:rPr>
          <w:b/>
          <w:bCs/>
        </w:rPr>
        <w:t xml:space="preserve">Key rule:</w:t>
      </w:r>
      <w:r>
        <w:t xml:space="preserve"> </w:t>
      </w:r>
      <w:r>
        <w:t xml:space="preserve">keep raw source → canonical event → analysis/features → signal → risk → paper execution traceable.</w:t>
      </w:r>
    </w:p>
    <w:bookmarkEnd w:id="47"/>
    <w:bookmarkStart w:id="51" w:name="strategy-promotion-gates"/>
    <w:p>
      <w:pPr>
        <w:pStyle w:val="Heading2"/>
      </w:pPr>
      <w:r>
        <w:t xml:space="preserve">8. Strategy promotion gates</w:t>
      </w:r>
    </w:p>
    <w:p>
      <w:pPr>
        <w:pStyle w:val="CaptionedFigure"/>
      </w:pPr>
      <w:r>
        <w:drawing>
          <wp:inline>
            <wp:extent cx="6080760" cy="425287"/>
            <wp:effectExtent b="0" l="0" r="0" t="0"/>
            <wp:docPr descr="Promotion gates" title="" id="49" name="Picture"/>
            <a:graphic>
              <a:graphicData uri="http://schemas.openxmlformats.org/drawingml/2006/picture">
                <pic:pic>
                  <pic:nvPicPr>
                    <pic:cNvPr descr="/mnt/data/EventAlpha_Project_Pack/diagrams/08_strategy_promotion_gat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425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Promotion gates</w:t>
      </w:r>
    </w:p>
    <w:p>
      <w:pPr>
        <w:pStyle w:val="BodyText"/>
      </w:pPr>
      <w:r>
        <w:rPr>
          <w:b/>
          <w:bCs/>
        </w:rPr>
        <w:t xml:space="preserve">Key rule:</w:t>
      </w:r>
      <w:r>
        <w:t xml:space="preserve"> </w:t>
      </w:r>
      <w:r>
        <w:t xml:space="preserve">a strategy does not jump from a backtest to live money. It passes out-of-sample, shadow and paper stages first, followed by explicit review.</w:t>
      </w:r>
    </w:p>
    <w:bookmarkEnd w:id="51"/>
    <w:bookmarkStart w:id="52" w:name="diagram-ownership"/>
    <w:p>
      <w:pPr>
        <w:pStyle w:val="Heading2"/>
      </w:pPr>
      <w:r>
        <w:t xml:space="preserve">9. Diagram ownership</w:t>
      </w:r>
    </w:p>
    <w:p>
      <w:pPr>
        <w:pStyle w:val="FirstParagraph"/>
      </w:pPr>
      <w:r>
        <w:t xml:space="preserve">Keep diagrams version-controlled next to architecture docs. Any major change to a service boundary, data flow, security zone or strategy promotion process must update the corresponding diagram in the same pull request.</w:t>
      </w:r>
    </w:p>
    <w:bookmarkEnd w:id="52"/>
    <w:bookmarkEnd w:id="53"/>
    <w:sectPr w:rsidR="00FC693F" w:rsidRPr="0006063C" w:rsidSect="00034616">
      <w:headerReference r:id="rId9" w:type="default"/>
      <w:footerReference r:id="rId10" w:type="default"/>
      <w:pgSz w:h="15840" w:w="12240"/>
      <w:pgMar w:bottom="936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775"/>
        <w:sz w:val="15"/>
      </w:rPr>
      <w:t>Architecture pack • 26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775"/>
        <w:sz w:val="15"/>
      </w:rPr>
      <w:t>EVENTALPHA AI  |  PROFESSIONAL PROJECT SPECIFICATION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2" w:lineRule="auto"/>
    </w:pPr>
    <w:rPr>
      <w:rFonts w:ascii="Aptos" w:hAnsi="Aptos"/>
      <w:color w:val="232D3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323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ptos" w:asciiTheme="majorHAnsi" w:cstheme="majorBidi" w:eastAsiaTheme="majorEastAsia" w:hAnsi="Aptos" w:hAnsiTheme="majorHAnsi"/>
      <w:b/>
      <w:bCs/>
      <w:color w:val="2F66B3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ptos" w:asciiTheme="majorHAnsi" w:cstheme="majorBidi" w:eastAsiaTheme="majorEastAsia" w:hAnsi="Aptos" w:hAnsiTheme="majorHAnsi"/>
      <w:b/>
      <w:bCs/>
      <w:color w:val="2E7D5A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80" w:before="16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323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6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28" Type="http://schemas.openxmlformats.org/officeDocument/2006/relationships/image" Target="media/rId28.png"/><Relationship Id="rId32" Type="http://schemas.openxmlformats.org/officeDocument/2006/relationships/image" Target="media/rId32.png"/><Relationship Id="rId36" Type="http://schemas.openxmlformats.org/officeDocument/2006/relationships/image" Target="media/rId36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48" Type="http://schemas.openxmlformats.org/officeDocument/2006/relationships/image" Target="media/rId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2026-08-26T12:07:18Z</dcterms:created>
  <dcterms:modified xsi:type="dcterms:W3CDTF">2026-08-26T12:07:18Z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