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69b9721b04c8e725ab6a00b4c7be978816f8434"/>
    <w:p>
      <w:pPr>
        <w:pStyle w:val="Heading1"/>
      </w:pPr>
      <w:r>
        <w:t xml:space="preserve">EventAlpha AI — Risk, Backtesting &amp; Trading Governance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EventAlpha AI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Target architecture / implementation specification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low-latency, cloud-first trading decision support based on market data, global events, filings, macro data and social signals.</w:t>
      </w:r>
      <w:r>
        <w:br/>
      </w:r>
      <w:r>
        <w:rPr>
          <w:b/>
          <w:bCs/>
        </w:rPr>
        <w:t xml:space="preserve">Safety principle:</w:t>
      </w:r>
      <w:r>
        <w:t xml:space="preserve"> </w:t>
      </w:r>
      <w:r>
        <w:t xml:space="preserve">the system may generate probabilistic trading signals, but it must never claim guaranteed profitability. Live execution is disabled by default; the mandatory path is research → backtest → shadow → paper trading → explicit human approval.</w:t>
      </w:r>
    </w:p>
    <w:bookmarkStart w:id="23" w:name="fundamental-rule"/>
    <w:p>
      <w:pPr>
        <w:pStyle w:val="Heading2"/>
      </w:pPr>
      <w:r>
        <w:t xml:space="preserve">1. Fundamental rule</w:t>
      </w:r>
    </w:p>
    <w:p>
      <w:pPr>
        <w:pStyle w:val="FirstParagraph"/>
      </w:pPr>
      <w:r>
        <w:t xml:space="preserve">A profitable-looking model is not enough. EventAlpha must survive bad data, regime changes, latency, slippage, provider outages and model mistakes. The</w:t>
      </w:r>
      <w:r>
        <w:t xml:space="preserve"> </w:t>
      </w:r>
      <w:r>
        <w:rPr>
          <w:b/>
          <w:bCs/>
        </w:rPr>
        <w:t xml:space="preserve">risk engine has final authority</w:t>
      </w:r>
      <w:r>
        <w:t xml:space="preserve"> </w:t>
      </w:r>
      <w:r>
        <w:t xml:space="preserve">over every actionable signal.</w:t>
      </w:r>
    </w:p>
    <w:p>
      <w:pPr>
        <w:pStyle w:val="CaptionedFigure"/>
      </w:pPr>
      <w:r>
        <w:drawing>
          <wp:inline>
            <wp:extent cx="5760720" cy="402903"/>
            <wp:effectExtent b="0" l="0" r="0" t="0"/>
            <wp:docPr descr="Strategy promotion gates" title="" id="21" name="Picture"/>
            <a:graphic>
              <a:graphicData uri="http://schemas.openxmlformats.org/drawingml/2006/picture">
                <pic:pic>
                  <pic:nvPicPr>
                    <pic:cNvPr descr="/mnt/data/EventAlpha_Project_Pack/diagrams/08_strategy_promotion_gat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Strategy promotion gates</w:t>
      </w:r>
    </w:p>
    <w:bookmarkEnd w:id="23"/>
    <w:bookmarkStart w:id="29" w:name="risk-layers"/>
    <w:p>
      <w:pPr>
        <w:pStyle w:val="Heading2"/>
      </w:pPr>
      <w:r>
        <w:t xml:space="preserve">2. Risk layers</w:t>
      </w:r>
    </w:p>
    <w:bookmarkStart w:id="24" w:name="data-risk"/>
    <w:p>
      <w:pPr>
        <w:pStyle w:val="Heading3"/>
      </w:pPr>
      <w:r>
        <w:t xml:space="preserve">Data risk</w:t>
      </w:r>
    </w:p>
    <w:p>
      <w:pPr>
        <w:pStyle w:val="FirstParagraph"/>
      </w:pPr>
      <w:r>
        <w:t xml:space="preserve">Block or downgrade when:</w:t>
      </w:r>
      <w:r>
        <w:t xml:space="preserve"> </w:t>
      </w:r>
      <w:r>
        <w:t xml:space="preserve">- market feed is stale;</w:t>
      </w:r>
      <w:r>
        <w:t xml:space="preserve"> </w:t>
      </w:r>
      <w:r>
        <w:t xml:space="preserve">- timestamps are inconsistent;</w:t>
      </w:r>
      <w:r>
        <w:t xml:space="preserve"> </w:t>
      </w:r>
      <w:r>
        <w:t xml:space="preserve">- required provider is degraded;</w:t>
      </w:r>
      <w:r>
        <w:t xml:space="preserve"> </w:t>
      </w:r>
      <w:r>
        <w:t xml:space="preserve">- symbol mapping is ambiguous;</w:t>
      </w:r>
      <w:r>
        <w:t xml:space="preserve"> </w:t>
      </w:r>
      <w:r>
        <w:t xml:space="preserve">- event evidence has unresolved conflict;</w:t>
      </w:r>
      <w:r>
        <w:t xml:space="preserve"> </w:t>
      </w:r>
      <w:r>
        <w:t xml:space="preserve">- feature coverage is incomplete.</w:t>
      </w:r>
    </w:p>
    <w:bookmarkEnd w:id="24"/>
    <w:bookmarkStart w:id="25" w:name="marketliquidity-risk"/>
    <w:p>
      <w:pPr>
        <w:pStyle w:val="Heading3"/>
      </w:pPr>
      <w:r>
        <w:t xml:space="preserve">Market/liquidity risk</w:t>
      </w:r>
    </w:p>
    <w:p>
      <w:pPr>
        <w:pStyle w:val="Compact"/>
        <w:numPr>
          <w:ilvl w:val="0"/>
          <w:numId w:val="1001"/>
        </w:numPr>
      </w:pPr>
      <w:r>
        <w:t xml:space="preserve">spread too wide;</w:t>
      </w:r>
    </w:p>
    <w:p>
      <w:pPr>
        <w:pStyle w:val="Compact"/>
        <w:numPr>
          <w:ilvl w:val="0"/>
          <w:numId w:val="1001"/>
        </w:numPr>
      </w:pPr>
      <w:r>
        <w:t xml:space="preserve">insufficient volume/dollar volume;</w:t>
      </w:r>
    </w:p>
    <w:p>
      <w:pPr>
        <w:pStyle w:val="Compact"/>
        <w:numPr>
          <w:ilvl w:val="0"/>
          <w:numId w:val="1001"/>
        </w:numPr>
      </w:pPr>
      <w:r>
        <w:t xml:space="preserve">volatility above configured regime limit;</w:t>
      </w:r>
    </w:p>
    <w:p>
      <w:pPr>
        <w:pStyle w:val="Compact"/>
        <w:numPr>
          <w:ilvl w:val="0"/>
          <w:numId w:val="1001"/>
        </w:numPr>
      </w:pPr>
      <w:r>
        <w:t xml:space="preserve">price outside sanity bands;</w:t>
      </w:r>
    </w:p>
    <w:p>
      <w:pPr>
        <w:pStyle w:val="Compact"/>
        <w:numPr>
          <w:ilvl w:val="0"/>
          <w:numId w:val="1001"/>
        </w:numPr>
      </w:pPr>
      <w:r>
        <w:t xml:space="preserve">halted/suspended asset;</w:t>
      </w:r>
    </w:p>
    <w:p>
      <w:pPr>
        <w:pStyle w:val="Compact"/>
        <w:numPr>
          <w:ilvl w:val="0"/>
          <w:numId w:val="1001"/>
        </w:numPr>
      </w:pPr>
      <w:r>
        <w:t xml:space="preserve">market session restrictions.</w:t>
      </w:r>
    </w:p>
    <w:bookmarkEnd w:id="25"/>
    <w:bookmarkStart w:id="26" w:name="portfolio-risk"/>
    <w:p>
      <w:pPr>
        <w:pStyle w:val="Heading3"/>
      </w:pPr>
      <w:r>
        <w:t xml:space="preserve">Portfolio risk</w:t>
      </w:r>
    </w:p>
    <w:p>
      <w:pPr>
        <w:pStyle w:val="Compact"/>
        <w:numPr>
          <w:ilvl w:val="0"/>
          <w:numId w:val="1002"/>
        </w:numPr>
      </w:pPr>
      <w:r>
        <w:t xml:space="preserve">max position size;</w:t>
      </w:r>
    </w:p>
    <w:p>
      <w:pPr>
        <w:pStyle w:val="Compact"/>
        <w:numPr>
          <w:ilvl w:val="0"/>
          <w:numId w:val="1002"/>
        </w:numPr>
      </w:pPr>
      <w:r>
        <w:t xml:space="preserve">max risk per position;</w:t>
      </w:r>
    </w:p>
    <w:p>
      <w:pPr>
        <w:pStyle w:val="Compact"/>
        <w:numPr>
          <w:ilvl w:val="0"/>
          <w:numId w:val="1002"/>
        </w:numPr>
      </w:pPr>
      <w:r>
        <w:t xml:space="preserve">gross/net exposure limits;</w:t>
      </w:r>
    </w:p>
    <w:p>
      <w:pPr>
        <w:pStyle w:val="Compact"/>
        <w:numPr>
          <w:ilvl w:val="0"/>
          <w:numId w:val="1002"/>
        </w:numPr>
      </w:pPr>
      <w:r>
        <w:t xml:space="preserve">sector/theme concentration;</w:t>
      </w:r>
    </w:p>
    <w:p>
      <w:pPr>
        <w:pStyle w:val="Compact"/>
        <w:numPr>
          <w:ilvl w:val="0"/>
          <w:numId w:val="1002"/>
        </w:numPr>
      </w:pPr>
      <w:r>
        <w:t xml:space="preserve">correlated positions;</w:t>
      </w:r>
    </w:p>
    <w:p>
      <w:pPr>
        <w:pStyle w:val="Compact"/>
        <w:numPr>
          <w:ilvl w:val="0"/>
          <w:numId w:val="1002"/>
        </w:numPr>
      </w:pPr>
      <w:r>
        <w:t xml:space="preserve">max concurrent positions;</w:t>
      </w:r>
    </w:p>
    <w:p>
      <w:pPr>
        <w:pStyle w:val="Compact"/>
        <w:numPr>
          <w:ilvl w:val="0"/>
          <w:numId w:val="1002"/>
        </w:numPr>
      </w:pPr>
      <w:r>
        <w:t xml:space="preserve">daily/weekly paper loss limits;</w:t>
      </w:r>
    </w:p>
    <w:p>
      <w:pPr>
        <w:pStyle w:val="Compact"/>
        <w:numPr>
          <w:ilvl w:val="0"/>
          <w:numId w:val="1002"/>
        </w:numPr>
      </w:pPr>
      <w:r>
        <w:t xml:space="preserve">drawdown circuit breaker.</w:t>
      </w:r>
    </w:p>
    <w:bookmarkEnd w:id="26"/>
    <w:bookmarkStart w:id="27" w:name="model-risk"/>
    <w:p>
      <w:pPr>
        <w:pStyle w:val="Heading3"/>
      </w:pPr>
      <w:r>
        <w:t xml:space="preserve">Model risk</w:t>
      </w:r>
    </w:p>
    <w:p>
      <w:pPr>
        <w:pStyle w:val="Compact"/>
        <w:numPr>
          <w:ilvl w:val="0"/>
          <w:numId w:val="1003"/>
        </w:numPr>
      </w:pPr>
      <w:r>
        <w:t xml:space="preserve">model version not approved;</w:t>
      </w:r>
    </w:p>
    <w:p>
      <w:pPr>
        <w:pStyle w:val="Compact"/>
        <w:numPr>
          <w:ilvl w:val="0"/>
          <w:numId w:val="1003"/>
        </w:numPr>
      </w:pPr>
      <w:r>
        <w:t xml:space="preserve">confidence outside calibrated region;</w:t>
      </w:r>
    </w:p>
    <w:p>
      <w:pPr>
        <w:pStyle w:val="Compact"/>
        <w:numPr>
          <w:ilvl w:val="0"/>
          <w:numId w:val="1003"/>
        </w:numPr>
      </w:pPr>
      <w:r>
        <w:t xml:space="preserve">drift threshold exceeded;</w:t>
      </w:r>
    </w:p>
    <w:p>
      <w:pPr>
        <w:pStyle w:val="Compact"/>
        <w:numPr>
          <w:ilvl w:val="0"/>
          <w:numId w:val="1003"/>
        </w:numPr>
      </w:pPr>
      <w:r>
        <w:t xml:space="preserve">unusually high disagreement between components;</w:t>
      </w:r>
    </w:p>
    <w:p>
      <w:pPr>
        <w:pStyle w:val="Compact"/>
        <w:numPr>
          <w:ilvl w:val="0"/>
          <w:numId w:val="1003"/>
        </w:numPr>
      </w:pPr>
      <w:r>
        <w:t xml:space="preserve">missing model evaluation artifact.</w:t>
      </w:r>
    </w:p>
    <w:bookmarkEnd w:id="27"/>
    <w:bookmarkStart w:id="28" w:name="operational-risk"/>
    <w:p>
      <w:pPr>
        <w:pStyle w:val="Heading3"/>
      </w:pPr>
      <w:r>
        <w:t xml:space="preserve">Operational risk</w:t>
      </w:r>
    </w:p>
    <w:p>
      <w:pPr>
        <w:pStyle w:val="Compact"/>
        <w:numPr>
          <w:ilvl w:val="0"/>
          <w:numId w:val="1004"/>
        </w:numPr>
      </w:pPr>
      <w:r>
        <w:t xml:space="preserve">DB/queue health;</w:t>
      </w:r>
    </w:p>
    <w:p>
      <w:pPr>
        <w:pStyle w:val="Compact"/>
        <w:numPr>
          <w:ilvl w:val="0"/>
          <w:numId w:val="1004"/>
        </w:numPr>
      </w:pPr>
      <w:r>
        <w:t xml:space="preserve">broker reconciliation mismatch;</w:t>
      </w:r>
    </w:p>
    <w:p>
      <w:pPr>
        <w:pStyle w:val="Compact"/>
        <w:numPr>
          <w:ilvl w:val="0"/>
          <w:numId w:val="1004"/>
        </w:numPr>
      </w:pPr>
      <w:r>
        <w:t xml:space="preserve">duplicate order prevention;</w:t>
      </w:r>
    </w:p>
    <w:p>
      <w:pPr>
        <w:pStyle w:val="Compact"/>
        <w:numPr>
          <w:ilvl w:val="0"/>
          <w:numId w:val="1004"/>
        </w:numPr>
      </w:pPr>
      <w:r>
        <w:t xml:space="preserve">kill switch;</w:t>
      </w:r>
    </w:p>
    <w:p>
      <w:pPr>
        <w:pStyle w:val="Compact"/>
        <w:numPr>
          <w:ilvl w:val="0"/>
          <w:numId w:val="1004"/>
        </w:numPr>
      </w:pPr>
      <w:r>
        <w:t xml:space="preserve">deployment/change freeze around sensitive windows if configured.</w:t>
      </w:r>
    </w:p>
    <w:bookmarkEnd w:id="28"/>
    <w:bookmarkEnd w:id="29"/>
    <w:bookmarkStart w:id="30" w:name="position-sizing"/>
    <w:p>
      <w:pPr>
        <w:pStyle w:val="Heading2"/>
      </w:pPr>
      <w:r>
        <w:t xml:space="preserve">3. Position sizing</w:t>
      </w:r>
    </w:p>
    <w:p>
      <w:pPr>
        <w:pStyle w:val="FirstParagraph"/>
      </w:pPr>
      <w:r>
        <w:t xml:space="preserve">The engine should separate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size</w:t>
      </w:r>
      <w:r>
        <w:t xml:space="preserve">. A signal can be correct but too risky to size aggressively.</w:t>
      </w:r>
    </w:p>
    <w:p>
      <w:pPr>
        <w:pStyle w:val="BodyText"/>
      </w:pPr>
      <w:r>
        <w:t xml:space="preserve">For paper trading, start with configurable conservative rules such as risk-budget sizing based on stop/invalidation distance and volatility. Exact percentages are strategy parameters and should be tested, not treated as universal truths.</w:t>
      </w:r>
    </w:p>
    <w:p>
      <w:pPr>
        <w:pStyle w:val="BodyText"/>
      </w:pPr>
      <w:r>
        <w:t xml:space="preserve">Sizing inputs:</w:t>
      </w:r>
      <w:r>
        <w:t xml:space="preserve"> </w:t>
      </w:r>
      <w:r>
        <w:t xml:space="preserve">- calibrated probability/edge;</w:t>
      </w:r>
      <w:r>
        <w:t xml:space="preserve"> </w:t>
      </w:r>
      <w:r>
        <w:t xml:space="preserve">- volatility;</w:t>
      </w:r>
      <w:r>
        <w:t xml:space="preserve"> </w:t>
      </w:r>
      <w:r>
        <w:t xml:space="preserve">- spread/liquidity;</w:t>
      </w:r>
      <w:r>
        <w:t xml:space="preserve"> </w:t>
      </w:r>
      <w:r>
        <w:t xml:space="preserve">- portfolio correlation;</w:t>
      </w:r>
      <w:r>
        <w:t xml:space="preserve"> </w:t>
      </w:r>
      <w:r>
        <w:t xml:space="preserve">- current drawdown;</w:t>
      </w:r>
      <w:r>
        <w:t xml:space="preserve"> </w:t>
      </w:r>
      <w:r>
        <w:t xml:space="preserve">- event horizon;</w:t>
      </w:r>
      <w:r>
        <w:t xml:space="preserve"> </w:t>
      </w:r>
      <w:r>
        <w:t xml:space="preserve">- maximum loss budget.</w:t>
      </w:r>
    </w:p>
    <w:bookmarkEnd w:id="30"/>
    <w:bookmarkStart w:id="31" w:name="order-safeguards"/>
    <w:p>
      <w:pPr>
        <w:pStyle w:val="Heading2"/>
      </w:pPr>
      <w:r>
        <w:t xml:space="preserve">4. Order safeguards</w:t>
      </w:r>
    </w:p>
    <w:p>
      <w:pPr>
        <w:pStyle w:val="FirstParagraph"/>
      </w:pPr>
      <w:r>
        <w:t xml:space="preserve">Even in paper mode:</w:t>
      </w:r>
      <w:r>
        <w:t xml:space="preserve"> </w:t>
      </w:r>
      <w:r>
        <w:t xml:space="preserve">- unique client order ID/idempotency key;</w:t>
      </w:r>
      <w:r>
        <w:t xml:space="preserve"> </w:t>
      </w:r>
      <w:r>
        <w:t xml:space="preserve">- pre-trade validation;</w:t>
      </w:r>
      <w:r>
        <w:t xml:space="preserve"> </w:t>
      </w:r>
      <w:r>
        <w:t xml:space="preserve">- timeout and reconciliation;</w:t>
      </w:r>
      <w:r>
        <w:t xml:space="preserve"> </w:t>
      </w:r>
      <w:r>
        <w:t xml:space="preserve">- prevent repeated execution of the same signal/version;</w:t>
      </w:r>
      <w:r>
        <w:t xml:space="preserve"> </w:t>
      </w:r>
      <w:r>
        <w:t xml:space="preserve">- handle partial fills/cancellations/rejections;</w:t>
      </w:r>
      <w:r>
        <w:t xml:space="preserve"> </w:t>
      </w:r>
      <w:r>
        <w:t xml:space="preserve">- persist provider order events;</w:t>
      </w:r>
      <w:r>
        <w:t xml:space="preserve"> </w:t>
      </w:r>
      <w:r>
        <w:t xml:space="preserve">- never assume an HTTP timeout means</w:t>
      </w:r>
      <w:r>
        <w:t xml:space="preserve"> </w:t>
      </w:r>
      <w:r>
        <w:t xml:space="preserve">“</w:t>
      </w:r>
      <w:r>
        <w:t xml:space="preserve">order failed.</w:t>
      </w:r>
      <w:r>
        <w:t xml:space="preserve">”</w:t>
      </w:r>
      <w:r>
        <w:t xml:space="preserve"> </w:t>
      </w:r>
      <w:r>
        <w:t xml:space="preserve">Reconcile first.</w:t>
      </w:r>
    </w:p>
    <w:bookmarkEnd w:id="31"/>
    <w:bookmarkStart w:id="32" w:name="backtest-correctness"/>
    <w:p>
      <w:pPr>
        <w:pStyle w:val="Heading2"/>
      </w:pPr>
      <w:r>
        <w:t xml:space="preserve">5. Backtest correctness</w:t>
      </w:r>
    </w:p>
    <w:p>
      <w:pPr>
        <w:pStyle w:val="FirstParagraph"/>
      </w:pPr>
      <w:r>
        <w:t xml:space="preserve">A professional backtest must model what the system</w:t>
      </w:r>
      <w:r>
        <w:t xml:space="preserve"> </w:t>
      </w:r>
      <w:r>
        <w:rPr>
          <w:b/>
          <w:bCs/>
        </w:rPr>
        <w:t xml:space="preserve">could have known at that moment</w:t>
      </w:r>
      <w:r>
        <w:t xml:space="preserve">.</w:t>
      </w:r>
    </w:p>
    <w:p>
      <w:pPr>
        <w:pStyle w:val="BodyText"/>
      </w:pPr>
      <w:r>
        <w:t xml:space="preserve">Mandatory protections:</w:t>
      </w:r>
      <w:r>
        <w:t xml:space="preserve"> </w:t>
      </w:r>
      <w:r>
        <w:t xml:space="preserve">- chronological splits;</w:t>
      </w:r>
      <w:r>
        <w:t xml:space="preserve"> </w:t>
      </w:r>
      <w:r>
        <w:t xml:space="preserve">- point-in-time data;</w:t>
      </w:r>
      <w:r>
        <w:t xml:space="preserve"> </w:t>
      </w:r>
      <w:r>
        <w:t xml:space="preserve">- no future corporate-action knowledge;</w:t>
      </w:r>
      <w:r>
        <w:t xml:space="preserve"> </w:t>
      </w:r>
      <w:r>
        <w:t xml:space="preserve">- realistic universe membership;</w:t>
      </w:r>
      <w:r>
        <w:t xml:space="preserve"> </w:t>
      </w:r>
      <w:r>
        <w:t xml:space="preserve">- news/event arrival time, not only article date;</w:t>
      </w:r>
      <w:r>
        <w:t xml:space="preserve"> </w:t>
      </w:r>
      <w:r>
        <w:t xml:space="preserve">- macro vintages/revisions;</w:t>
      </w:r>
      <w:r>
        <w:t xml:space="preserve"> </w:t>
      </w:r>
      <w:r>
        <w:t xml:space="preserve">- provider latency assumptions;</w:t>
      </w:r>
      <w:r>
        <w:t xml:space="preserve"> </w:t>
      </w:r>
      <w:r>
        <w:t xml:space="preserve">- commission/fees if applicable;</w:t>
      </w:r>
      <w:r>
        <w:t xml:space="preserve"> </w:t>
      </w:r>
      <w:r>
        <w:t xml:space="preserve">- spread/slippage;</w:t>
      </w:r>
      <w:r>
        <w:t xml:space="preserve"> </w:t>
      </w:r>
      <w:r>
        <w:t xml:space="preserve">- market impact approximation for larger sizes;</w:t>
      </w:r>
      <w:r>
        <w:t xml:space="preserve"> </w:t>
      </w:r>
      <w:r>
        <w:t xml:space="preserve">- order delay and fill rules;</w:t>
      </w:r>
      <w:r>
        <w:t xml:space="preserve"> </w:t>
      </w:r>
      <w:r>
        <w:t xml:space="preserve">- delisted/failed securities where data allows.</w:t>
      </w:r>
    </w:p>
    <w:bookmarkEnd w:id="32"/>
    <w:bookmarkStart w:id="36" w:name="evaluation-metrics"/>
    <w:p>
      <w:pPr>
        <w:pStyle w:val="Heading2"/>
      </w:pPr>
      <w:r>
        <w:t xml:space="preserve">6. Evaluation metrics</w:t>
      </w:r>
    </w:p>
    <w:bookmarkStart w:id="33" w:name="trading-performance"/>
    <w:p>
      <w:pPr>
        <w:pStyle w:val="Heading3"/>
      </w:pPr>
      <w:r>
        <w:t xml:space="preserve">Trading performance</w:t>
      </w:r>
    </w:p>
    <w:p>
      <w:pPr>
        <w:pStyle w:val="Compact"/>
        <w:numPr>
          <w:ilvl w:val="0"/>
          <w:numId w:val="1005"/>
        </w:numPr>
      </w:pPr>
      <w:r>
        <w:t xml:space="preserve">cumulative/net return;</w:t>
      </w:r>
    </w:p>
    <w:p>
      <w:pPr>
        <w:pStyle w:val="Compact"/>
        <w:numPr>
          <w:ilvl w:val="0"/>
          <w:numId w:val="1005"/>
        </w:numPr>
      </w:pPr>
      <w:r>
        <w:t xml:space="preserve">benchmark-relative return;</w:t>
      </w:r>
    </w:p>
    <w:p>
      <w:pPr>
        <w:pStyle w:val="Compact"/>
        <w:numPr>
          <w:ilvl w:val="0"/>
          <w:numId w:val="1005"/>
        </w:numPr>
      </w:pPr>
      <w:r>
        <w:t xml:space="preserve">annualized volatility;</w:t>
      </w:r>
    </w:p>
    <w:p>
      <w:pPr>
        <w:pStyle w:val="Compact"/>
        <w:numPr>
          <w:ilvl w:val="0"/>
          <w:numId w:val="1005"/>
        </w:numPr>
      </w:pPr>
      <w:r>
        <w:t xml:space="preserve">Sharpe and Sortino where statistically meaningful;</w:t>
      </w:r>
    </w:p>
    <w:p>
      <w:pPr>
        <w:pStyle w:val="Compact"/>
        <w:numPr>
          <w:ilvl w:val="0"/>
          <w:numId w:val="1005"/>
        </w:numPr>
      </w:pPr>
      <w:r>
        <w:t xml:space="preserve">max drawdown and recovery;</w:t>
      </w:r>
    </w:p>
    <w:p>
      <w:pPr>
        <w:pStyle w:val="Compact"/>
        <w:numPr>
          <w:ilvl w:val="0"/>
          <w:numId w:val="1005"/>
        </w:numPr>
      </w:pPr>
      <w:r>
        <w:t xml:space="preserve">Calmar;</w:t>
      </w:r>
    </w:p>
    <w:p>
      <w:pPr>
        <w:pStyle w:val="Compact"/>
        <w:numPr>
          <w:ilvl w:val="0"/>
          <w:numId w:val="1005"/>
        </w:numPr>
      </w:pPr>
      <w:r>
        <w:t xml:space="preserve">hit rate;</w:t>
      </w:r>
    </w:p>
    <w:p>
      <w:pPr>
        <w:pStyle w:val="Compact"/>
        <w:numPr>
          <w:ilvl w:val="0"/>
          <w:numId w:val="1005"/>
        </w:numPr>
      </w:pPr>
      <w:r>
        <w:t xml:space="preserve">average win/loss;</w:t>
      </w:r>
    </w:p>
    <w:p>
      <w:pPr>
        <w:pStyle w:val="Compact"/>
        <w:numPr>
          <w:ilvl w:val="0"/>
          <w:numId w:val="1005"/>
        </w:numPr>
      </w:pPr>
      <w:r>
        <w:t xml:space="preserve">profit factor;</w:t>
      </w:r>
    </w:p>
    <w:p>
      <w:pPr>
        <w:pStyle w:val="Compact"/>
        <w:numPr>
          <w:ilvl w:val="0"/>
          <w:numId w:val="1005"/>
        </w:numPr>
      </w:pPr>
      <w:r>
        <w:t xml:space="preserve">turnover;</w:t>
      </w:r>
    </w:p>
    <w:p>
      <w:pPr>
        <w:pStyle w:val="Compact"/>
        <w:numPr>
          <w:ilvl w:val="0"/>
          <w:numId w:val="1005"/>
        </w:numPr>
      </w:pPr>
      <w:r>
        <w:t xml:space="preserve">exposure/time-in-market;</w:t>
      </w:r>
    </w:p>
    <w:p>
      <w:pPr>
        <w:pStyle w:val="Compact"/>
        <w:numPr>
          <w:ilvl w:val="0"/>
          <w:numId w:val="1005"/>
        </w:numPr>
      </w:pPr>
      <w:r>
        <w:t xml:space="preserve">tail loss metrics.</w:t>
      </w:r>
    </w:p>
    <w:bookmarkEnd w:id="33"/>
    <w:bookmarkStart w:id="34" w:name="signal-quality"/>
    <w:p>
      <w:pPr>
        <w:pStyle w:val="Heading3"/>
      </w:pPr>
      <w:r>
        <w:t xml:space="preserve">Signal quality</w:t>
      </w:r>
    </w:p>
    <w:p>
      <w:pPr>
        <w:pStyle w:val="Compact"/>
        <w:numPr>
          <w:ilvl w:val="0"/>
          <w:numId w:val="1006"/>
        </w:numPr>
      </w:pPr>
      <w:r>
        <w:t xml:space="preserve">return by confidence bucket;</w:t>
      </w:r>
    </w:p>
    <w:p>
      <w:pPr>
        <w:pStyle w:val="Compact"/>
        <w:numPr>
          <w:ilvl w:val="0"/>
          <w:numId w:val="1006"/>
        </w:numPr>
      </w:pPr>
      <w:r>
        <w:t xml:space="preserve">precision of BUY/SELL directional calls;</w:t>
      </w:r>
    </w:p>
    <w:p>
      <w:pPr>
        <w:pStyle w:val="Compact"/>
        <w:numPr>
          <w:ilvl w:val="0"/>
          <w:numId w:val="1006"/>
        </w:numPr>
      </w:pPr>
      <w:r>
        <w:t xml:space="preserve">Brier score / reliability diagram for probabilities;</w:t>
      </w:r>
    </w:p>
    <w:p>
      <w:pPr>
        <w:pStyle w:val="Compact"/>
        <w:numPr>
          <w:ilvl w:val="0"/>
          <w:numId w:val="1006"/>
        </w:numPr>
      </w:pPr>
      <w:r>
        <w:t xml:space="preserve">calibration error;</w:t>
      </w:r>
    </w:p>
    <w:p>
      <w:pPr>
        <w:pStyle w:val="Compact"/>
        <w:numPr>
          <w:ilvl w:val="0"/>
          <w:numId w:val="1006"/>
        </w:numPr>
      </w:pPr>
      <w:r>
        <w:t xml:space="preserve">performance by horizon/event type/source;</w:t>
      </w:r>
    </w:p>
    <w:p>
      <w:pPr>
        <w:pStyle w:val="Compact"/>
        <w:numPr>
          <w:ilvl w:val="0"/>
          <w:numId w:val="1006"/>
        </w:numPr>
      </w:pPr>
      <w:r>
        <w:t xml:space="preserve">max adverse/favorable excursion.</w:t>
      </w:r>
    </w:p>
    <w:bookmarkEnd w:id="34"/>
    <w:bookmarkStart w:id="35" w:name="operational-quality"/>
    <w:p>
      <w:pPr>
        <w:pStyle w:val="Heading3"/>
      </w:pPr>
      <w:r>
        <w:t xml:space="preserve">Operational quality</w:t>
      </w:r>
    </w:p>
    <w:p>
      <w:pPr>
        <w:pStyle w:val="Compact"/>
        <w:numPr>
          <w:ilvl w:val="0"/>
          <w:numId w:val="1007"/>
        </w:numPr>
      </w:pPr>
      <w:r>
        <w:t xml:space="preserve">event-to-signal latency;</w:t>
      </w:r>
    </w:p>
    <w:p>
      <w:pPr>
        <w:pStyle w:val="Compact"/>
        <w:numPr>
          <w:ilvl w:val="0"/>
          <w:numId w:val="1007"/>
        </w:numPr>
      </w:pPr>
      <w:r>
        <w:t xml:space="preserve">stale/blocked signal rate;</w:t>
      </w:r>
    </w:p>
    <w:p>
      <w:pPr>
        <w:pStyle w:val="Compact"/>
        <w:numPr>
          <w:ilvl w:val="0"/>
          <w:numId w:val="1007"/>
        </w:numPr>
      </w:pPr>
      <w:r>
        <w:t xml:space="preserve">provider downtime;</w:t>
      </w:r>
    </w:p>
    <w:p>
      <w:pPr>
        <w:pStyle w:val="Compact"/>
        <w:numPr>
          <w:ilvl w:val="0"/>
          <w:numId w:val="1007"/>
        </w:numPr>
      </w:pPr>
      <w:r>
        <w:t xml:space="preserve">AI schema failures;</w:t>
      </w:r>
    </w:p>
    <w:p>
      <w:pPr>
        <w:pStyle w:val="Compact"/>
        <w:numPr>
          <w:ilvl w:val="0"/>
          <w:numId w:val="1007"/>
        </w:numPr>
      </w:pPr>
      <w:r>
        <w:t xml:space="preserve">order reconciliation failures.</w:t>
      </w:r>
    </w:p>
    <w:bookmarkEnd w:id="35"/>
    <w:bookmarkEnd w:id="36"/>
    <w:bookmarkStart w:id="37" w:name="walk-forward-process"/>
    <w:p>
      <w:pPr>
        <w:pStyle w:val="Heading2"/>
      </w:pPr>
      <w:r>
        <w:t xml:space="preserve">7. Walk-forward process</w:t>
      </w:r>
    </w:p>
    <w:p>
      <w:pPr>
        <w:pStyle w:val="FirstParagraph"/>
      </w:pPr>
      <w:r>
        <w:t xml:space="preserve">Recommended loop:</w:t>
      </w:r>
      <w:r>
        <w:t xml:space="preserve"> </w:t>
      </w:r>
      <w:r>
        <w:t xml:space="preserve">1. train/fit on historical window;</w:t>
      </w:r>
      <w:r>
        <w:t xml:space="preserve"> </w:t>
      </w:r>
      <w:r>
        <w:t xml:space="preserve">2. calibrate on subsequent validation window;</w:t>
      </w:r>
      <w:r>
        <w:t xml:space="preserve"> </w:t>
      </w:r>
      <w:r>
        <w:t xml:space="preserve">3. freeze configuration;</w:t>
      </w:r>
      <w:r>
        <w:t xml:space="preserve"> </w:t>
      </w:r>
      <w:r>
        <w:t xml:space="preserve">4. test on next unseen window;</w:t>
      </w:r>
      <w:r>
        <w:t xml:space="preserve"> </w:t>
      </w:r>
      <w:r>
        <w:t xml:space="preserve">5. roll forward;</w:t>
      </w:r>
      <w:r>
        <w:t xml:space="preserve"> </w:t>
      </w:r>
      <w:r>
        <w:t xml:space="preserve">6. aggregate all out-of-sample periods;</w:t>
      </w:r>
      <w:r>
        <w:t xml:space="preserve"> </w:t>
      </w:r>
      <w:r>
        <w:t xml:space="preserve">7. compare against simple baselines.</w:t>
      </w:r>
    </w:p>
    <w:p>
      <w:pPr>
        <w:pStyle w:val="BodyText"/>
      </w:pPr>
      <w:r>
        <w:t xml:space="preserve">Baselines matter. EventAlpha should beat reasonable alternatives after costs, not merely produce a green curve.</w:t>
      </w:r>
    </w:p>
    <w:bookmarkEnd w:id="37"/>
    <w:bookmarkStart w:id="40" w:name="shadow-and-paper-stages"/>
    <w:p>
      <w:pPr>
        <w:pStyle w:val="Heading2"/>
      </w:pPr>
      <w:r>
        <w:t xml:space="preserve">8. Shadow and paper stages</w:t>
      </w:r>
    </w:p>
    <w:bookmarkStart w:id="38" w:name="shadow-mode"/>
    <w:p>
      <w:pPr>
        <w:pStyle w:val="Heading3"/>
      </w:pPr>
      <w:r>
        <w:t xml:space="preserve">Shadow mode</w:t>
      </w:r>
    </w:p>
    <w:p>
      <w:pPr>
        <w:pStyle w:val="FirstParagraph"/>
      </w:pPr>
      <w:r>
        <w:t xml:space="preserve">Runs live signals against live data but sends no paper orders. Useful for measuring latency, missed events, drift and real-world data gaps.</w:t>
      </w:r>
    </w:p>
    <w:bookmarkEnd w:id="38"/>
    <w:bookmarkStart w:id="39" w:name="paper-mode"/>
    <w:p>
      <w:pPr>
        <w:pStyle w:val="Heading3"/>
      </w:pPr>
      <w:r>
        <w:t xml:space="preserve">Paper mode</w:t>
      </w:r>
    </w:p>
    <w:p>
      <w:pPr>
        <w:pStyle w:val="FirstParagraph"/>
      </w:pPr>
      <w:r>
        <w:t xml:space="preserve">Adds simulated execution. Stay here long enough to observe multiple regimes and operational failures. Track differences between theoretical signal price and simulated fills.</w:t>
      </w:r>
    </w:p>
    <w:bookmarkEnd w:id="39"/>
    <w:bookmarkEnd w:id="40"/>
    <w:bookmarkStart w:id="41" w:name="live-trading-governance-future-only"/>
    <w:p>
      <w:pPr>
        <w:pStyle w:val="Heading2"/>
      </w:pPr>
      <w:r>
        <w:t xml:space="preserve">9. Live-trading governance (future only)</w:t>
      </w:r>
    </w:p>
    <w:p>
      <w:pPr>
        <w:pStyle w:val="FirstParagraph"/>
      </w:pPr>
      <w:r>
        <w:t xml:space="preserve">Live execution, if ever enabled, must require:</w:t>
      </w:r>
      <w:r>
        <w:t xml:space="preserve"> </w:t>
      </w:r>
      <w:r>
        <w:t xml:space="preserve">- explicit environment/config flag;</w:t>
      </w:r>
      <w:r>
        <w:t xml:space="preserve"> </w:t>
      </w:r>
      <w:r>
        <w:t xml:space="preserve">- separate live credentials;</w:t>
      </w:r>
      <w:r>
        <w:t xml:space="preserve"> </w:t>
      </w:r>
      <w:r>
        <w:t xml:space="preserve">- human approval of strategy version;</w:t>
      </w:r>
      <w:r>
        <w:t xml:space="preserve"> </w:t>
      </w:r>
      <w:r>
        <w:t xml:space="preserve">- approved risk policy;</w:t>
      </w:r>
      <w:r>
        <w:t xml:space="preserve"> </w:t>
      </w:r>
      <w:r>
        <w:t xml:space="preserve">- emergency kill switch;</w:t>
      </w:r>
      <w:r>
        <w:t xml:space="preserve"> </w:t>
      </w:r>
      <w:r>
        <w:t xml:space="preserve">- strict notional limits;</w:t>
      </w:r>
      <w:r>
        <w:t xml:space="preserve"> </w:t>
      </w:r>
      <w:r>
        <w:t xml:space="preserve">- audit log;</w:t>
      </w:r>
      <w:r>
        <w:t xml:space="preserve"> </w:t>
      </w:r>
      <w:r>
        <w:t xml:space="preserve">- canary rollout with tiny exposure;</w:t>
      </w:r>
      <w:r>
        <w:t xml:space="preserve"> </w:t>
      </w:r>
      <w:r>
        <w:t xml:space="preserve">- automatic disable on critical health failure.</w:t>
      </w:r>
    </w:p>
    <w:p>
      <w:pPr>
        <w:pStyle w:val="BodyText"/>
      </w:pPr>
      <w:r>
        <w:t xml:space="preserve">The project documentation should never describe live execution as the default success path.</w:t>
      </w:r>
    </w:p>
    <w:bookmarkEnd w:id="41"/>
    <w:bookmarkStart w:id="42" w:name="change-management"/>
    <w:p>
      <w:pPr>
        <w:pStyle w:val="Heading2"/>
      </w:pPr>
      <w:r>
        <w:t xml:space="preserve">10. Change management</w:t>
      </w:r>
    </w:p>
    <w:p>
      <w:pPr>
        <w:pStyle w:val="FirstParagraph"/>
      </w:pPr>
      <w:r>
        <w:t xml:space="preserve">Every strategy/model/risk change receives a unique version and a changelog. Promotion requires evidence:</w:t>
      </w:r>
      <w:r>
        <w:t xml:space="preserve"> </w:t>
      </w:r>
      <w:r>
        <w:t xml:space="preserve">- test results;</w:t>
      </w:r>
      <w:r>
        <w:t xml:space="preserve"> </w:t>
      </w:r>
      <w:r>
        <w:t xml:space="preserve">- backtest report;</w:t>
      </w:r>
      <w:r>
        <w:t xml:space="preserve"> </w:t>
      </w:r>
      <w:r>
        <w:t xml:space="preserve">- walk-forward report;</w:t>
      </w:r>
      <w:r>
        <w:t xml:space="preserve"> </w:t>
      </w:r>
      <w:r>
        <w:t xml:space="preserve">- paper/shadow metrics;</w:t>
      </w:r>
      <w:r>
        <w:t xml:space="preserve"> </w:t>
      </w:r>
      <w:r>
        <w:t xml:space="preserve">- reviewer/owner approval.</w:t>
      </w:r>
    </w:p>
    <w:p>
      <w:pPr>
        <w:pStyle w:val="BodyText"/>
      </w:pPr>
      <w:r>
        <w:t xml:space="preserve">Rollback to the last approved version must be simple.</w:t>
      </w:r>
    </w:p>
    <w:bookmarkEnd w:id="42"/>
    <w:bookmarkStart w:id="43" w:name="red-team-scenarios"/>
    <w:p>
      <w:pPr>
        <w:pStyle w:val="Heading2"/>
      </w:pPr>
      <w:r>
        <w:t xml:space="preserve">11. Red-team scenarios</w:t>
      </w:r>
    </w:p>
    <w:p>
      <w:pPr>
        <w:pStyle w:val="FirstParagraph"/>
      </w:pPr>
      <w:r>
        <w:t xml:space="preserve">Tests must intentionally simulate:</w:t>
      </w:r>
      <w:r>
        <w:t xml:space="preserve"> </w:t>
      </w:r>
      <w:r>
        <w:t xml:space="preserve">- fake viral rumor;</w:t>
      </w:r>
      <w:r>
        <w:t xml:space="preserve"> </w:t>
      </w:r>
      <w:r>
        <w:t xml:space="preserve">- official source contradicts social stream;</w:t>
      </w:r>
      <w:r>
        <w:t xml:space="preserve"> </w:t>
      </w:r>
      <w:r>
        <w:t xml:space="preserve">- duplicate breaking headlines;</w:t>
      </w:r>
      <w:r>
        <w:t xml:space="preserve"> </w:t>
      </w:r>
      <w:r>
        <w:t xml:space="preserve">- data feed frozen while UI looks connected;</w:t>
      </w:r>
      <w:r>
        <w:t xml:space="preserve"> </w:t>
      </w:r>
      <w:r>
        <w:t xml:space="preserve">- OpenAI returns malformed/refusal/timeout;</w:t>
      </w:r>
      <w:r>
        <w:t xml:space="preserve"> </w:t>
      </w:r>
      <w:r>
        <w:t xml:space="preserve">- extreme volatility gap;</w:t>
      </w:r>
      <w:r>
        <w:t xml:space="preserve"> </w:t>
      </w:r>
      <w:r>
        <w:t xml:space="preserve">- broker API timeout after order submission;</w:t>
      </w:r>
      <w:r>
        <w:t xml:space="preserve"> </w:t>
      </w:r>
      <w:r>
        <w:t xml:space="preserve">- clock skew;</w:t>
      </w:r>
      <w:r>
        <w:t xml:space="preserve"> </w:t>
      </w:r>
      <w:r>
        <w:t xml:space="preserve">- provider sends out-of-order events;</w:t>
      </w:r>
      <w:r>
        <w:t xml:space="preserve"> </w:t>
      </w:r>
      <w:r>
        <w:t xml:space="preserve">- Redis restart;</w:t>
      </w:r>
      <w:r>
        <w:t xml:space="preserve"> </w:t>
      </w:r>
      <w:r>
        <w:t xml:space="preserve">- database failover;</w:t>
      </w:r>
      <w:r>
        <w:t xml:space="preserve"> </w:t>
      </w:r>
      <w:r>
        <w:t xml:space="preserve">- cost quota reached.</w:t>
      </w:r>
    </w:p>
    <w:bookmarkEnd w:id="43"/>
    <w:bookmarkStart w:id="44" w:name="verified-source-references"/>
    <w:p>
      <w:pPr>
        <w:pStyle w:val="Heading2"/>
      </w:pPr>
      <w:r>
        <w:t xml:space="preserve">Verified source references</w:t>
      </w:r>
    </w:p>
    <w:p>
      <w:pPr>
        <w:pStyle w:val="FirstParagraph"/>
      </w:pPr>
      <w:r>
        <w:t xml:space="preserve">The architecture deliberately uses provider adapters so vendors can be replaced. Capabilities and prices below were verified on</w:t>
      </w:r>
      <w:r>
        <w:t xml:space="preserve"> </w:t>
      </w:r>
      <w:r>
        <w:rPr>
          <w:b/>
          <w:bCs/>
        </w:rPr>
        <w:t xml:space="preserve">26 August 2026</w:t>
      </w:r>
      <w:r>
        <w:t xml:space="preserve"> </w:t>
      </w:r>
      <w:r>
        <w:t xml:space="preserve">and must be rechecked before production procurement.</w:t>
      </w:r>
    </w:p>
    <w:p>
      <w:pPr>
        <w:pStyle w:val="Compact"/>
        <w:numPr>
          <w:ilvl w:val="0"/>
          <w:numId w:val="1008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Responses API / Structured Outputs / streaming</w:t>
      </w:r>
      <w:r>
        <w:t xml:space="preserve">: https://developers.openai.com/api/reference/cli/resources/responses/methods/create</w:t>
      </w:r>
    </w:p>
    <w:p>
      <w:pPr>
        <w:pStyle w:val="Compact"/>
        <w:numPr>
          <w:ilvl w:val="0"/>
          <w:numId w:val="1008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Luna</w:t>
      </w:r>
      <w:r>
        <w:t xml:space="preserve">: https://developers.openai.com/api/docs/models/gpt-5.6-luna</w:t>
      </w:r>
    </w:p>
    <w:p>
      <w:pPr>
        <w:pStyle w:val="Compact"/>
        <w:numPr>
          <w:ilvl w:val="0"/>
          <w:numId w:val="1008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Terra</w:t>
      </w:r>
      <w:r>
        <w:t xml:space="preserve">: https://developers.openai.com/api/docs/models/gpt-5.6-terra</w:t>
      </w:r>
    </w:p>
    <w:p>
      <w:pPr>
        <w:pStyle w:val="Compact"/>
        <w:numPr>
          <w:ilvl w:val="0"/>
          <w:numId w:val="1008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Sol</w:t>
      </w:r>
      <w:r>
        <w:t xml:space="preserve">: https://developers.openai.com/api/docs/models/gpt-5.6-sol</w:t>
      </w:r>
    </w:p>
    <w:p>
      <w:pPr>
        <w:pStyle w:val="Compact"/>
        <w:numPr>
          <w:ilvl w:val="0"/>
          <w:numId w:val="1008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real-time market data WebSockets</w:t>
      </w:r>
      <w:r>
        <w:t xml:space="preserve">: https://docs.alpaca.markets/us/docs/real-time-stock-pricing-data</w:t>
      </w:r>
    </w:p>
    <w:p>
      <w:pPr>
        <w:pStyle w:val="Compact"/>
        <w:numPr>
          <w:ilvl w:val="0"/>
          <w:numId w:val="1008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paper trading</w:t>
      </w:r>
      <w:r>
        <w:t xml:space="preserve">: https://docs.alpaca.markets/us/v1.4.2/docs/paper-trading</w:t>
      </w:r>
    </w:p>
    <w:p>
      <w:pPr>
        <w:pStyle w:val="Compact"/>
        <w:numPr>
          <w:ilvl w:val="0"/>
          <w:numId w:val="1008"/>
        </w:numPr>
      </w:pPr>
      <w:r>
        <w:t xml:space="preserve">Databento,</w:t>
      </w:r>
      <w:r>
        <w:t xml:space="preserve"> </w:t>
      </w:r>
      <w:r>
        <w:rPr>
          <w:b/>
          <w:bCs/>
        </w:rPr>
        <w:t xml:space="preserve">live market data API</w:t>
      </w:r>
      <w:r>
        <w:t xml:space="preserve">: https://databento.com/docs/api-reference-live</w:t>
      </w:r>
    </w:p>
    <w:p>
      <w:pPr>
        <w:pStyle w:val="Compact"/>
        <w:numPr>
          <w:ilvl w:val="0"/>
          <w:numId w:val="1008"/>
        </w:numPr>
      </w:pPr>
      <w:r>
        <w:t xml:space="preserve">SEC,</w:t>
      </w:r>
      <w:r>
        <w:t xml:space="preserve"> </w:t>
      </w:r>
      <w:r>
        <w:rPr>
          <w:b/>
          <w:bCs/>
        </w:rPr>
        <w:t xml:space="preserve">EDGAR APIs</w:t>
      </w:r>
      <w:r>
        <w:t xml:space="preserve">: https://www.sec.gov/search-filings/edgar-application-programming-interfaces</w:t>
      </w:r>
    </w:p>
    <w:p>
      <w:pPr>
        <w:pStyle w:val="Compact"/>
        <w:numPr>
          <w:ilvl w:val="0"/>
          <w:numId w:val="1008"/>
        </w:numPr>
      </w:pPr>
      <w:r>
        <w:t xml:space="preserve">Federal Reserve Bank of St. Louis,</w:t>
      </w:r>
      <w:r>
        <w:t xml:space="preserve"> </w:t>
      </w:r>
      <w:r>
        <w:rPr>
          <w:b/>
          <w:bCs/>
        </w:rPr>
        <w:t xml:space="preserve">FRED/ALFRED API</w:t>
      </w:r>
      <w:r>
        <w:t xml:space="preserve">: https://fred.stlouisfed.org/docs/api/fred/fred/fred.html</w:t>
      </w:r>
    </w:p>
    <w:p>
      <w:pPr>
        <w:pStyle w:val="Compact"/>
        <w:numPr>
          <w:ilvl w:val="0"/>
          <w:numId w:val="1008"/>
        </w:numPr>
      </w:pPr>
      <w:r>
        <w:t xml:space="preserve">X,</w:t>
      </w:r>
      <w:r>
        <w:t xml:space="preserve"> </w:t>
      </w:r>
      <w:r>
        <w:rPr>
          <w:b/>
          <w:bCs/>
        </w:rPr>
        <w:t xml:space="preserve">Filtered Stream</w:t>
      </w:r>
      <w:r>
        <w:t xml:space="preserve">: https://docs.x.com/x-api/posts/filtered-stream/introduction</w:t>
      </w:r>
    </w:p>
    <w:p>
      <w:pPr>
        <w:pStyle w:val="Compact"/>
        <w:numPr>
          <w:ilvl w:val="0"/>
          <w:numId w:val="1008"/>
        </w:numPr>
      </w:pPr>
      <w:r>
        <w:t xml:space="preserve">GDELT,</w:t>
      </w:r>
      <w:r>
        <w:t xml:space="preserve"> </w:t>
      </w:r>
      <w:r>
        <w:rPr>
          <w:b/>
          <w:bCs/>
        </w:rPr>
        <w:t xml:space="preserve">global event/news data</w:t>
      </w:r>
      <w:r>
        <w:t xml:space="preserve">: https://www.gdeltproject.org/data.html</w:t>
      </w:r>
    </w:p>
    <w:p>
      <w:pPr>
        <w:pStyle w:val="Compact"/>
        <w:numPr>
          <w:ilvl w:val="0"/>
          <w:numId w:val="1008"/>
        </w:numPr>
      </w:pPr>
      <w:r>
        <w:t xml:space="preserve">NewsAPI,</w:t>
      </w:r>
      <w:r>
        <w:t xml:space="preserve"> </w:t>
      </w:r>
      <w:r>
        <w:rPr>
          <w:b/>
          <w:bCs/>
        </w:rPr>
        <w:t xml:space="preserve">Everything endpoint</w:t>
      </w:r>
      <w:r>
        <w:t xml:space="preserve">: https://newsapi.org/docs/endpoints/everything</w:t>
      </w:r>
    </w:p>
    <w:bookmarkEnd w:id="44"/>
    <w:bookmarkEnd w:id="45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5"/>
        <w:sz w:val="15"/>
      </w:rPr>
      <w:t>Architecture pack • 26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775"/>
        <w:sz w:val="15"/>
      </w:rPr>
      <w:t>EVENTALPHA AI  |  PROFESSIONAL PROJECT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ptos" w:hAnsi="Aptos"/>
      <w:color w:val="232D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323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ptos" w:asciiTheme="majorHAnsi" w:cstheme="majorBidi" w:eastAsiaTheme="majorEastAsia" w:hAnsi="Aptos" w:hAnsiTheme="majorHAnsi"/>
      <w:b/>
      <w:bCs/>
      <w:color w:val="2F66B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ptos" w:asciiTheme="majorHAnsi" w:cstheme="majorBidi" w:eastAsiaTheme="majorEastAsia" w:hAnsi="Aptos" w:hAnsiTheme="majorHAnsi"/>
      <w:b/>
      <w:bCs/>
      <w:color w:val="2E7D5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6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323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2026-08-26T12:07:19Z</dcterms:created>
  <dcterms:modified xsi:type="dcterms:W3CDTF">2026-08-26T12:07:19Z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