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aa6271dca1cc597699a52f9702ea67c5ff4828"/>
    <w:p>
      <w:pPr>
        <w:pStyle w:val="Heading1"/>
      </w:pPr>
      <w:r>
        <w:t xml:space="preserve">EventAlpha AI — Data Sources, APIs, Cost &amp; Licensing Strategy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0" w:name="provider-strategy"/>
    <w:p>
      <w:pPr>
        <w:pStyle w:val="Heading2"/>
      </w:pPr>
      <w:r>
        <w:t xml:space="preserve">1. Provider strategy</w:t>
      </w:r>
    </w:p>
    <w:p>
      <w:pPr>
        <w:pStyle w:val="FirstParagraph"/>
      </w:pPr>
      <w:r>
        <w:t xml:space="preserve">Do not bet the whole system on one data vendor. Implement</w:t>
      </w:r>
      <w:r>
        <w:t xml:space="preserve"> </w:t>
      </w:r>
      <w:r>
        <w:rPr>
          <w:b/>
          <w:bCs/>
        </w:rPr>
        <w:t xml:space="preserve">provider adapters</w:t>
      </w:r>
      <w:r>
        <w:t xml:space="preserve"> </w:t>
      </w:r>
      <w:r>
        <w:t xml:space="preserve">and define source priority, licensing constraints, latency and fallback behavior explicitly.</w:t>
      </w:r>
    </w:p>
    <w:bookmarkEnd w:id="20"/>
    <w:bookmarkStart w:id="21" w:name="recommended-provider-matrix"/>
    <w:p>
      <w:pPr>
        <w:pStyle w:val="Heading2"/>
      </w:pPr>
      <w:r>
        <w:t xml:space="preserve">2. Recommended provider matrix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44"/>
        <w:gridCol w:w="3024"/>
        <w:gridCol w:w="482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Domain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MVP candidate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Production note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US market data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Alpaca WebSocket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free IEX is incomplete market coverage; SIP/other vendor for serious production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Institutional market data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Databento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strong live/historical schema consistency; assess exchange licensing/cost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Paper broker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Alpaca Paper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globally accessible paper-only accounts per current docs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News discovery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NewsAPI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easy REST discovery; production plan/license required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Global event context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GDELT / GDELT Cloud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broad multilingual/global context; legacy GDELT 2.0 datasets update every 15 min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US filings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SEC EDGAR API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no API key; near-real-time submissions; respect SEC access policy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US macro/vintages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FRED + ALFRED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use release/vintage semantics for backtests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Social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X Filtered Stream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near-real-time; current docs state ~6-7s P99 for filtered stream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Official sources</w:t>
            </w:r>
          </w:p>
        </w:tc>
        <w:tc>
          <w:tcPr>
            <w:tcW w:type="dxa" w:w="30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central banks, agencies, company IR</w:t>
            </w:r>
          </w:p>
        </w:tc>
        <w:tc>
          <w:tcPr>
            <w:tcW w:type="dxa" w:w="482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highest credibility; build source-specific RSS/HTTP adapters when permitted</w:t>
            </w:r>
          </w:p>
        </w:tc>
      </w:tr>
    </w:tbl>
    <w:bookmarkEnd w:id="21"/>
    <w:bookmarkStart w:id="22" w:name="market-data-notes"/>
    <w:p>
      <w:pPr>
        <w:pStyle w:val="Heading2"/>
      </w:pPr>
      <w:r>
        <w:t xml:space="preserve">3. Market data notes</w:t>
      </w:r>
    </w:p>
    <w:p>
      <w:pPr>
        <w:pStyle w:val="FirstParagraph"/>
      </w:pPr>
      <w:r>
        <w:t xml:space="preserve">Alpaca documentation states real-time stock streams are available over WebSocket. Its free/basic US equity coverage is IEX, while SIP covers consolidated US exchanges under paid access. Therefore:</w:t>
      </w:r>
      <w:r>
        <w:t xml:space="preserve"> </w:t>
      </w:r>
      <w:r>
        <w:t xml:space="preserve">- use IEX to build/test infrastructure;</w:t>
      </w:r>
      <w:r>
        <w:t xml:space="preserve"> </w:t>
      </w:r>
      <w:r>
        <w:t xml:space="preserve">- label data coverage clearly;</w:t>
      </w:r>
      <w:r>
        <w:t xml:space="preserve"> </w:t>
      </w:r>
      <w:r>
        <w:t xml:space="preserve">- avoid claiming full-market microstructure signals from IEX-only data;</w:t>
      </w:r>
      <w:r>
        <w:t xml:space="preserve"> </w:t>
      </w:r>
      <w:r>
        <w:t xml:space="preserve">- plan a provider upgrade before relying on spread/order-flow conclusions.</w:t>
      </w:r>
    </w:p>
    <w:p>
      <w:pPr>
        <w:pStyle w:val="BodyText"/>
      </w:pPr>
      <w:r>
        <w:t xml:space="preserve">Databento can be an advanced data adapter when the strategy needs more professional live/historical datasets. Its live API uses performant streaming protocols and official clients.</w:t>
      </w:r>
    </w:p>
    <w:bookmarkEnd w:id="22"/>
    <w:bookmarkStart w:id="23" w:name="sec-filings"/>
    <w:p>
      <w:pPr>
        <w:pStyle w:val="Heading2"/>
      </w:pPr>
      <w:r>
        <w:t xml:space="preserve">4. SEC filings</w:t>
      </w:r>
    </w:p>
    <w:p>
      <w:pPr>
        <w:pStyle w:val="FirstParagraph"/>
      </w:pPr>
      <w:r>
        <w:t xml:space="preserve">SEC</w:t>
      </w:r>
      <w:r>
        <w:t xml:space="preserve"> </w:t>
      </w:r>
      <w:r>
        <w:rPr>
          <w:rStyle w:val="VerbatimChar"/>
        </w:rPr>
        <w:t xml:space="preserve">data.sec.gov</w:t>
      </w:r>
      <w:r>
        <w:t xml:space="preserve"> </w:t>
      </w:r>
      <w:r>
        <w:t xml:space="preserve">APIs expose submissions and XBRL data without API keys. Current SEC documentation notes typical submissions processing delay below one second and XBRL APIs under a minute, though peaks can be slower.</w:t>
      </w:r>
    </w:p>
    <w:p>
      <w:pPr>
        <w:pStyle w:val="BodyText"/>
      </w:pPr>
      <w:r>
        <w:t xml:space="preserve">Implementation:</w:t>
      </w:r>
      <w:r>
        <w:t xml:space="preserve"> </w:t>
      </w:r>
      <w:r>
        <w:t xml:space="preserve">- identify watched CIKs;</w:t>
      </w:r>
      <w:r>
        <w:t xml:space="preserve"> </w:t>
      </w:r>
      <w:r>
        <w:t xml:space="preserve">- detect new 8-K/10-Q/10-K/6-K/etc.;</w:t>
      </w:r>
      <w:r>
        <w:t xml:space="preserve"> </w:t>
      </w:r>
      <w:r>
        <w:t xml:space="preserve">- capture filing metadata and accepted time;</w:t>
      </w:r>
      <w:r>
        <w:t xml:space="preserve"> </w:t>
      </w:r>
      <w:r>
        <w:t xml:space="preserve">- retrieve permitted filing content;</w:t>
      </w:r>
      <w:r>
        <w:t xml:space="preserve"> </w:t>
      </w:r>
      <w:r>
        <w:t xml:space="preserve">- run relevance/extraction pipeline;</w:t>
      </w:r>
      <w:r>
        <w:t xml:space="preserve"> </w:t>
      </w:r>
      <w:r>
        <w:t xml:space="preserve">- link to company/ticker;</w:t>
      </w:r>
      <w:r>
        <w:t xml:space="preserve"> </w:t>
      </w:r>
      <w:r>
        <w:t xml:space="preserve">- preserve source URL and accession number.</w:t>
      </w:r>
    </w:p>
    <w:bookmarkEnd w:id="23"/>
    <w:bookmarkStart w:id="24" w:name="fredalfred-macro-data"/>
    <w:p>
      <w:pPr>
        <w:pStyle w:val="Heading2"/>
      </w:pPr>
      <w:r>
        <w:t xml:space="preserve">5. FRED/ALFRED macro data</w:t>
      </w:r>
    </w:p>
    <w:p>
      <w:pPr>
        <w:pStyle w:val="FirstParagraph"/>
      </w:pPr>
      <w:r>
        <w:t xml:space="preserve">Use FRED for current series and ALFRED/vintage metadata to reconstruct what was known at historical dates. Useful domains:</w:t>
      </w:r>
      <w:r>
        <w:t xml:space="preserve"> </w:t>
      </w:r>
      <w:r>
        <w:t xml:space="preserve">- policy rates;</w:t>
      </w:r>
      <w:r>
        <w:t xml:space="preserve"> </w:t>
      </w:r>
      <w:r>
        <w:t xml:space="preserve">- yields;</w:t>
      </w:r>
      <w:r>
        <w:t xml:space="preserve"> </w:t>
      </w:r>
      <w:r>
        <w:t xml:space="preserve">- CPI/PCE;</w:t>
      </w:r>
      <w:r>
        <w:t xml:space="preserve"> </w:t>
      </w:r>
      <w:r>
        <w:t xml:space="preserve">- employment;</w:t>
      </w:r>
      <w:r>
        <w:t xml:space="preserve"> </w:t>
      </w:r>
      <w:r>
        <w:t xml:space="preserve">- GDP;</w:t>
      </w:r>
      <w:r>
        <w:t xml:space="preserve"> </w:t>
      </w:r>
      <w:r>
        <w:t xml:space="preserve">- credit spreads;</w:t>
      </w:r>
      <w:r>
        <w:t xml:space="preserve"> </w:t>
      </w:r>
      <w:r>
        <w:t xml:space="preserve">- FX/commodity/context series.</w:t>
      </w:r>
    </w:p>
    <w:p>
      <w:pPr>
        <w:pStyle w:val="BodyText"/>
      </w:pPr>
      <w:r>
        <w:t xml:space="preserve">For market-moving scheduled releases, supplement FRED with official release calendars/timestamps because ingestion latency matters.</w:t>
      </w:r>
    </w:p>
    <w:bookmarkEnd w:id="24"/>
    <w:bookmarkStart w:id="25" w:name="social-data"/>
    <w:p>
      <w:pPr>
        <w:pStyle w:val="Heading2"/>
      </w:pPr>
      <w:r>
        <w:t xml:space="preserve">6. Social data</w:t>
      </w:r>
    </w:p>
    <w:p>
      <w:pPr>
        <w:pStyle w:val="FirstParagraph"/>
      </w:pPr>
      <w:r>
        <w:t xml:space="preserve">X Filtered Stream supports persistent rules and near-real-time matching posts. Design curated rules for:</w:t>
      </w:r>
      <w:r>
        <w:t xml:space="preserve"> </w:t>
      </w:r>
      <w:r>
        <w:t xml:space="preserve">- official company accounts;</w:t>
      </w:r>
      <w:r>
        <w:t xml:space="preserve"> </w:t>
      </w:r>
      <w:r>
        <w:t xml:space="preserve">- regulators/governments;</w:t>
      </w:r>
      <w:r>
        <w:t xml:space="preserve"> </w:t>
      </w:r>
      <w:r>
        <w:t xml:space="preserve">- central-bank officials;</w:t>
      </w:r>
      <w:r>
        <w:t xml:space="preserve"> </w:t>
      </w:r>
      <w:r>
        <w:t xml:space="preserve">- trusted reporters;</w:t>
      </w:r>
      <w:r>
        <w:t xml:space="preserve"> </w:t>
      </w:r>
      <w:r>
        <w:t xml:space="preserve">- asset cashtags/keywords only as lower-confidence evidence.</w:t>
      </w:r>
    </w:p>
    <w:p>
      <w:pPr>
        <w:pStyle w:val="BodyText"/>
      </w:pPr>
      <w:r>
        <w:t xml:space="preserve">Store author/source quality separately from text sentiment. Spam/bots/coordinated reposts need deduplication and velocity anomaly checks.</w:t>
      </w:r>
    </w:p>
    <w:bookmarkEnd w:id="25"/>
    <w:bookmarkStart w:id="26" w:name="news-licensing"/>
    <w:p>
      <w:pPr>
        <w:pStyle w:val="Heading2"/>
      </w:pPr>
      <w:r>
        <w:t xml:space="preserve">7. News licensing</w:t>
      </w:r>
    </w:p>
    <w:p>
      <w:pPr>
        <w:pStyle w:val="FirstParagraph"/>
      </w:pPr>
      <w:r>
        <w:t xml:space="preserve">Critical legal/product requirement:</w:t>
      </w:r>
      <w:r>
        <w:t xml:space="preserve"> </w:t>
      </w:r>
      <w:r>
        <w:t xml:space="preserve">- review vendor ToS and redistribution rights;</w:t>
      </w:r>
      <w:r>
        <w:t xml:space="preserve"> </w:t>
      </w:r>
      <w:r>
        <w:t xml:space="preserve">- store full article content only when license permits;</w:t>
      </w:r>
      <w:r>
        <w:t xml:space="preserve"> </w:t>
      </w:r>
      <w:r>
        <w:t xml:space="preserve">- otherwise store metadata, excerpt allowed by terms, derived features, URL and hashes;</w:t>
      </w:r>
      <w:r>
        <w:t xml:space="preserve"> </w:t>
      </w:r>
      <w:r>
        <w:t xml:space="preserve">- do not bypass paywalls;</w:t>
      </w:r>
      <w:r>
        <w:t xml:space="preserve"> </w:t>
      </w:r>
      <w:r>
        <w:t xml:space="preserve">- separate</w:t>
      </w:r>
      <w:r>
        <w:t xml:space="preserve"> </w:t>
      </w:r>
      <w:r>
        <w:t xml:space="preserve">“</w:t>
      </w:r>
      <w:r>
        <w:t xml:space="preserve">data needed internally for analysis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content allowed to display to end users.</w:t>
      </w:r>
      <w:r>
        <w:t xml:space="preserve">”</w:t>
      </w:r>
    </w:p>
    <w:bookmarkEnd w:id="26"/>
    <w:bookmarkStart w:id="28" w:name="openai-cost-strategy"/>
    <w:p>
      <w:pPr>
        <w:pStyle w:val="Heading2"/>
      </w:pPr>
      <w:r>
        <w:t xml:space="preserve">8. OpenAI cost strategy</w:t>
      </w:r>
    </w:p>
    <w:p>
      <w:pPr>
        <w:pStyle w:val="FirstParagraph"/>
      </w:pPr>
      <w:r>
        <w:t xml:space="preserve">Current verified GPT-5.6 text pricing on 26 August 2026: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1368"/>
        <w:gridCol w:w="1655"/>
        <w:gridCol w:w="1440"/>
        <w:gridCol w:w="3888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4"/>
              </w:rPr>
              <w:t>Model</w:t>
            </w:r>
          </w:p>
        </w:tc>
        <w:tc>
          <w:tcPr>
            <w:tcW w:type="dxa" w:w="13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4"/>
              </w:rPr>
              <w:t>Input / 1M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4"/>
              </w:rPr>
              <w:t>Cached input / 1M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4"/>
              </w:rPr>
              <w:t>Output / 1M</w:t>
            </w:r>
          </w:p>
        </w:tc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4"/>
              </w:rPr>
              <w:t>Intended use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Luna</w:t>
            </w:r>
          </w:p>
        </w:tc>
        <w:tc>
          <w:tcPr>
            <w:tcW w:type="dxa" w:w="13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$0.20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$0.02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$1.20</w:t>
            </w:r>
          </w:p>
        </w:tc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high-volume fast extraction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Terra</w:t>
            </w:r>
          </w:p>
        </w:tc>
        <w:tc>
          <w:tcPr>
            <w:tcW w:type="dxa" w:w="13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$2.00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$0.20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$12.00</w:t>
            </w:r>
          </w:p>
        </w:tc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escalated reasoning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Sol</w:t>
            </w:r>
          </w:p>
        </w:tc>
        <w:tc>
          <w:tcPr>
            <w:tcW w:type="dxa" w:w="13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$4.00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$0.40</w:t>
            </w:r>
          </w:p>
        </w:tc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$20.00</w:t>
            </w:r>
          </w:p>
        </w:tc>
        <w:tc>
          <w:tcPr>
            <w:tcW w:type="dxa" w:w="38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rare expert escalation</w:t>
            </w:r>
          </w:p>
        </w:tc>
      </w:tr>
    </w:tbl>
    <w:p>
      <w:pPr>
        <w:pStyle w:val="BodyText"/>
      </w:pPr>
      <w:r>
        <w:t xml:space="preserve">Sol pricing above is promotional per current model documentation. Provider prices can change, so store pricing in configuration/telemetry rather than hardcoding budget forecasts into business logic.</w:t>
      </w:r>
    </w:p>
    <w:bookmarkStart w:id="27" w:name="illustrative-cost-envelope"/>
    <w:p>
      <w:pPr>
        <w:pStyle w:val="Heading3"/>
      </w:pPr>
      <w:r>
        <w:t xml:space="preserve">Illustrative cost envelope</w:t>
      </w:r>
    </w:p>
    <w:p>
      <w:pPr>
        <w:pStyle w:val="FirstParagraph"/>
      </w:pPr>
      <w:r>
        <w:t xml:space="preserve">A hypothetical day:</w:t>
      </w:r>
      <w:r>
        <w:t xml:space="preserve"> </w:t>
      </w:r>
      <w:r>
        <w:t xml:space="preserve">- 10,000 raw items enter;</w:t>
      </w:r>
      <w:r>
        <w:t xml:space="preserve"> </w:t>
      </w:r>
      <w:r>
        <w:t xml:space="preserve">- deterministic dedup/relevance reduces to 2,000 Luna calls;</w:t>
      </w:r>
      <w:r>
        <w:t xml:space="preserve"> </w:t>
      </w:r>
      <w:r>
        <w:t xml:space="preserve">- 100 Terra escalations;</w:t>
      </w:r>
      <w:r>
        <w:t xml:space="preserve"> </w:t>
      </w:r>
      <w:r>
        <w:t xml:space="preserve">- 5 Sol escalations.</w:t>
      </w:r>
    </w:p>
    <w:p>
      <w:pPr>
        <w:pStyle w:val="BodyText"/>
      </w:pPr>
      <w:r>
        <w:t xml:space="preserve">With compact prompts/outputs, this can be far cheaper than sending all raw items to the frontier model. The actual invoice depends on token counts, caching, tool usage, traffic and processing tier. Instrument per-event cost from day one.</w:t>
      </w:r>
    </w:p>
    <w:bookmarkEnd w:id="27"/>
    <w:bookmarkEnd w:id="28"/>
    <w:bookmarkStart w:id="29" w:name="cost-governance"/>
    <w:p>
      <w:pPr>
        <w:pStyle w:val="Heading2"/>
      </w:pPr>
      <w:r>
        <w:t xml:space="preserve">9. Cost governance</w:t>
      </w:r>
    </w:p>
    <w:p>
      <w:pPr>
        <w:pStyle w:val="FirstParagraph"/>
      </w:pPr>
      <w:r>
        <w:t xml:space="preserve">Implement:</w:t>
      </w:r>
      <w:r>
        <w:t xml:space="preserve"> </w:t>
      </w:r>
      <w:r>
        <w:t xml:space="preserve">- per-provider daily/monthly spend counters;</w:t>
      </w:r>
      <w:r>
        <w:t xml:space="preserve"> </w:t>
      </w:r>
      <w:r>
        <w:t xml:space="preserve">- OpenAI token/cost metric by model and event type;</w:t>
      </w:r>
      <w:r>
        <w:t xml:space="preserve"> </w:t>
      </w:r>
      <w:r>
        <w:t xml:space="preserve">- hard alert thresholds;</w:t>
      </w:r>
      <w:r>
        <w:t xml:space="preserve"> </w:t>
      </w:r>
      <w:r>
        <w:t xml:space="preserve">- optional budget-based escalation cap;</w:t>
      </w:r>
      <w:r>
        <w:t xml:space="preserve"> </w:t>
      </w:r>
      <w:r>
        <w:t xml:space="preserve">- batch/offline processing separated from real-time budget;</w:t>
      </w:r>
      <w:r>
        <w:t xml:space="preserve"> </w:t>
      </w:r>
      <w:r>
        <w:t xml:space="preserve">- retention/lifecycle policies for raw data;</w:t>
      </w:r>
      <w:r>
        <w:t xml:space="preserve"> </w:t>
      </w:r>
      <w:r>
        <w:t xml:space="preserve">- cloud egress/storage monitoring.</w:t>
      </w:r>
    </w:p>
    <w:bookmarkEnd w:id="29"/>
    <w:bookmarkStart w:id="30" w:name="provider-selection-scorecard"/>
    <w:p>
      <w:pPr>
        <w:pStyle w:val="Heading2"/>
      </w:pPr>
      <w:r>
        <w:t xml:space="preserve">10. Provider selection scorecard</w:t>
      </w:r>
    </w:p>
    <w:p>
      <w:pPr>
        <w:pStyle w:val="FirstParagraph"/>
      </w:pPr>
      <w:r>
        <w:t xml:space="preserve">Before paying for a new source, score:</w:t>
      </w:r>
      <w:r>
        <w:t xml:space="preserve"> </w:t>
      </w:r>
      <w:r>
        <w:t xml:space="preserve">- latency;</w:t>
      </w:r>
      <w:r>
        <w:t xml:space="preserve"> </w:t>
      </w:r>
      <w:r>
        <w:t xml:space="preserve">- coverage;</w:t>
      </w:r>
      <w:r>
        <w:t xml:space="preserve"> </w:t>
      </w:r>
      <w:r>
        <w:t xml:space="preserve">- historical depth;</w:t>
      </w:r>
      <w:r>
        <w:t xml:space="preserve"> </w:t>
      </w:r>
      <w:r>
        <w:t xml:space="preserve">- timestamp quality;</w:t>
      </w:r>
      <w:r>
        <w:t xml:space="preserve"> </w:t>
      </w:r>
      <w:r>
        <w:t xml:space="preserve">- reliability/SLA;</w:t>
      </w:r>
      <w:r>
        <w:t xml:space="preserve"> </w:t>
      </w:r>
      <w:r>
        <w:t xml:space="preserve">- licensing/redistribution;</w:t>
      </w:r>
      <w:r>
        <w:t xml:space="preserve"> </w:t>
      </w:r>
      <w:r>
        <w:t xml:space="preserve">- API ergonomics;</w:t>
      </w:r>
      <w:r>
        <w:t xml:space="preserve"> </w:t>
      </w:r>
      <w:r>
        <w:t xml:space="preserve">- replay support;</w:t>
      </w:r>
      <w:r>
        <w:t xml:space="preserve"> </w:t>
      </w:r>
      <w:r>
        <w:t xml:space="preserve">- cost;</w:t>
      </w:r>
      <w:r>
        <w:t xml:space="preserve"> </w:t>
      </w:r>
      <w:r>
        <w:t xml:space="preserve">- whether it demonstrably improves out-of-sample strategy results.</w:t>
      </w:r>
    </w:p>
    <w:p>
      <w:pPr>
        <w:pStyle w:val="BodyText"/>
      </w:pPr>
      <w:r>
        <w:t xml:space="preserve">Do not buy expensive feeds merely because they sound professional. Validate marginal value.</w:t>
      </w:r>
    </w:p>
    <w:bookmarkEnd w:id="30"/>
    <w:bookmarkStart w:id="31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1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1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1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1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1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1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1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1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1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1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1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1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31"/>
    <w:bookmarkEnd w:id="32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2026-08-26T12:07:22Z</dcterms:created>
  <dcterms:modified xsi:type="dcterms:W3CDTF">2026-08-26T12:07:22Z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