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c315a2e8a681dee5bb666e0ff37c3cdd37c05b"/>
    <w:p>
      <w:pPr>
        <w:pStyle w:val="Heading1"/>
      </w:pPr>
      <w:r>
        <w:t xml:space="preserve">EventAlpha AI — Non-Functional Requirements &amp; Acceptance Criteria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These requirements define when EventAlpha is technically trustworthy enough to progress from development to shadow/paper operation. Numbers are target SLOs for the designed system and should be tuned after measurement.</w:t>
      </w:r>
    </w:p>
    <w:bookmarkEnd w:id="20"/>
    <w:bookmarkStart w:id="21" w:name="latency-targets"/>
    <w:p>
      <w:pPr>
        <w:pStyle w:val="Heading2"/>
      </w:pPr>
      <w:r>
        <w:t xml:space="preserve">2. Latency targets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56"/>
        <w:gridCol w:w="2736"/>
      </w:tblGrid>
      <w:tr>
        <w:trPr>
          <w:cantSplit/>
          <w:tblHeader w:val="true"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Path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Market message → latest-value cache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p95 &lt; 100 ms after receipt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Canonical fast event → Luna structured analysis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target p95 &lt; 2.5 s under normal conditions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Event + quant evidence → risk-reviewed signal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target p95 &lt; 4 s after EventAlpha receives fast-source event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Signal publish → connected browser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p95 &lt; 250 ms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Risk-only recalculation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p95 &lt; 100 ms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Batch historical processing</w:t>
            </w:r>
          </w:p>
        </w:tc>
        <w:tc>
          <w:tcPr>
            <w:tcW w:type="dxa" w:w="27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throughput optimized; no live SLO</w:t>
            </w:r>
          </w:p>
        </w:tc>
      </w:tr>
    </w:tbl>
    <w:p>
      <w:pPr>
        <w:pStyle w:val="BodyText"/>
      </w:pPr>
      <w:r>
        <w:t xml:space="preserve">External source latency is measured separately. For example, a social provider may deliver an item seconds after publication; EventAlpha cannot claim that as internal processing latency.</w:t>
      </w:r>
    </w:p>
    <w:bookmarkEnd w:id="21"/>
    <w:bookmarkStart w:id="24" w:name="availability-and-resilience"/>
    <w:p>
      <w:pPr>
        <w:pStyle w:val="Heading2"/>
      </w:pPr>
      <w:r>
        <w:t xml:space="preserve">3. Availability and resilience</w:t>
      </w:r>
    </w:p>
    <w:bookmarkStart w:id="22" w:name="mvp"/>
    <w:p>
      <w:pPr>
        <w:pStyle w:val="Heading3"/>
      </w:pPr>
      <w:r>
        <w:t xml:space="preserve">MVP</w:t>
      </w:r>
    </w:p>
    <w:p>
      <w:pPr>
        <w:pStyle w:val="Compact"/>
        <w:numPr>
          <w:ilvl w:val="0"/>
          <w:numId w:val="1001"/>
        </w:numPr>
      </w:pPr>
      <w:r>
        <w:t xml:space="preserve">clear health endpoints;</w:t>
      </w:r>
    </w:p>
    <w:p>
      <w:pPr>
        <w:pStyle w:val="Compact"/>
        <w:numPr>
          <w:ilvl w:val="0"/>
          <w:numId w:val="1001"/>
        </w:numPr>
      </w:pPr>
      <w:r>
        <w:t xml:space="preserve">automatic worker reconnect;</w:t>
      </w:r>
    </w:p>
    <w:p>
      <w:pPr>
        <w:pStyle w:val="Compact"/>
        <w:numPr>
          <w:ilvl w:val="0"/>
          <w:numId w:val="1001"/>
        </w:numPr>
      </w:pPr>
      <w:r>
        <w:t xml:space="preserve">no silent stale feeds;</w:t>
      </w:r>
    </w:p>
    <w:p>
      <w:pPr>
        <w:pStyle w:val="Compact"/>
        <w:numPr>
          <w:ilvl w:val="0"/>
          <w:numId w:val="1001"/>
        </w:numPr>
      </w:pPr>
      <w:r>
        <w:t xml:space="preserve">daily DB backups;</w:t>
      </w:r>
    </w:p>
    <w:p>
      <w:pPr>
        <w:pStyle w:val="Compact"/>
        <w:numPr>
          <w:ilvl w:val="0"/>
          <w:numId w:val="1001"/>
        </w:numPr>
      </w:pPr>
      <w:r>
        <w:t xml:space="preserve">tested restore procedure.</w:t>
      </w:r>
    </w:p>
    <w:bookmarkEnd w:id="22"/>
    <w:bookmarkStart w:id="23" w:name="production-target"/>
    <w:p>
      <w:pPr>
        <w:pStyle w:val="Heading3"/>
      </w:pPr>
      <w:r>
        <w:t xml:space="preserve">Production target</w:t>
      </w:r>
    </w:p>
    <w:p>
      <w:pPr>
        <w:pStyle w:val="Compact"/>
        <w:numPr>
          <w:ilvl w:val="0"/>
          <w:numId w:val="1002"/>
        </w:numPr>
      </w:pPr>
      <w:r>
        <w:t xml:space="preserve">99.9% application availability target excluding upstream vendor outages;</w:t>
      </w:r>
    </w:p>
    <w:p>
      <w:pPr>
        <w:pStyle w:val="Compact"/>
        <w:numPr>
          <w:ilvl w:val="0"/>
          <w:numId w:val="1002"/>
        </w:numPr>
      </w:pPr>
      <w:r>
        <w:t xml:space="preserve">RPO ≤ 5 minutes for critical state;</w:t>
      </w:r>
    </w:p>
    <w:p>
      <w:pPr>
        <w:pStyle w:val="Compact"/>
        <w:numPr>
          <w:ilvl w:val="0"/>
          <w:numId w:val="1002"/>
        </w:numPr>
      </w:pPr>
      <w:r>
        <w:t xml:space="preserve">RTO ≤ 30 minutes target;</w:t>
      </w:r>
    </w:p>
    <w:p>
      <w:pPr>
        <w:pStyle w:val="Compact"/>
        <w:numPr>
          <w:ilvl w:val="0"/>
          <w:numId w:val="1002"/>
        </w:numPr>
      </w:pPr>
      <w:r>
        <w:t xml:space="preserve">redundant API/worker instances;</w:t>
      </w:r>
    </w:p>
    <w:p>
      <w:pPr>
        <w:pStyle w:val="Compact"/>
        <w:numPr>
          <w:ilvl w:val="0"/>
          <w:numId w:val="1002"/>
        </w:numPr>
      </w:pPr>
      <w:r>
        <w:t xml:space="preserve">managed DB HA;</w:t>
      </w:r>
    </w:p>
    <w:p>
      <w:pPr>
        <w:pStyle w:val="Compact"/>
        <w:numPr>
          <w:ilvl w:val="0"/>
          <w:numId w:val="1002"/>
        </w:numPr>
      </w:pPr>
      <w:r>
        <w:t xml:space="preserve">provider degradation clearly visible.</w:t>
      </w:r>
    </w:p>
    <w:bookmarkEnd w:id="23"/>
    <w:bookmarkEnd w:id="24"/>
    <w:bookmarkStart w:id="25" w:name="data-correctness"/>
    <w:p>
      <w:pPr>
        <w:pStyle w:val="Heading2"/>
      </w:pPr>
      <w:r>
        <w:t xml:space="preserve">4. Data correctness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- 100% stored timestamps normalized to UTC internally;</w:t>
      </w:r>
      <w:r>
        <w:t xml:space="preserve"> </w:t>
      </w:r>
      <w:r>
        <w:t xml:space="preserve">- duplicate raw provider ID is idempotent;</w:t>
      </w:r>
      <w:r>
        <w:t xml:space="preserve"> </w:t>
      </w:r>
      <w:r>
        <w:t xml:space="preserve">- every published signal references exact feature/AI/risk versions;</w:t>
      </w:r>
      <w:r>
        <w:t xml:space="preserve"> </w:t>
      </w:r>
      <w:r>
        <w:t xml:space="preserve">- replay of fixed inputs with fixed configuration is deterministic for non-LLM stages;</w:t>
      </w:r>
      <w:r>
        <w:t xml:space="preserve"> </w:t>
      </w:r>
      <w:r>
        <w:t xml:space="preserve">- stale market data cannot produce actionable signal;</w:t>
      </w:r>
      <w:r>
        <w:t xml:space="preserve"> </w:t>
      </w:r>
      <w:r>
        <w:t xml:space="preserve">- failed schema validation cannot enter signal engine as valid AI analysis.</w:t>
      </w:r>
    </w:p>
    <w:bookmarkEnd w:id="25"/>
    <w:bookmarkStart w:id="26" w:name="ai-quality-gates"/>
    <w:p>
      <w:pPr>
        <w:pStyle w:val="Heading2"/>
      </w:pPr>
      <w:r>
        <w:t xml:space="preserve">5. AI quality gates</w:t>
      </w:r>
    </w:p>
    <w:p>
      <w:pPr>
        <w:pStyle w:val="FirstParagraph"/>
      </w:pPr>
      <w:r>
        <w:t xml:space="preserve">Before paper trading, maintain a reviewed gold set and thresholds for:</w:t>
      </w:r>
      <w:r>
        <w:t xml:space="preserve"> </w:t>
      </w:r>
      <w:r>
        <w:t xml:space="preserve">- ≥99.5% machine-parseable/schema-valid outputs after bounded retry/fallback;</w:t>
      </w:r>
      <w:r>
        <w:t xml:space="preserve"> </w:t>
      </w:r>
      <w:r>
        <w:t xml:space="preserve">- entity/ticker precision target defined per universe;</w:t>
      </w:r>
      <w:r>
        <w:t xml:space="preserve"> </w:t>
      </w:r>
      <w:r>
        <w:t xml:space="preserve">- hallucinated unsupported material fact rate tracked and aggressively minimized;</w:t>
      </w:r>
      <w:r>
        <w:t xml:space="preserve"> </w:t>
      </w:r>
      <w:r>
        <w:t xml:space="preserve">- direction/impact calibration measured by event class;</w:t>
      </w:r>
      <w:r>
        <w:t xml:space="preserve"> </w:t>
      </w:r>
      <w:r>
        <w:t xml:space="preserve">- Luna→Terra→Sol escalation rate and cost monitored;</w:t>
      </w:r>
      <w:r>
        <w:t xml:space="preserve"> </w:t>
      </w:r>
      <w:r>
        <w:t xml:space="preserve">- model change cannot deploy without eval comparison.</w:t>
      </w:r>
    </w:p>
    <w:p>
      <w:pPr>
        <w:pStyle w:val="BodyText"/>
      </w:pPr>
      <w:r>
        <w:t xml:space="preserve">Do not use a single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 </w:t>
      </w:r>
      <w:r>
        <w:t xml:space="preserve">number as the whole AI quality story.</w:t>
      </w:r>
    </w:p>
    <w:bookmarkEnd w:id="26"/>
    <w:bookmarkStart w:id="27" w:name="security"/>
    <w:p>
      <w:pPr>
        <w:pStyle w:val="Heading2"/>
      </w:pPr>
      <w:r>
        <w:t xml:space="preserve">6. Security</w:t>
      </w:r>
    </w:p>
    <w:p>
      <w:pPr>
        <w:pStyle w:val="FirstParagraph"/>
      </w:pPr>
      <w:r>
        <w:t xml:space="preserve">Mandatory:</w:t>
      </w:r>
      <w:r>
        <w:t xml:space="preserve"> </w:t>
      </w:r>
      <w:r>
        <w:t xml:space="preserve">- no secrets in frontend/public repository;</w:t>
      </w:r>
      <w:r>
        <w:t xml:space="preserve"> </w:t>
      </w:r>
      <w:r>
        <w:t xml:space="preserve">- TLS in transit;</w:t>
      </w:r>
      <w:r>
        <w:t xml:space="preserve"> </w:t>
      </w:r>
      <w:r>
        <w:t xml:space="preserve">- managed encryption at rest where available;</w:t>
      </w:r>
      <w:r>
        <w:t xml:space="preserve"> </w:t>
      </w:r>
      <w:r>
        <w:t xml:space="preserve">- least-privilege cloud IAM;</w:t>
      </w:r>
      <w:r>
        <w:t xml:space="preserve"> </w:t>
      </w:r>
      <w:r>
        <w:t xml:space="preserve">- RBAC in application;</w:t>
      </w:r>
      <w:r>
        <w:t xml:space="preserve"> </w:t>
      </w:r>
      <w:r>
        <w:t xml:space="preserve">- protected admin/provider settings;</w:t>
      </w:r>
      <w:r>
        <w:t xml:space="preserve"> </w:t>
      </w:r>
      <w:r>
        <w:t xml:space="preserve">- dependency and secret scanning in CI;</w:t>
      </w:r>
      <w:r>
        <w:t xml:space="preserve"> </w:t>
      </w:r>
      <w:r>
        <w:t xml:space="preserve">- audit log for strategy/risk/provider configuration changes;</w:t>
      </w:r>
      <w:r>
        <w:t xml:space="preserve"> </w:t>
      </w:r>
      <w:r>
        <w:t xml:space="preserve">- separate paper/live credentials;</w:t>
      </w:r>
      <w:r>
        <w:t xml:space="preserve"> </w:t>
      </w:r>
      <w:r>
        <w:t xml:space="preserve">- sanitized logs;</w:t>
      </w:r>
      <w:r>
        <w:t xml:space="preserve"> </w:t>
      </w:r>
      <w:r>
        <w:t xml:space="preserve">- rate limits and abuse protection on public endpoints.</w:t>
      </w:r>
    </w:p>
    <w:bookmarkEnd w:id="27"/>
    <w:bookmarkStart w:id="28" w:name="privacy-and-data-licensing"/>
    <w:p>
      <w:pPr>
        <w:pStyle w:val="Heading2"/>
      </w:pPr>
      <w:r>
        <w:t xml:space="preserve">7. Privacy and data licensing</w:t>
      </w:r>
    </w:p>
    <w:p>
      <w:pPr>
        <w:pStyle w:val="Compact"/>
        <w:numPr>
          <w:ilvl w:val="0"/>
          <w:numId w:val="1003"/>
        </w:numPr>
      </w:pPr>
      <w:r>
        <w:t xml:space="preserve">collect only required user/account data;</w:t>
      </w:r>
    </w:p>
    <w:p>
      <w:pPr>
        <w:pStyle w:val="Compact"/>
        <w:numPr>
          <w:ilvl w:val="0"/>
          <w:numId w:val="1003"/>
        </w:numPr>
      </w:pPr>
      <w:r>
        <w:t xml:space="preserve">define retention rules;</w:t>
      </w:r>
    </w:p>
    <w:p>
      <w:pPr>
        <w:pStyle w:val="Compact"/>
        <w:numPr>
          <w:ilvl w:val="0"/>
          <w:numId w:val="1003"/>
        </w:numPr>
      </w:pPr>
      <w:r>
        <w:t xml:space="preserve">honor provider terms;</w:t>
      </w:r>
    </w:p>
    <w:p>
      <w:pPr>
        <w:pStyle w:val="Compact"/>
        <w:numPr>
          <w:ilvl w:val="0"/>
          <w:numId w:val="1003"/>
        </w:numPr>
      </w:pPr>
      <w:r>
        <w:t xml:space="preserve">document which content can be stored/redistributed;</w:t>
      </w:r>
    </w:p>
    <w:p>
      <w:pPr>
        <w:pStyle w:val="Compact"/>
        <w:numPr>
          <w:ilvl w:val="0"/>
          <w:numId w:val="1003"/>
        </w:numPr>
      </w:pPr>
      <w:r>
        <w:t xml:space="preserve">avoid storing unnecessary raw social/user data;</w:t>
      </w:r>
    </w:p>
    <w:p>
      <w:pPr>
        <w:pStyle w:val="Compact"/>
        <w:numPr>
          <w:ilvl w:val="0"/>
          <w:numId w:val="1003"/>
        </w:numPr>
      </w:pPr>
      <w:r>
        <w:t xml:space="preserve">make deletion/retention operations auditable where applicable.</w:t>
      </w:r>
    </w:p>
    <w:bookmarkEnd w:id="28"/>
    <w:bookmarkStart w:id="29" w:name="observability-acceptance"/>
    <w:p>
      <w:pPr>
        <w:pStyle w:val="Heading2"/>
      </w:pPr>
      <w:r>
        <w:t xml:space="preserve">8. Observability acceptance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should allow an operator to follow a signal through:</w:t>
      </w:r>
      <w:r>
        <w:t xml:space="preserve"> </w:t>
      </w:r>
      <w:r>
        <w:t xml:space="preserve">source → ingestion → normalization → AI/quant → fusion → risk → publish → paper order.</w:t>
      </w:r>
    </w:p>
    <w:p>
      <w:pPr>
        <w:pStyle w:val="BodyText"/>
      </w:pPr>
      <w:r>
        <w:t xml:space="preserve">Dashboards must expose:</w:t>
      </w:r>
      <w:r>
        <w:t xml:space="preserve"> </w:t>
      </w:r>
      <w:r>
        <w:t xml:space="preserve">- provider freshness;</w:t>
      </w:r>
      <w:r>
        <w:t xml:space="preserve"> </w:t>
      </w:r>
      <w:r>
        <w:t xml:space="preserve">- errors/retries;</w:t>
      </w:r>
      <w:r>
        <w:t xml:space="preserve"> </w:t>
      </w:r>
      <w:r>
        <w:t xml:space="preserve">- queue lag;</w:t>
      </w:r>
      <w:r>
        <w:t xml:space="preserve"> </w:t>
      </w:r>
      <w:r>
        <w:t xml:space="preserve">- AI latency/cost;</w:t>
      </w:r>
      <w:r>
        <w:t xml:space="preserve"> </w:t>
      </w:r>
      <w:r>
        <w:t xml:space="preserve">- DB/Redis health;</w:t>
      </w:r>
      <w:r>
        <w:t xml:space="preserve"> </w:t>
      </w:r>
      <w:r>
        <w:t xml:space="preserve">- signal rate;</w:t>
      </w:r>
      <w:r>
        <w:t xml:space="preserve"> </w:t>
      </w:r>
      <w:r>
        <w:t xml:space="preserve">- risk blocks;</w:t>
      </w:r>
      <w:r>
        <w:t xml:space="preserve"> </w:t>
      </w:r>
      <w:r>
        <w:t xml:space="preserve">- WebSocket connectivity;</w:t>
      </w:r>
      <w:r>
        <w:t xml:space="preserve"> </w:t>
      </w:r>
      <w:r>
        <w:t xml:space="preserve">- order reconciliation.</w:t>
      </w:r>
    </w:p>
    <w:bookmarkEnd w:id="29"/>
    <w:bookmarkStart w:id="30" w:name="backtest-acceptance"/>
    <w:p>
      <w:pPr>
        <w:pStyle w:val="Heading2"/>
      </w:pPr>
      <w:r>
        <w:t xml:space="preserve">9. Backtest acceptance</w:t>
      </w:r>
    </w:p>
    <w:p>
      <w:pPr>
        <w:pStyle w:val="FirstParagraph"/>
      </w:pPr>
      <w:r>
        <w:t xml:space="preserve">A strategy is not eligible for shadow mode unless:</w:t>
      </w:r>
      <w:r>
        <w:t xml:space="preserve"> </w:t>
      </w:r>
      <w:r>
        <w:t xml:space="preserve">- no known look-ahead leakage;</w:t>
      </w:r>
      <w:r>
        <w:t xml:space="preserve"> </w:t>
      </w:r>
      <w:r>
        <w:t xml:space="preserve">- chronological out-of-sample results exist;</w:t>
      </w:r>
      <w:r>
        <w:t xml:space="preserve"> </w:t>
      </w:r>
      <w:r>
        <w:t xml:space="preserve">- cost/slippage assumptions are documented;</w:t>
      </w:r>
      <w:r>
        <w:t xml:space="preserve"> </w:t>
      </w:r>
      <w:r>
        <w:t xml:space="preserve">- benchmark comparison exists;</w:t>
      </w:r>
      <w:r>
        <w:t xml:space="preserve"> </w:t>
      </w:r>
      <w:r>
        <w:t xml:space="preserve">- drawdown/tail behavior is reviewed;</w:t>
      </w:r>
      <w:r>
        <w:t xml:space="preserve"> </w:t>
      </w:r>
      <w:r>
        <w:t xml:space="preserve">- results are reproducible from stored version/config;</w:t>
      </w:r>
      <w:r>
        <w:t xml:space="preserve"> </w:t>
      </w:r>
      <w:r>
        <w:t xml:space="preserve">- data coverage gaps are disclosed.</w:t>
      </w:r>
    </w:p>
    <w:bookmarkEnd w:id="30"/>
    <w:bookmarkStart w:id="31" w:name="paper-trading-acceptance"/>
    <w:p>
      <w:pPr>
        <w:pStyle w:val="Heading2"/>
      </w:pPr>
      <w:r>
        <w:t xml:space="preserve">10. Paper-trading acceptance</w:t>
      </w:r>
    </w:p>
    <w:p>
      <w:pPr>
        <w:pStyle w:val="FirstParagraph"/>
      </w:pPr>
      <w:r>
        <w:t xml:space="preserve">Before any consideration of live trading:</w:t>
      </w:r>
      <w:r>
        <w:t xml:space="preserve"> </w:t>
      </w:r>
      <w:r>
        <w:t xml:space="preserve">- no duplicate orders in resilience tests;</w:t>
      </w:r>
      <w:r>
        <w:t xml:space="preserve"> </w:t>
      </w:r>
      <w:r>
        <w:t xml:space="preserve">- reconciled paper positions match broker state;</w:t>
      </w:r>
      <w:r>
        <w:t xml:space="preserve"> </w:t>
      </w:r>
      <w:r>
        <w:t xml:space="preserve">- kill switch tested;</w:t>
      </w:r>
      <w:r>
        <w:t xml:space="preserve"> </w:t>
      </w:r>
      <w:r>
        <w:t xml:space="preserve">- stale/provider-down gates tested;</w:t>
      </w:r>
      <w:r>
        <w:t xml:space="preserve"> </w:t>
      </w:r>
      <w:r>
        <w:t xml:space="preserve">- paper performance tracked long enough to include varied conditions;</w:t>
      </w:r>
      <w:r>
        <w:t xml:space="preserve"> </w:t>
      </w:r>
      <w:r>
        <w:t xml:space="preserve">- latency and fill differences vs backtest quantified;</w:t>
      </w:r>
      <w:r>
        <w:t xml:space="preserve"> </w:t>
      </w:r>
      <w:r>
        <w:t xml:space="preserve">- model/risk versions frozen and auditable.</w:t>
      </w:r>
    </w:p>
    <w:bookmarkEnd w:id="31"/>
    <w:bookmarkStart w:id="32" w:name="ux-acceptance"/>
    <w:p>
      <w:pPr>
        <w:pStyle w:val="Heading2"/>
      </w:pPr>
      <w:r>
        <w:t xml:space="preserve">11. UX acceptance</w:t>
      </w:r>
    </w:p>
    <w:p>
      <w:pPr>
        <w:pStyle w:val="Compact"/>
        <w:numPr>
          <w:ilvl w:val="0"/>
          <w:numId w:val="1004"/>
        </w:numPr>
      </w:pPr>
      <w:r>
        <w:t xml:space="preserve">every signal clearly shows timestamp/horizon/expiry;</w:t>
      </w:r>
    </w:p>
    <w:p>
      <w:pPr>
        <w:pStyle w:val="Compact"/>
        <w:numPr>
          <w:ilvl w:val="0"/>
          <w:numId w:val="1004"/>
        </w:numPr>
      </w:pPr>
      <w:r>
        <w:t xml:space="preserve">blocked signal explains why;</w:t>
      </w:r>
    </w:p>
    <w:p>
      <w:pPr>
        <w:pStyle w:val="Compact"/>
        <w:numPr>
          <w:ilvl w:val="0"/>
          <w:numId w:val="1004"/>
        </w:numPr>
      </w:pPr>
      <w:r>
        <w:t xml:space="preserve">stale data is visually obvious;</w:t>
      </w:r>
    </w:p>
    <w:p>
      <w:pPr>
        <w:pStyle w:val="Compact"/>
        <w:numPr>
          <w:ilvl w:val="0"/>
          <w:numId w:val="1004"/>
        </w:numPr>
      </w:pPr>
      <w:r>
        <w:t xml:space="preserve">source evidence is accessible;</w:t>
      </w:r>
    </w:p>
    <w:p>
      <w:pPr>
        <w:pStyle w:val="Compact"/>
        <w:numPr>
          <w:ilvl w:val="0"/>
          <w:numId w:val="1004"/>
        </w:numPr>
      </w:pPr>
      <w:r>
        <w:t xml:space="preserve">confidence never presented as certainty;</w:t>
      </w:r>
    </w:p>
    <w:p>
      <w:pPr>
        <w:pStyle w:val="Compact"/>
        <w:numPr>
          <w:ilvl w:val="0"/>
          <w:numId w:val="1004"/>
        </w:numPr>
      </w:pPr>
      <w:r>
        <w:t xml:space="preserve">UI works on desktop first and remains usable on tablet/mobile;</w:t>
      </w:r>
    </w:p>
    <w:p>
      <w:pPr>
        <w:pStyle w:val="Compact"/>
        <w:numPr>
          <w:ilvl w:val="0"/>
          <w:numId w:val="1004"/>
        </w:numPr>
      </w:pPr>
      <w:r>
        <w:t xml:space="preserve">keyboard/accessibility basics respected;</w:t>
      </w:r>
    </w:p>
    <w:p>
      <w:pPr>
        <w:pStyle w:val="Compact"/>
        <w:numPr>
          <w:ilvl w:val="0"/>
          <w:numId w:val="1004"/>
        </w:numPr>
      </w:pPr>
      <w:r>
        <w:t xml:space="preserve">error states do not show fake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values when data is unavailable.</w:t>
      </w:r>
    </w:p>
    <w:bookmarkEnd w:id="32"/>
    <w:bookmarkStart w:id="33" w:name="definition-of-production-readiness"/>
    <w:p>
      <w:pPr>
        <w:pStyle w:val="Heading2"/>
      </w:pPr>
      <w:r>
        <w:t xml:space="preserve">12. Definition of production readiness</w:t>
      </w:r>
    </w:p>
    <w:p>
      <w:pPr>
        <w:pStyle w:val="FirstParagraph"/>
      </w:pPr>
      <w:r>
        <w:t xml:space="preserve">Production-ready means the team can answer:</w:t>
      </w:r>
      <w:r>
        <w:t xml:space="preserve"> </w:t>
      </w:r>
      <w:r>
        <w:t xml:space="preserve">- What happens if OpenAI is down?</w:t>
      </w:r>
      <w:r>
        <w:t xml:space="preserve"> </w:t>
      </w:r>
      <w:r>
        <w:t xml:space="preserve">- What happens if market data freezes?</w:t>
      </w:r>
      <w:r>
        <w:t xml:space="preserve"> </w:t>
      </w:r>
      <w:r>
        <w:t xml:space="preserve">- Can we reproduce yesterday’s signal?</w:t>
      </w:r>
      <w:r>
        <w:t xml:space="preserve"> </w:t>
      </w:r>
      <w:r>
        <w:t xml:space="preserve">- Can we stop all trading immediately?</w:t>
      </w:r>
      <w:r>
        <w:t xml:space="preserve"> </w:t>
      </w:r>
      <w:r>
        <w:t xml:space="preserve">- Can we roll back a bad model?</w:t>
      </w:r>
      <w:r>
        <w:t xml:space="preserve"> </w:t>
      </w:r>
      <w:r>
        <w:t xml:space="preserve">- Can we restore the database?</w:t>
      </w:r>
      <w:r>
        <w:t xml:space="preserve"> </w:t>
      </w:r>
      <w:r>
        <w:t xml:space="preserve">- Which provider cost exploded and why?</w:t>
      </w:r>
      <w:r>
        <w:t xml:space="preserve"> </w:t>
      </w:r>
      <w:r>
        <w:t xml:space="preserve">- Which data license permits us to display this content?</w:t>
      </w:r>
    </w:p>
    <w:p>
      <w:pPr>
        <w:pStyle w:val="BodyText"/>
      </w:pPr>
      <w:r>
        <w:t xml:space="preserve">If these answers are unclear, the system is not production ready.</w:t>
      </w:r>
    </w:p>
    <w:bookmarkEnd w:id="33"/>
    <w:bookmarkStart w:id="34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5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5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5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5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5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5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5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5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5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5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5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5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34"/>
    <w:bookmarkEnd w:id="35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2026-08-26T12:07:23Z</dcterms:created>
  <dcterms:modified xsi:type="dcterms:W3CDTF">2026-08-26T12:07:23Z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