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 xml:space="preserve">   </w:t>
      </w:r>
    </w:p>
    <w:p>
      <w:pPr>
        <w:pStyle w:val="Heading1"/>
        <w:jc w:val="center"/>
        <w:rPr>
          <w:sz w:val="40"/>
          <w:szCs w:val="40"/>
        </w:rPr>
      </w:pPr>
      <w:r>
        <w:rPr/>
      </w:r>
    </w:p>
    <w:p>
      <w:pPr>
        <w:pStyle w:val="Heading1"/>
        <w:jc w:val="center"/>
        <w:rPr>
          <w:sz w:val="40"/>
          <w:szCs w:val="40"/>
        </w:rPr>
      </w:pPr>
      <w:r>
        <w:rPr/>
      </w:r>
    </w:p>
    <w:p>
      <w:pPr>
        <w:pStyle w:val="Heading1"/>
        <w:jc w:val="center"/>
        <w:rPr/>
      </w:pPr>
      <w:r>
        <w:rPr>
          <w:sz w:val="40"/>
          <w:szCs w:val="40"/>
        </w:rPr>
        <w:t>Understanding Credit Risk</w:t>
      </w:r>
    </w:p>
    <w:p>
      <w:pPr>
        <w:pStyle w:val="Normal"/>
        <w:jc w:val="center"/>
        <w:rPr>
          <w:sz w:val="28"/>
          <w:szCs w:val="28"/>
        </w:rPr>
      </w:pPr>
      <w:r>
        <w:rPr>
          <w:sz w:val="28"/>
          <w:szCs w:val="28"/>
        </w:rPr>
        <w:t>Prepared by: Abrham Lakew</w:t>
      </w:r>
    </w:p>
    <w:p>
      <w:pPr>
        <w:pStyle w:val="Normal"/>
        <w:jc w:val="center"/>
        <w:rPr/>
      </w:pPr>
      <w:r>
        <w:rPr>
          <w:sz w:val="26"/>
          <w:szCs w:val="26"/>
        </w:rPr>
        <w:t>Date: oct 4, 2024</w:t>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pPr>
      <w:r>
        <w:rPr/>
        <w:t>Task 1: Understanding Credit Risk</w:t>
      </w:r>
    </w:p>
    <w:p>
      <w:pPr>
        <w:pStyle w:val="Normal"/>
        <w:rPr/>
      </w:pPr>
      <w:r>
        <w:rPr/>
        <w:t>Credit risk is the risk of a loss resulting from a borrower's failure to repay a loan or meet contractual obligations. It is a key factor in the lending decision process for financial institutions and plays a crucial role in determining creditworthiness, setting interest rates, and managing financial risks.</w:t>
      </w:r>
    </w:p>
    <w:p>
      <w:pPr>
        <w:pStyle w:val="Heading2"/>
        <w:rPr/>
      </w:pPr>
      <w:r>
        <w:rPr/>
        <w:t>Importance of Understanding Credit Risk</w:t>
      </w:r>
    </w:p>
    <w:p>
      <w:pPr>
        <w:pStyle w:val="Normal"/>
        <w:rPr/>
      </w:pPr>
      <w:r>
        <w:rPr/>
        <w:t>Understanding credit risk is essential for financial institutions to manage and mitigate potential losses. Accurate assessment of credit risk allows lenders to make informed decisions about extending credit, setting interest rates, and determining the terms of credit. Effective credit risk management ensures the stability of financial institutions and contributes to the overall health of the financial system.</w:t>
      </w:r>
    </w:p>
    <w:p>
      <w:pPr>
        <w:pStyle w:val="Heading2"/>
        <w:rPr/>
      </w:pPr>
      <w:r>
        <w:rPr/>
        <w:t>Key Concepts in Credit Risk</w:t>
      </w:r>
    </w:p>
    <w:p>
      <w:pPr>
        <w:pStyle w:val="Heading3"/>
        <w:rPr/>
      </w:pPr>
      <w:r>
        <w:rPr/>
        <w:t>Default Risk</w:t>
      </w:r>
    </w:p>
    <w:p>
      <w:pPr>
        <w:pStyle w:val="Normal"/>
        <w:rPr/>
      </w:pPr>
      <w:r>
        <w:rPr/>
        <w:t>Default risk refers to the probability that a borrower will be unable to meet their debt obligations. It is one of the primary factors considered in credit risk assessment. Default risk can be influenced by factors such as the borrower's financial stability, economic conditions, and the nature of the credit provided.</w:t>
      </w:r>
    </w:p>
    <w:p>
      <w:pPr>
        <w:pStyle w:val="Heading3"/>
        <w:rPr/>
      </w:pPr>
      <w:r>
        <w:rPr/>
        <w:t>Probability of Default (PD)</w:t>
      </w:r>
    </w:p>
    <w:p>
      <w:pPr>
        <w:pStyle w:val="Normal"/>
        <w:rPr/>
      </w:pPr>
      <w:r>
        <w:rPr/>
        <w:t>Probability of Default (PD) is a measure used to estimate the likelihood that a borrower will default on their loan within a specific time period. Financial institutions use statistical models and historical data to calculate PD, which helps in quantifying the level of risk.</w:t>
      </w:r>
    </w:p>
    <w:p>
      <w:pPr>
        <w:pStyle w:val="Heading3"/>
        <w:rPr/>
      </w:pPr>
      <w:r>
        <w:rPr/>
        <w:t>Loss Given Default (LGD)</w:t>
      </w:r>
    </w:p>
    <w:p>
      <w:pPr>
        <w:pStyle w:val="Normal"/>
        <w:rPr/>
      </w:pPr>
      <w:r>
        <w:rPr/>
        <w:t>Loss Given Default (LGD) represents the percentage of the total exposure that a lender is likely to lose in the event of default. LGD depends on factors such as collateral value, recovery processes, and the seniority of the debt.</w:t>
      </w:r>
    </w:p>
    <w:p>
      <w:pPr>
        <w:pStyle w:val="Heading3"/>
        <w:rPr/>
      </w:pPr>
      <w:r>
        <w:rPr/>
        <w:t>Exposure at Default (EAD)</w:t>
      </w:r>
    </w:p>
    <w:p>
      <w:pPr>
        <w:pStyle w:val="Normal"/>
        <w:rPr/>
      </w:pPr>
      <w:r>
        <w:rPr/>
        <w:t>Exposure at Default (EAD) is the total value that a lender is exposed to at the time of a borrower's default. It includes the principal amount as well as accrued interest and any other obligations.</w:t>
      </w:r>
    </w:p>
    <w:p>
      <w:pPr>
        <w:pStyle w:val="Heading2"/>
        <w:rPr/>
      </w:pPr>
      <w:r>
        <w:rPr/>
        <w:t>Basel II Capital Accord</w:t>
      </w:r>
    </w:p>
    <w:p>
      <w:pPr>
        <w:pStyle w:val="Normal"/>
        <w:rPr/>
      </w:pPr>
      <w:r>
        <w:rPr/>
        <w:t>The Basel II Capital Accord provides a regulatory framework for financial institutions to manage credit risk. It emphasizes the need for banks to maintain sufficient capital to cover potential losses and requires institutions to adopt comprehensive risk management practices. The Basel II framework consists of three pillars: minimum capital requirements, supervisory review, and market discipline.</w:t>
      </w:r>
    </w:p>
    <w:p>
      <w:pPr>
        <w:pStyle w:val="Heading2"/>
        <w:rPr/>
      </w:pPr>
      <w:r>
        <w:rPr/>
        <w:t>Credit Scoring Approaches</w:t>
      </w:r>
    </w:p>
    <w:p>
      <w:pPr>
        <w:pStyle w:val="Normal"/>
        <w:rPr/>
      </w:pPr>
      <w:r>
        <w:rPr/>
        <w:t>Credit scoring models are used to assess the creditworthiness of borrowers based on historical data and statistical techniques. These models assign a score to potential borrowers, which reflects their likelihood of defaulting on a loan. Common approaches to credit scoring include:</w:t>
      </w:r>
    </w:p>
    <w:p>
      <w:pPr>
        <w:pStyle w:val="Heading3"/>
        <w:rPr/>
      </w:pPr>
      <w:r>
        <w:rPr/>
        <w:t>Traditional Credit Scoring</w:t>
      </w:r>
    </w:p>
    <w:p>
      <w:pPr>
        <w:pStyle w:val="Normal"/>
        <w:rPr/>
      </w:pPr>
      <w:r>
        <w:rPr/>
        <w:t>Traditional credit scoring models rely on historical data, such as payment history, credit utilization, and length of credit history. These models use statistical techniques, such as logistic regression, to assign a credit score that indicates the risk of default.</w:t>
      </w:r>
    </w:p>
    <w:p>
      <w:pPr>
        <w:pStyle w:val="Heading3"/>
        <w:rPr/>
      </w:pPr>
      <w:r>
        <w:rPr/>
        <w:t>Alternative Credit Scoring</w:t>
      </w:r>
    </w:p>
    <w:p>
      <w:pPr>
        <w:pStyle w:val="Normal"/>
        <w:rPr/>
      </w:pPr>
      <w:r>
        <w:rPr/>
        <w:t>Alternative credit scoring models use non-traditional data sources, such as social media activity, mobile phone usage, and utility payments, to assess creditworthiness. These models can be particularly useful for individuals who lack a formal credit history.</w:t>
      </w:r>
    </w:p>
    <w:p>
      <w:pPr>
        <w:pStyle w:val="Heading2"/>
        <w:rPr/>
      </w:pPr>
      <w:r>
        <w:rPr/>
        <w:t>References</w:t>
      </w:r>
    </w:p>
    <w:p>
      <w:pPr>
        <w:pStyle w:val="ListBullet"/>
        <w:numPr>
          <w:ilvl w:val="0"/>
          <w:numId w:val="1"/>
        </w:numPr>
        <w:rPr/>
      </w:pPr>
      <w:r>
        <w:rPr/>
        <w:t>https://www3.stat.sinica.edu.tw/statistica/oldpdf/A28n535.pdf</w:t>
      </w:r>
    </w:p>
    <w:p>
      <w:pPr>
        <w:pStyle w:val="ListBullet"/>
        <w:numPr>
          <w:ilvl w:val="0"/>
          <w:numId w:val="1"/>
        </w:numPr>
        <w:rPr/>
      </w:pPr>
      <w:r>
        <w:rPr/>
        <w:t>https://www.hkma.gov.hk/media/eng/doc/key-functions/financial-infrastructure/alternative_credit_scoring.pdf</w:t>
      </w:r>
    </w:p>
    <w:p>
      <w:pPr>
        <w:pStyle w:val="ListBullet"/>
        <w:numPr>
          <w:ilvl w:val="0"/>
          <w:numId w:val="1"/>
        </w:numPr>
        <w:rPr/>
      </w:pPr>
      <w:r>
        <w:rPr/>
        <w:t>https://thedocs.worldbank.org/en/doc/935891585869698451-0130022020/original/CREDITSCORINGAPPROACHESGUIDELINESFINALWEB.pdf</w:t>
      </w:r>
    </w:p>
    <w:p>
      <w:pPr>
        <w:pStyle w:val="ListBullet"/>
        <w:numPr>
          <w:ilvl w:val="0"/>
          <w:numId w:val="1"/>
        </w:numPr>
        <w:rPr/>
      </w:pPr>
      <w:r>
        <w:rPr/>
        <w:t>https://towardsdatascience.com/how-to-develop-a-credit-risk-model-and-scorecard-91335fc01f03</w:t>
      </w:r>
    </w:p>
    <w:p>
      <w:pPr>
        <w:pStyle w:val="ListBullet"/>
        <w:numPr>
          <w:ilvl w:val="0"/>
          <w:numId w:val="1"/>
        </w:numPr>
        <w:rPr/>
      </w:pPr>
      <w:r>
        <w:rPr/>
        <w:t>https://corporatefinanceinstitute.com/resources/commercial-lending/credit-risk/</w:t>
      </w:r>
    </w:p>
    <w:p>
      <w:pPr>
        <w:pStyle w:val="ListBullet"/>
        <w:numPr>
          <w:ilvl w:val="0"/>
          <w:numId w:val="1"/>
        </w:numPr>
        <w:rPr/>
      </w:pPr>
      <w:r>
        <w:rPr/>
        <w:t>https://www.risk-officer.com/Credit_Risk.htm</w:t>
      </w:r>
    </w:p>
    <w:p>
      <w:pPr>
        <w:pStyle w:val="ListBullet"/>
        <w:numPr>
          <w:ilvl w:val="0"/>
          <w:numId w:val="1"/>
        </w:numPr>
        <w:rPr/>
      </w:pPr>
      <w:r>
        <w:rPr/>
        <w:t>https://www3.stat.sinica.edu.tw/statistica/oldpdf/A28n535.pdf</w:t>
      </w:r>
    </w:p>
    <w:p>
      <w:pPr>
        <w:pStyle w:val="ListBullet"/>
        <w:numPr>
          <w:ilvl w:val="0"/>
          <w:numId w:val="1"/>
        </w:numPr>
        <w:rPr/>
      </w:pPr>
      <w:r>
        <w:rPr/>
        <w:t>https://www.hkma.gov.hk/media/eng/doc/key-functions/financial-infrastructure/alternative_credit_scoring.pdf</w:t>
      </w:r>
    </w:p>
    <w:p>
      <w:pPr>
        <w:pStyle w:val="ListBullet"/>
        <w:numPr>
          <w:ilvl w:val="0"/>
          <w:numId w:val="1"/>
        </w:numPr>
        <w:rPr/>
      </w:pPr>
      <w:r>
        <w:rPr/>
        <w:t>https://thedocs.worldbank.org/en/doc/935891585869698451-0130022020/original/CREDITSCORINGAPPROACHESGUIDELINESFINALWEB.pdf</w:t>
      </w:r>
    </w:p>
    <w:p>
      <w:pPr>
        <w:pStyle w:val="ListBullet"/>
        <w:numPr>
          <w:ilvl w:val="0"/>
          <w:numId w:val="1"/>
        </w:numPr>
        <w:rPr/>
      </w:pPr>
      <w:r>
        <w:rPr/>
        <w:t>https://towardsdatascience.com/how-to-develop-a-credit-risk-model-and-scorecard-91335fc01f03</w:t>
      </w:r>
    </w:p>
    <w:p>
      <w:pPr>
        <w:pStyle w:val="ListBullet"/>
        <w:numPr>
          <w:ilvl w:val="0"/>
          <w:numId w:val="1"/>
        </w:numPr>
        <w:rPr/>
      </w:pPr>
      <w:r>
        <w:rPr/>
        <w:t>https://corporatefinanceinstitute.com/resources/commercial-lending/credit-risk/</w:t>
      </w:r>
    </w:p>
    <w:p>
      <w:pPr>
        <w:pStyle w:val="ListBullet"/>
        <w:numPr>
          <w:ilvl w:val="0"/>
          <w:numId w:val="1"/>
        </w:numPr>
        <w:spacing w:before="0" w:after="200"/>
        <w:contextualSpacing/>
        <w:rPr/>
      </w:pPr>
      <w:r>
        <w:rPr/>
        <w:t>https://www.risk-officer.com/Credit_Risk.htm</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LibreOffice/7.5.9.2$Linux_X86_64 LibreOffice_project/50$Build-2</Application>
  <AppVersion>15.0000</AppVersion>
  <Pages>3</Pages>
  <Words>524</Words>
  <Characters>3849</Characters>
  <CharactersWithSpaces>4327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2024-10-04T18:54:45Z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