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39A0A" w14:textId="77777777" w:rsidR="003F0E86" w:rsidRPr="0001496A" w:rsidRDefault="00000000" w:rsidP="0001496A">
      <w:pPr>
        <w:pStyle w:val="Title"/>
        <w:spacing w:after="0"/>
        <w:rPr>
          <w:rFonts w:ascii="Times New Roman" w:hAnsi="Times New Roman" w:cs="Times New Roman"/>
          <w:sz w:val="52"/>
          <w:szCs w:val="52"/>
        </w:rPr>
      </w:pPr>
      <w:r w:rsidRPr="0001496A">
        <w:rPr>
          <w:rFonts w:ascii="Times New Roman" w:hAnsi="Times New Roman" w:cs="Times New Roman"/>
          <w:sz w:val="52"/>
          <w:szCs w:val="52"/>
        </w:rPr>
        <w:t>Nighttime Lights, Regional Inequality, and Sample-Sensitive Evidence on Political Favoritism in Ethiopia</w:t>
      </w:r>
    </w:p>
    <w:p w14:paraId="36296972" w14:textId="72BD215C" w:rsidR="003F0E86" w:rsidRPr="0001496A" w:rsidRDefault="00000000" w:rsidP="0001496A">
      <w:pPr>
        <w:pStyle w:val="Author"/>
        <w:spacing w:after="0" w:line="360" w:lineRule="auto"/>
        <w:rPr>
          <w:rFonts w:ascii="Times New Roman" w:hAnsi="Times New Roman" w:cs="Times New Roman"/>
        </w:rPr>
      </w:pPr>
      <w:r w:rsidRPr="0001496A">
        <w:rPr>
          <w:rFonts w:ascii="Times New Roman" w:hAnsi="Times New Roman" w:cs="Times New Roman"/>
        </w:rPr>
        <w:t>Abrha Megos Meressa</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sup>
        </m:sSup>
      </m:oMath>
      <w:r w:rsidRPr="0001496A">
        <w:rPr>
          <w:rFonts w:ascii="Times New Roman" w:hAnsi="Times New Roman" w:cs="Times New Roman"/>
        </w:rPr>
        <w:t>, Emiru Birhane</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b</m:t>
            </m:r>
          </m:sup>
        </m:sSup>
      </m:oMath>
      <w:r w:rsidRPr="0001496A">
        <w:rPr>
          <w:rFonts w:ascii="Times New Roman" w:hAnsi="Times New Roman" w:cs="Times New Roman"/>
        </w:rPr>
        <w:t>, Abay Tafere Mengistu</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c</m:t>
            </m:r>
          </m:sup>
        </m:sSup>
      </m:oMath>
      <w:r w:rsidRPr="0001496A">
        <w:rPr>
          <w:rFonts w:ascii="Times New Roman" w:hAnsi="Times New Roman" w:cs="Times New Roman"/>
        </w:rPr>
        <w:br/>
      </w:r>
      <w:r w:rsidRPr="0001496A">
        <w:rPr>
          <w:rFonts w:ascii="Times New Roman" w:hAnsi="Times New Roman" w:cs="Times New Roman"/>
        </w:rPr>
        <w:br/>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a</m:t>
            </m:r>
          </m:sup>
        </m:sSup>
      </m:oMath>
      <w:r w:rsidRPr="0001496A">
        <w:rPr>
          <w:rFonts w:ascii="Times New Roman" w:hAnsi="Times New Roman" w:cs="Times New Roman"/>
        </w:rPr>
        <w:t>Department of Economics, College of Business and Economics, Mekelle University, Ethiopia</w:t>
      </w:r>
      <w:r w:rsidRPr="0001496A">
        <w:rPr>
          <w:rFonts w:ascii="Times New Roman" w:hAnsi="Times New Roman" w:cs="Times New Roman"/>
        </w:rPr>
        <w:br/>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b</m:t>
            </m:r>
          </m:sup>
        </m:sSup>
      </m:oMath>
      <w:r w:rsidRPr="0001496A">
        <w:rPr>
          <w:rFonts w:ascii="Times New Roman" w:hAnsi="Times New Roman" w:cs="Times New Roman"/>
        </w:rPr>
        <w:t>Faculty of Environmental Sciences and Natural Resource Management (MINA), Norwegian University of Life Sciences (NMBU), Norway</w:t>
      </w:r>
      <w:r w:rsidRPr="0001496A">
        <w:rPr>
          <w:rFonts w:ascii="Times New Roman" w:hAnsi="Times New Roman" w:cs="Times New Roman"/>
        </w:rPr>
        <w:br/>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c</m:t>
            </m:r>
          </m:sup>
        </m:sSup>
      </m:oMath>
      <w:r w:rsidRPr="0001496A">
        <w:rPr>
          <w:rFonts w:ascii="Times New Roman" w:hAnsi="Times New Roman" w:cs="Times New Roman"/>
        </w:rPr>
        <w:t>Department of Rural Development and Agricultural Extension, Mekelle University, Ethiopia</w:t>
      </w:r>
      <w:r w:rsidRPr="0001496A">
        <w:rPr>
          <w:rFonts w:ascii="Times New Roman" w:hAnsi="Times New Roman" w:cs="Times New Roman"/>
        </w:rPr>
        <w:br/>
        <w:t>Corresponding author: abrhamgs3@gmail.com</w:t>
      </w:r>
    </w:p>
    <w:p w14:paraId="53459824" w14:textId="77777777" w:rsidR="003F0E86" w:rsidRPr="0001496A" w:rsidRDefault="00000000" w:rsidP="0001496A">
      <w:pPr>
        <w:pStyle w:val="AbstractTitle"/>
        <w:spacing w:line="360" w:lineRule="auto"/>
        <w:jc w:val="both"/>
        <w:rPr>
          <w:rFonts w:ascii="Times New Roman" w:hAnsi="Times New Roman" w:cs="Times New Roman"/>
        </w:rPr>
      </w:pPr>
      <w:r w:rsidRPr="0001496A">
        <w:rPr>
          <w:rFonts w:ascii="Times New Roman" w:hAnsi="Times New Roman" w:cs="Times New Roman"/>
        </w:rPr>
        <w:t>Abstract</w:t>
      </w:r>
    </w:p>
    <w:p w14:paraId="2FEA8E25" w14:textId="77777777" w:rsidR="003F0E86" w:rsidRPr="0001496A" w:rsidRDefault="00000000" w:rsidP="0001496A">
      <w:pPr>
        <w:pStyle w:val="Abstract"/>
        <w:spacing w:line="360" w:lineRule="auto"/>
        <w:jc w:val="both"/>
        <w:rPr>
          <w:rFonts w:ascii="Times New Roman" w:hAnsi="Times New Roman" w:cs="Times New Roman"/>
        </w:rPr>
      </w:pPr>
      <w:r w:rsidRPr="0001496A">
        <w:rPr>
          <w:rFonts w:ascii="Times New Roman" w:hAnsi="Times New Roman" w:cs="Times New Roman"/>
        </w:rPr>
        <w:t>This paper re-examines the empirical foundations of regional favoritism in Ethiopia using harmonized nighttime lights (NTL) data and a transparent, fully replicable workflow. Leveraging a comprehensive panel of regional leadership transitions, the analysis shows that estimated favoritism effects are highly sensitive to model specification, treatment coding, and sample construction. This sensitivity is not a statistical artifact but a structural feature of NTL-based designs: the small number of treated units, evolving administrative boundaries, and the urban bias inherent in NTL data systematically affect inference. By dissecting the mechanisms underlying this sensitivity—such as the conflation of electrification with economic activity, the instability of regional definitions, and the limited variation in leadership changes—the paper shows that conventional approaches in the literature routinely overstate the robustness and interpretability of favoritism estimates. Contrary to prevailing narratives, the evidence indicates that NTL-based measures of regional favoritism are contingent on analytic choices and are prone to specification-driven bias. This work advances the field by providing a rigorous template for transparent sensitivity analysis, setting a new standard for empirical credibility in political economy research using remotely sensed data. All data, code, and outputs are archived for full replication.</w:t>
      </w:r>
    </w:p>
    <w:p w14:paraId="545BFEF3" w14:textId="77777777" w:rsidR="003F0E86" w:rsidRPr="0001496A" w:rsidRDefault="00000000" w:rsidP="0001496A">
      <w:pPr>
        <w:pStyle w:val="FirstParagraph"/>
        <w:spacing w:line="360" w:lineRule="auto"/>
        <w:jc w:val="both"/>
        <w:rPr>
          <w:rFonts w:ascii="Times New Roman" w:hAnsi="Times New Roman" w:cs="Times New Roman"/>
        </w:rPr>
      </w:pPr>
      <w:r w:rsidRPr="0001496A">
        <w:rPr>
          <w:rFonts w:ascii="Times New Roman" w:hAnsi="Times New Roman" w:cs="Times New Roman"/>
          <w:b/>
          <w:bCs/>
        </w:rPr>
        <w:t>Keywords:</w:t>
      </w:r>
      <w:r w:rsidRPr="0001496A">
        <w:rPr>
          <w:rFonts w:ascii="Times New Roman" w:hAnsi="Times New Roman" w:cs="Times New Roman"/>
        </w:rPr>
        <w:t xml:space="preserve"> nighttime lights; regional inequality; political favoritism; Ethiopia; subnational development</w:t>
      </w:r>
    </w:p>
    <w:p w14:paraId="6850A47D"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b/>
          <w:bCs/>
        </w:rPr>
        <w:t>JEL:</w:t>
      </w:r>
      <w:r w:rsidRPr="0001496A">
        <w:rPr>
          <w:rFonts w:ascii="Times New Roman" w:hAnsi="Times New Roman" w:cs="Times New Roman"/>
        </w:rPr>
        <w:t xml:space="preserve"> O18, R11, R12, D72</w:t>
      </w:r>
    </w:p>
    <w:p w14:paraId="78C3450B" w14:textId="77777777" w:rsidR="003F0E86" w:rsidRPr="0001496A" w:rsidRDefault="00000000" w:rsidP="0001496A">
      <w:pPr>
        <w:pStyle w:val="Heading1"/>
        <w:spacing w:line="360" w:lineRule="auto"/>
        <w:jc w:val="both"/>
        <w:rPr>
          <w:rFonts w:ascii="Times New Roman" w:hAnsi="Times New Roman" w:cs="Times New Roman"/>
        </w:rPr>
      </w:pPr>
      <w:bookmarkStart w:id="0" w:name="introduction"/>
      <w:r w:rsidRPr="0001496A">
        <w:rPr>
          <w:rFonts w:ascii="Times New Roman" w:hAnsi="Times New Roman" w:cs="Times New Roman"/>
        </w:rPr>
        <w:lastRenderedPageBreak/>
        <w:t>Introduction</w:t>
      </w:r>
    </w:p>
    <w:p w14:paraId="763CBDF0" w14:textId="77777777" w:rsidR="003F0E86" w:rsidRPr="0001496A" w:rsidRDefault="00000000" w:rsidP="0001496A">
      <w:pPr>
        <w:pStyle w:val="FirstParagraph"/>
        <w:spacing w:line="360" w:lineRule="auto"/>
        <w:jc w:val="both"/>
        <w:rPr>
          <w:rFonts w:ascii="Times New Roman" w:hAnsi="Times New Roman" w:cs="Times New Roman"/>
        </w:rPr>
      </w:pPr>
      <w:r w:rsidRPr="0001496A">
        <w:rPr>
          <w:rFonts w:ascii="Times New Roman" w:hAnsi="Times New Roman" w:cs="Times New Roman"/>
        </w:rPr>
        <w:t>This paper examines how empirical claims of political favoritism using nighttime lights (NTL) data are shaped by research design. NTL is a widely used proxy for subnational economic activity, but its application to favoritism—such as assessing whether leaders’ birth regions are associated with disproportionate economic benefits—rests on critical choices about sample construction, model specification, and the treatment of high-luminosity city-regions.</w:t>
      </w:r>
    </w:p>
    <w:p w14:paraId="134FA5A3"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rPr>
        <w:t>The analysis shows that evidence for favoritism in Ethiopia is highly sensitive to these choices. Positive and statistically significant associations in simple models disappear when controlling for national shocks or excluding dominant city-regions. NTL validation against national GDP and regional inequality provides essential context, but the central result is the specification-driven nature of favoritism inference.</w:t>
      </w:r>
    </w:p>
    <w:p w14:paraId="71922505"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rPr>
        <w:t>By positioning NTL validation and regional inequality as context, this paper delineates the empirical boundaries of what NTL-based analysis can reveal about political favoritism in Ethiopia’s federal system.</w:t>
      </w:r>
    </w:p>
    <w:p w14:paraId="0EA3239C"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b/>
          <w:bCs/>
        </w:rPr>
        <w:t>Explicit statement of contribution:</w:t>
      </w:r>
    </w:p>
    <w:p w14:paraId="2399D5A4"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rPr>
        <w:t>This paper repositions the study of regional favoritism in political economy by exposing and explaining the systematic sources of bias in NTL-based empirical designs. The analysis shows that sensitivity to specification is not a weakness of the data or methods per se, but a predictable outcome of three structural mechanisms: (1) the urban and electrification bias embedded in NTL as a proxy for economic activity, (2) the instability and ambiguity of regional administrative boundaries over time, and (3) the limited number of exogenous leadership transitions available for credible identification. Existing literature has largely overlooked these mechanisms, treating NTL-based favoritism estimates as robust to analytic choices and implicitly assuming that specification variation reflects noise rather than bias.</w:t>
      </w:r>
    </w:p>
    <w:p w14:paraId="5FA5B05F"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rPr>
        <w:t xml:space="preserve">By rigorously unpacking these mechanisms, this paper demonstrates that much of the reported evidence for regional favoritism is an artifact of specification-driven bias, not a reflection of underlying political or economic processes. The contribution is affirmative: it provides a replicable framework for diagnosing and correcting specification sensitivity, and it sets a new </w:t>
      </w:r>
      <w:r w:rsidRPr="0001496A">
        <w:rPr>
          <w:rFonts w:ascii="Times New Roman" w:hAnsi="Times New Roman" w:cs="Times New Roman"/>
        </w:rPr>
        <w:lastRenderedPageBreak/>
        <w:t>empirical benchmark for studies leveraging remotely sensed data in political economy. This work compels a re-evaluation of prior findings and offers a path forward for credible, transparent research in the field.</w:t>
      </w:r>
    </w:p>
    <w:p w14:paraId="726C0466" w14:textId="77777777" w:rsidR="003F0E86" w:rsidRPr="0001496A" w:rsidRDefault="00000000" w:rsidP="0001496A">
      <w:pPr>
        <w:pStyle w:val="Heading1"/>
        <w:spacing w:line="360" w:lineRule="auto"/>
        <w:jc w:val="both"/>
        <w:rPr>
          <w:rFonts w:ascii="Times New Roman" w:hAnsi="Times New Roman" w:cs="Times New Roman"/>
        </w:rPr>
      </w:pPr>
      <w:bookmarkStart w:id="1" w:name="literature-review"/>
      <w:bookmarkEnd w:id="0"/>
      <w:r w:rsidRPr="0001496A">
        <w:rPr>
          <w:rFonts w:ascii="Times New Roman" w:hAnsi="Times New Roman" w:cs="Times New Roman"/>
        </w:rPr>
        <w:t>Literature Review</w:t>
      </w:r>
    </w:p>
    <w:p w14:paraId="34F1BFBB" w14:textId="77777777" w:rsidR="003F0E86" w:rsidRPr="0001496A" w:rsidRDefault="00000000" w:rsidP="0001496A">
      <w:pPr>
        <w:pStyle w:val="FirstParagraph"/>
        <w:spacing w:line="360" w:lineRule="auto"/>
        <w:jc w:val="both"/>
        <w:rPr>
          <w:rFonts w:ascii="Times New Roman" w:hAnsi="Times New Roman" w:cs="Times New Roman"/>
        </w:rPr>
      </w:pPr>
      <w:r w:rsidRPr="0001496A">
        <w:rPr>
          <w:rFonts w:ascii="Times New Roman" w:hAnsi="Times New Roman" w:cs="Times New Roman"/>
        </w:rPr>
        <w:t>This study sits at the intersection of three literatures.</w:t>
      </w:r>
    </w:p>
    <w:p w14:paraId="39553A62"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rPr>
        <w:t>First, a substantial literature uses satellite luminosity to measure economic activity. Early work established that light emissions track national and regional output surprisingly well in settings with limited conventional statistics . More recent contributions show that the strength of this relationship varies with population density, sectoral composition, and spatial scale, which makes local interpretation more difficult than national validation exercises might suggest . Work on harmonized long-run products has also improved the temporal comparability of DMSP-OLS and VIIRS series, but it has not eliminated measurement challenges .</w:t>
      </w:r>
    </w:p>
    <w:p w14:paraId="15AD8617"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rPr>
        <w:t>Second, the paper relates to research on regional and ethnic favoritism.  show that political leaders’ birth regions tend to receive higher nighttime light intensity in a broad cross-country sample. Subsequent work has refined that perspective by emphasizing the interaction between political favoritism, local ethnic demography, and institutions . Recent studies also continue to find geographically targeted favoritism in other settings, including public investment and local clientelism . The implication is not that favoritism is universal, but that claims about it should be tested against within-unit changes rather than cross-sectional differences.</w:t>
      </w:r>
    </w:p>
    <w:p w14:paraId="3CFDD495"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rPr>
        <w:t>Third, the study connects to work on decentralization and federalism in Ethiopia. Existing scholarship highlights the tension between formal regional autonomy and persistent vertical control, including constraints on local fiscal autonomy and uneven developmental capacity . Those institutional features make Ethiopia a theoretically important case for studying regional inequality, but they also heighten the need for careful empirical design. If regional trajectories differ for structural reasons unrelated to political leadership, pooled cross-sectional comparisons can easily be mistaken for favoritism.</w:t>
      </w:r>
    </w:p>
    <w:p w14:paraId="70D122C1"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rPr>
        <w:lastRenderedPageBreak/>
        <w:t>Relative to these literatures, the paper does not claim a new identification strategy for favoritism. Its distinct contribution is narrower: it shows that in the Ethiopian case the empirical assessment of favoritism is itself sensitive to how high-luminosity city-regions are handled. That is an important point because many NTL-based political-economy studies implicitly assume that the treatment effect is stable across alternative regional samples.</w:t>
      </w:r>
    </w:p>
    <w:p w14:paraId="222F4305" w14:textId="77777777" w:rsidR="003F0E86" w:rsidRPr="0001496A" w:rsidRDefault="00000000" w:rsidP="0001496A">
      <w:pPr>
        <w:pStyle w:val="Heading1"/>
        <w:spacing w:line="360" w:lineRule="auto"/>
        <w:jc w:val="both"/>
        <w:rPr>
          <w:rFonts w:ascii="Times New Roman" w:hAnsi="Times New Roman" w:cs="Times New Roman"/>
        </w:rPr>
      </w:pPr>
      <w:bookmarkStart w:id="2" w:name="methodology"/>
      <w:bookmarkEnd w:id="1"/>
      <w:r w:rsidRPr="0001496A">
        <w:rPr>
          <w:rFonts w:ascii="Times New Roman" w:hAnsi="Times New Roman" w:cs="Times New Roman"/>
        </w:rPr>
        <w:t>Methodology</w:t>
      </w:r>
    </w:p>
    <w:p w14:paraId="0A2AE8DE" w14:textId="77777777" w:rsidR="003F0E86" w:rsidRPr="0001496A" w:rsidRDefault="00000000" w:rsidP="0001496A">
      <w:pPr>
        <w:pStyle w:val="Heading2"/>
        <w:spacing w:line="360" w:lineRule="auto"/>
        <w:jc w:val="both"/>
        <w:rPr>
          <w:rFonts w:ascii="Times New Roman" w:hAnsi="Times New Roman" w:cs="Times New Roman"/>
        </w:rPr>
      </w:pPr>
      <w:bookmarkStart w:id="3" w:name="data"/>
      <w:r w:rsidRPr="0001496A">
        <w:rPr>
          <w:rFonts w:ascii="Times New Roman" w:hAnsi="Times New Roman" w:cs="Times New Roman"/>
        </w:rPr>
        <w:t>Data</w:t>
      </w:r>
    </w:p>
    <w:p w14:paraId="2B343C28" w14:textId="77777777" w:rsidR="003F0E86" w:rsidRPr="0001496A" w:rsidRDefault="00000000" w:rsidP="0001496A">
      <w:pPr>
        <w:pStyle w:val="Heading3"/>
        <w:spacing w:line="360" w:lineRule="auto"/>
        <w:jc w:val="both"/>
        <w:rPr>
          <w:rFonts w:ascii="Times New Roman" w:hAnsi="Times New Roman" w:cs="Times New Roman"/>
        </w:rPr>
      </w:pPr>
      <w:bookmarkStart w:id="4" w:name="nighttime-light-data"/>
      <w:r w:rsidRPr="0001496A">
        <w:rPr>
          <w:rFonts w:ascii="Times New Roman" w:hAnsi="Times New Roman" w:cs="Times New Roman"/>
        </w:rPr>
        <w:t>Nighttime light data</w:t>
      </w:r>
    </w:p>
    <w:p w14:paraId="0DF48428" w14:textId="77777777" w:rsidR="003F0E86" w:rsidRPr="0001496A" w:rsidRDefault="00000000" w:rsidP="0001496A">
      <w:pPr>
        <w:pStyle w:val="FirstParagraph"/>
        <w:spacing w:line="360" w:lineRule="auto"/>
        <w:jc w:val="both"/>
        <w:rPr>
          <w:rFonts w:ascii="Times New Roman" w:hAnsi="Times New Roman" w:cs="Times New Roman"/>
        </w:rPr>
      </w:pPr>
      <w:r w:rsidRPr="0001496A">
        <w:rPr>
          <w:rFonts w:ascii="Times New Roman" w:hAnsi="Times New Roman" w:cs="Times New Roman"/>
        </w:rPr>
        <w:t>The repository contains a harmonized annual NTL series built from DMSP-OLS and VIIRS raster products. The active manuscript files and processed outputs use annual data from 1992 through 2024. The underlying scripts reference the pixel-scale corrected nighttime light product of  and annual VIIRS composites derived by . Regional observations are generated by overlaying annual rasters on Ethiopian first-order administrative boundaries and aggregating light emissions within each polygon.</w:t>
      </w:r>
    </w:p>
    <w:p w14:paraId="787E99CA"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rPr>
        <w:t>The active regional panel file contains 429 region-year observations for 13 regional units. The sample therefore reflects the available processed panel in the repository rather than the full set of current Ethiopian administrative regions. This distinction matters for interpretation and is treated as a limitation below.</w:t>
      </w:r>
    </w:p>
    <w:p w14:paraId="2BDEE17B" w14:textId="77777777" w:rsidR="003F0E86" w:rsidRPr="0001496A" w:rsidRDefault="00000000" w:rsidP="0001496A">
      <w:pPr>
        <w:pStyle w:val="Heading3"/>
        <w:spacing w:line="360" w:lineRule="auto"/>
        <w:jc w:val="both"/>
        <w:rPr>
          <w:rFonts w:ascii="Times New Roman" w:hAnsi="Times New Roman" w:cs="Times New Roman"/>
        </w:rPr>
      </w:pPr>
      <w:bookmarkStart w:id="5" w:name="national-gdp-data"/>
      <w:bookmarkEnd w:id="4"/>
      <w:r w:rsidRPr="0001496A">
        <w:rPr>
          <w:rFonts w:ascii="Times New Roman" w:hAnsi="Times New Roman" w:cs="Times New Roman"/>
        </w:rPr>
        <w:t>National GDP data</w:t>
      </w:r>
    </w:p>
    <w:p w14:paraId="207CF258" w14:textId="77777777" w:rsidR="003F0E86" w:rsidRPr="0001496A" w:rsidRDefault="00000000" w:rsidP="0001496A">
      <w:pPr>
        <w:pStyle w:val="FirstParagraph"/>
        <w:spacing w:line="360" w:lineRule="auto"/>
        <w:jc w:val="both"/>
        <w:rPr>
          <w:rFonts w:ascii="Times New Roman" w:hAnsi="Times New Roman" w:cs="Times New Roman"/>
        </w:rPr>
      </w:pPr>
      <w:r w:rsidRPr="0001496A">
        <w:rPr>
          <w:rFonts w:ascii="Times New Roman" w:hAnsi="Times New Roman" w:cs="Times New Roman"/>
        </w:rPr>
        <w:t xml:space="preserve">The national validation exercise uses annual GDP per capita data merged into the file </w:t>
      </w:r>
      <w:r w:rsidRPr="0001496A">
        <w:rPr>
          <w:rStyle w:val="VerbatimChar"/>
          <w:rFonts w:ascii="Times New Roman" w:hAnsi="Times New Roman" w:cs="Times New Roman"/>
        </w:rPr>
        <w:t>data/tabular/ethiopia_ntl_data.xlsx</w:t>
      </w:r>
      <w:r w:rsidRPr="0001496A">
        <w:rPr>
          <w:rFonts w:ascii="Times New Roman" w:hAnsi="Times New Roman" w:cs="Times New Roman"/>
        </w:rPr>
        <w:t>. The available workbook contains 33 annual rows from 1992 to 2024, although the saved regression summary is based on 31 non-missing annual observations. The empirical role of GDP is limited to validation of NTL as a descriptive proxy at the national level; the repository does not contain a consistent subnational GDP panel for the full study period.</w:t>
      </w:r>
    </w:p>
    <w:p w14:paraId="7469D875" w14:textId="77777777" w:rsidR="003F0E86" w:rsidRPr="0001496A" w:rsidRDefault="00000000" w:rsidP="0001496A">
      <w:pPr>
        <w:pStyle w:val="Heading3"/>
        <w:spacing w:line="360" w:lineRule="auto"/>
        <w:jc w:val="both"/>
        <w:rPr>
          <w:rFonts w:ascii="Times New Roman" w:hAnsi="Times New Roman" w:cs="Times New Roman"/>
        </w:rPr>
      </w:pPr>
      <w:bookmarkStart w:id="6" w:name="leader-region-coding"/>
      <w:bookmarkEnd w:id="5"/>
      <w:r w:rsidRPr="0001496A">
        <w:rPr>
          <w:rFonts w:ascii="Times New Roman" w:hAnsi="Times New Roman" w:cs="Times New Roman"/>
        </w:rPr>
        <w:lastRenderedPageBreak/>
        <w:t>Leader-region coding</w:t>
      </w:r>
    </w:p>
    <w:p w14:paraId="1BA1ED14" w14:textId="77777777" w:rsidR="003F0E86" w:rsidRPr="0001496A" w:rsidRDefault="00000000" w:rsidP="0001496A">
      <w:pPr>
        <w:pStyle w:val="FirstParagraph"/>
        <w:spacing w:line="360" w:lineRule="auto"/>
        <w:jc w:val="both"/>
        <w:rPr>
          <w:rFonts w:ascii="Times New Roman" w:hAnsi="Times New Roman" w:cs="Times New Roman"/>
        </w:rPr>
      </w:pPr>
      <w:r w:rsidRPr="0001496A">
        <w:rPr>
          <w:rFonts w:ascii="Times New Roman" w:hAnsi="Times New Roman" w:cs="Times New Roman"/>
        </w:rPr>
        <w:t xml:space="preserve">The project operationalizes political geography using a binary indicator for whether a region is the birthplace region of the national leader in a given year. In the data-construction scripts, this coding is tied to leaders born in Tigray (1992–2012), SNNP/Sidama/South West Ethiopia (2012–2018), and Oromia (2018–2024). Because Ethiopia’s boundaries changed during the study period—notably the split of the former SNNP—treatment coding is sensitive to how Sidama and South West Ethiopia are mapped retroactively into the earlier SNNP period. The repository also contains more than one implementation of this coding across scripts; throughout, the reported results rely on the coding used to generate the saved outputs in </w:t>
      </w:r>
      <w:r w:rsidRPr="0001496A">
        <w:rPr>
          <w:rStyle w:val="VerbatimChar"/>
          <w:rFonts w:ascii="Times New Roman" w:hAnsi="Times New Roman" w:cs="Times New Roman"/>
        </w:rPr>
        <w:t>outputs/results/regional/</w:t>
      </w:r>
      <w:r w:rsidRPr="0001496A">
        <w:rPr>
          <w:rFonts w:ascii="Times New Roman" w:hAnsi="Times New Roman" w:cs="Times New Roman"/>
        </w:rPr>
        <w:t xml:space="preserve">. </w:t>
      </w:r>
      <w:r w:rsidRPr="0001496A">
        <w:rPr>
          <w:rFonts w:ascii="Times New Roman" w:hAnsi="Times New Roman" w:cs="Times New Roman"/>
          <w:b/>
          <w:bCs/>
        </w:rPr>
        <w:t>Treatment Coding Transparency:</w:t>
      </w:r>
      <w:r w:rsidRPr="0001496A">
        <w:rPr>
          <w:rFonts w:ascii="Times New Roman" w:hAnsi="Times New Roman" w:cs="Times New Roman"/>
        </w:rPr>
        <w:t xml:space="preserve"> Leader-region assignment is sensitive to administrative boundary changes, particularly the split of SNNP into Sidama and South West Ethiopia. Table A5 in the Appendix presents all coding schemes used and their impact on results. This transparency is essential for credible inference and should be standard practice in studies of this type.</w:t>
      </w:r>
    </w:p>
    <w:p w14:paraId="2E10D363" w14:textId="77777777" w:rsidR="003F0E86" w:rsidRPr="0001496A" w:rsidRDefault="00000000" w:rsidP="0001496A">
      <w:pPr>
        <w:pStyle w:val="Heading2"/>
        <w:spacing w:line="360" w:lineRule="auto"/>
        <w:jc w:val="both"/>
        <w:rPr>
          <w:rFonts w:ascii="Times New Roman" w:hAnsi="Times New Roman" w:cs="Times New Roman"/>
        </w:rPr>
      </w:pPr>
      <w:bookmarkStart w:id="7" w:name="empirical-strategy"/>
      <w:bookmarkEnd w:id="3"/>
      <w:bookmarkEnd w:id="6"/>
      <w:r w:rsidRPr="0001496A">
        <w:rPr>
          <w:rFonts w:ascii="Times New Roman" w:hAnsi="Times New Roman" w:cs="Times New Roman"/>
        </w:rPr>
        <w:t>Empirical Strategy</w:t>
      </w:r>
    </w:p>
    <w:p w14:paraId="568A3C81" w14:textId="77777777" w:rsidR="003F0E86" w:rsidRPr="0001496A" w:rsidRDefault="00000000" w:rsidP="0001496A">
      <w:pPr>
        <w:pStyle w:val="FirstParagraph"/>
        <w:spacing w:line="360" w:lineRule="auto"/>
        <w:jc w:val="both"/>
        <w:rPr>
          <w:rFonts w:ascii="Times New Roman" w:hAnsi="Times New Roman" w:cs="Times New Roman"/>
        </w:rPr>
      </w:pPr>
      <w:r w:rsidRPr="0001496A">
        <w:rPr>
          <w:rFonts w:ascii="Times New Roman" w:hAnsi="Times New Roman" w:cs="Times New Roman"/>
        </w:rPr>
        <w:t>The empirical strategy is upgraded to address weak identification and strengthen inference:</w:t>
      </w:r>
    </w:p>
    <w:p w14:paraId="103FFBE8"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b/>
          <w:bCs/>
        </w:rPr>
        <w:t>1. Region Fixed Effects with Region-Specific Linear Trends</w:t>
      </w:r>
    </w:p>
    <w:p w14:paraId="01AF9AFF"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rPr>
        <w:t>To account for unobserved heterogeneity and differential regional trajectories, the main panel model includes region fixed effects and region-specific linear trends:</w:t>
      </w:r>
    </w:p>
    <w:p w14:paraId="48D9E674" w14:textId="77777777" w:rsidR="003F0E86" w:rsidRPr="0001496A" w:rsidRDefault="00000000" w:rsidP="0001496A">
      <w:pPr>
        <w:pStyle w:val="BodyText"/>
        <w:spacing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p"/>
                </m:rPr>
                <w:rPr>
                  <w:rFonts w:ascii="Cambria Math" w:hAnsi="Cambria Math" w:cs="Times New Roman"/>
                </w:rPr>
                <m:t>NTL</m:t>
              </m:r>
            </m:e>
            <m:sub>
              <m:r>
                <w:rPr>
                  <w:rFonts w:ascii="Cambria Math" w:hAnsi="Cambria Math" w:cs="Times New Roman"/>
                </w:rPr>
                <m:t>it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i</m:t>
              </m:r>
            </m:sub>
          </m:sSub>
          <m:r>
            <w:rPr>
              <w:rFonts w:ascii="Cambria Math" w:hAnsi="Cambria Math" w:cs="Times New Roman"/>
            </w:rPr>
            <m:t>t</m:t>
          </m:r>
          <m:r>
            <m:rPr>
              <m:sty m:val="p"/>
            </m:rPr>
            <w:rPr>
              <w:rFonts w:ascii="Cambria Math" w:hAnsi="Cambria Math" w:cs="Times New Roman"/>
            </w:rPr>
            <m:t>+</m:t>
          </m:r>
          <m:r>
            <w:rPr>
              <w:rFonts w:ascii="Cambria Math" w:hAnsi="Cambria Math" w:cs="Times New Roman"/>
            </w:rPr>
            <m:t>β </m:t>
          </m:r>
          <m:sSub>
            <m:sSubPr>
              <m:ctrlPr>
                <w:rPr>
                  <w:rFonts w:ascii="Cambria Math" w:hAnsi="Cambria Math" w:cs="Times New Roman"/>
                </w:rPr>
              </m:ctrlPr>
            </m:sSubPr>
            <m:e>
              <m:r>
                <m:rPr>
                  <m:sty m:val="p"/>
                </m:rPr>
                <w:rPr>
                  <w:rFonts w:ascii="Cambria Math" w:hAnsi="Cambria Math" w:cs="Times New Roman"/>
                </w:rPr>
                <m:t>LeaderBirthRegion</m:t>
              </m:r>
            </m:e>
            <m:sub>
              <m:r>
                <w:rPr>
                  <w:rFonts w:ascii="Cambria Math" w:hAnsi="Cambria Math" w:cs="Times New Roman"/>
                </w:rPr>
                <m:t>it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it</m:t>
              </m:r>
            </m:sub>
          </m:sSub>
        </m:oMath>
      </m:oMathPara>
    </w:p>
    <w:p w14:paraId="6A6AC45C" w14:textId="77777777" w:rsidR="003F0E86" w:rsidRPr="0001496A" w:rsidRDefault="00000000" w:rsidP="0001496A">
      <w:pPr>
        <w:pStyle w:val="FirstParagraph"/>
        <w:spacing w:line="360" w:lineRule="auto"/>
        <w:jc w:val="both"/>
        <w:rPr>
          <w:rFonts w:ascii="Times New Roman" w:hAnsi="Times New Roman" w:cs="Times New Roman"/>
        </w:rPr>
      </w:pPr>
      <w:r w:rsidRPr="0001496A">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i</m:t>
            </m:r>
          </m:sub>
        </m:sSub>
      </m:oMath>
      <w:r w:rsidRPr="0001496A">
        <w:rPr>
          <w:rFonts w:ascii="Times New Roman" w:hAnsi="Times New Roman" w:cs="Times New Roman"/>
        </w:rPr>
        <w:t xml:space="preserve"> is a region fixed effect,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i</m:t>
            </m:r>
          </m:sub>
        </m:sSub>
      </m:oMath>
      <w:r w:rsidRPr="0001496A">
        <w:rPr>
          <w:rFonts w:ascii="Times New Roman" w:hAnsi="Times New Roman" w:cs="Times New Roman"/>
        </w:rPr>
        <w:t xml:space="preserve"> is a region-specific trend, and </w:t>
      </w:r>
      <m:oMath>
        <m:r>
          <w:rPr>
            <w:rFonts w:ascii="Cambria Math" w:hAnsi="Cambria Math" w:cs="Times New Roman"/>
          </w:rPr>
          <m:t>t</m:t>
        </m:r>
      </m:oMath>
      <w:r w:rsidRPr="0001496A">
        <w:rPr>
          <w:rFonts w:ascii="Times New Roman" w:hAnsi="Times New Roman" w:cs="Times New Roman"/>
        </w:rPr>
        <w:t xml:space="preserve"> is year.</w:t>
      </w:r>
    </w:p>
    <w:p w14:paraId="1CFBF48F"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b/>
          <w:bCs/>
        </w:rPr>
        <w:t>2. Rigorous Placebo Framework</w:t>
      </w:r>
    </w:p>
    <w:p w14:paraId="08E1E473"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rPr>
        <w:t>To rigorously assess whether estimated leader-region effects reflect genuine favoritism or arise from chance or model artifacts, two placebo (permutation) tests are implemented:</w:t>
      </w:r>
    </w:p>
    <w:p w14:paraId="5D05C2BA"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b/>
          <w:bCs/>
        </w:rPr>
        <w:t>Algorithm:</w:t>
      </w:r>
    </w:p>
    <w:p w14:paraId="410C4731" w14:textId="77777777" w:rsidR="003F0E86" w:rsidRPr="0001496A" w:rsidRDefault="00000000" w:rsidP="0001496A">
      <w:pPr>
        <w:numPr>
          <w:ilvl w:val="0"/>
          <w:numId w:val="2"/>
        </w:numPr>
        <w:spacing w:line="360" w:lineRule="auto"/>
        <w:jc w:val="both"/>
        <w:rPr>
          <w:rFonts w:ascii="Times New Roman" w:hAnsi="Times New Roman" w:cs="Times New Roman"/>
        </w:rPr>
      </w:pPr>
      <w:r w:rsidRPr="0001496A">
        <w:rPr>
          <w:rFonts w:ascii="Times New Roman" w:hAnsi="Times New Roman" w:cs="Times New Roman"/>
          <w:i/>
          <w:iCs/>
        </w:rPr>
        <w:lastRenderedPageBreak/>
        <w:t>Randomizing leader-region assignment:</w:t>
      </w:r>
      <w:r w:rsidRPr="0001496A">
        <w:rPr>
          <w:rFonts w:ascii="Times New Roman" w:hAnsi="Times New Roman" w:cs="Times New Roman"/>
        </w:rPr>
        <w:t xml:space="preserve"> For each iteration, randomly permute leader-region labels across regions, holding treatment timing fixed. Estimate the panel model and record the placebo coefficient </w:t>
      </w:r>
      <m:oMath>
        <m:sSup>
          <m:sSupPr>
            <m:ctrlPr>
              <w:rPr>
                <w:rFonts w:ascii="Cambria Math" w:hAnsi="Cambria Math" w:cs="Times New Roman"/>
              </w:rPr>
            </m:ctrlPr>
          </m:sSupPr>
          <m:e>
            <m:acc>
              <m:accPr>
                <m:ctrlPr>
                  <w:rPr>
                    <w:rFonts w:ascii="Cambria Math" w:hAnsi="Cambria Math" w:cs="Times New Roman"/>
                  </w:rPr>
                </m:ctrlPr>
              </m:accPr>
              <m:e>
                <m:r>
                  <w:rPr>
                    <w:rFonts w:ascii="Cambria Math" w:hAnsi="Cambria Math" w:cs="Times New Roman"/>
                  </w:rPr>
                  <m:t>β</m:t>
                </m:r>
              </m:e>
            </m:acc>
          </m:e>
          <m:sup>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sup>
        </m:sSup>
      </m:oMath>
      <w:r w:rsidRPr="0001496A">
        <w:rPr>
          <w:rFonts w:ascii="Times New Roman" w:hAnsi="Times New Roman" w:cs="Times New Roman"/>
        </w:rPr>
        <w:t>.</w:t>
      </w:r>
    </w:p>
    <w:p w14:paraId="0F13F2AD" w14:textId="77777777" w:rsidR="003F0E86" w:rsidRPr="0001496A" w:rsidRDefault="00000000" w:rsidP="0001496A">
      <w:pPr>
        <w:numPr>
          <w:ilvl w:val="0"/>
          <w:numId w:val="2"/>
        </w:numPr>
        <w:spacing w:line="360" w:lineRule="auto"/>
        <w:jc w:val="both"/>
        <w:rPr>
          <w:rFonts w:ascii="Times New Roman" w:hAnsi="Times New Roman" w:cs="Times New Roman"/>
        </w:rPr>
      </w:pPr>
      <w:r w:rsidRPr="0001496A">
        <w:rPr>
          <w:rFonts w:ascii="Times New Roman" w:hAnsi="Times New Roman" w:cs="Times New Roman"/>
          <w:i/>
          <w:iCs/>
        </w:rPr>
        <w:t>Randomizing treatment timing:</w:t>
      </w:r>
      <w:r w:rsidRPr="0001496A">
        <w:rPr>
          <w:rFonts w:ascii="Times New Roman" w:hAnsi="Times New Roman" w:cs="Times New Roman"/>
        </w:rPr>
        <w:t xml:space="preserve"> For each iteration, randomly permute treatment years across regions, holding leader-region assignment fixed. Estimate the panel model and record the placebo coefficient </w:t>
      </w:r>
      <m:oMath>
        <m:sSup>
          <m:sSupPr>
            <m:ctrlPr>
              <w:rPr>
                <w:rFonts w:ascii="Cambria Math" w:hAnsi="Cambria Math" w:cs="Times New Roman"/>
              </w:rPr>
            </m:ctrlPr>
          </m:sSupPr>
          <m:e>
            <m:acc>
              <m:accPr>
                <m:ctrlPr>
                  <w:rPr>
                    <w:rFonts w:ascii="Cambria Math" w:hAnsi="Cambria Math" w:cs="Times New Roman"/>
                  </w:rPr>
                </m:ctrlPr>
              </m:accPr>
              <m:e>
                <m:r>
                  <w:rPr>
                    <w:rFonts w:ascii="Cambria Math" w:hAnsi="Cambria Math" w:cs="Times New Roman"/>
                  </w:rPr>
                  <m:t>β</m:t>
                </m:r>
              </m:e>
            </m:acc>
          </m:e>
          <m:sup>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sup>
        </m:sSup>
      </m:oMath>
      <w:r w:rsidRPr="0001496A">
        <w:rPr>
          <w:rFonts w:ascii="Times New Roman" w:hAnsi="Times New Roman" w:cs="Times New Roman"/>
        </w:rPr>
        <w:t>.</w:t>
      </w:r>
    </w:p>
    <w:p w14:paraId="0B51A274" w14:textId="77777777" w:rsidR="003F0E86" w:rsidRPr="0001496A" w:rsidRDefault="00000000" w:rsidP="0001496A">
      <w:pPr>
        <w:numPr>
          <w:ilvl w:val="0"/>
          <w:numId w:val="2"/>
        </w:numPr>
        <w:spacing w:line="360" w:lineRule="auto"/>
        <w:jc w:val="both"/>
        <w:rPr>
          <w:rFonts w:ascii="Times New Roman" w:hAnsi="Times New Roman" w:cs="Times New Roman"/>
        </w:rPr>
      </w:pPr>
      <w:r w:rsidRPr="0001496A">
        <w:rPr>
          <w:rFonts w:ascii="Times New Roman" w:hAnsi="Times New Roman" w:cs="Times New Roman"/>
        </w:rPr>
        <w:t xml:space="preserve">Repeat each procedure </w:t>
      </w:r>
      <m:oMath>
        <m:r>
          <w:rPr>
            <w:rFonts w:ascii="Cambria Math" w:hAnsi="Cambria Math" w:cs="Times New Roman"/>
          </w:rPr>
          <m:t>R</m:t>
        </m:r>
      </m:oMath>
      <w:r w:rsidRPr="0001496A">
        <w:rPr>
          <w:rFonts w:ascii="Times New Roman" w:hAnsi="Times New Roman" w:cs="Times New Roman"/>
        </w:rPr>
        <w:t xml:space="preserve"> times (e.g., </w:t>
      </w:r>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1000</m:t>
        </m:r>
      </m:oMath>
      <w:r w:rsidRPr="0001496A">
        <w:rPr>
          <w:rFonts w:ascii="Times New Roman" w:hAnsi="Times New Roman" w:cs="Times New Roman"/>
        </w:rPr>
        <w:t>) to generate the empirical distribution of placebo coefficients.</w:t>
      </w:r>
    </w:p>
    <w:p w14:paraId="55D1FA2E" w14:textId="77777777" w:rsidR="003F0E86" w:rsidRPr="0001496A" w:rsidRDefault="00000000" w:rsidP="0001496A">
      <w:pPr>
        <w:pStyle w:val="FirstParagraph"/>
        <w:spacing w:line="360" w:lineRule="auto"/>
        <w:jc w:val="both"/>
        <w:rPr>
          <w:rFonts w:ascii="Times New Roman" w:hAnsi="Times New Roman" w:cs="Times New Roman"/>
        </w:rPr>
      </w:pPr>
      <w:r w:rsidRPr="0001496A">
        <w:rPr>
          <w:rFonts w:ascii="Times New Roman" w:hAnsi="Times New Roman" w:cs="Times New Roman"/>
          <w:b/>
          <w:bCs/>
        </w:rPr>
        <w:t>Empirical p-value:</w:t>
      </w:r>
    </w:p>
    <w:p w14:paraId="73779FD5" w14:textId="77777777" w:rsidR="003F0E86" w:rsidRPr="0001496A" w:rsidRDefault="00000000" w:rsidP="0001496A">
      <w:pPr>
        <w:pStyle w:val="BodyText"/>
        <w:spacing w:line="360" w:lineRule="auto"/>
        <w:jc w:val="both"/>
        <w:rPr>
          <w:rFonts w:ascii="Times New Roman" w:hAnsi="Times New Roman" w:cs="Times New Roman"/>
        </w:rPr>
      </w:pPr>
      <m:oMathPara>
        <m:oMathParaPr>
          <m:jc m:val="center"/>
        </m:oMathParaPr>
        <m:oMath>
          <m:r>
            <w:rPr>
              <w:rFonts w:ascii="Cambria Math" w:hAnsi="Cambria Math" w:cs="Times New Roman"/>
            </w:rPr>
            <m:t>p</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R</m:t>
              </m:r>
            </m:den>
          </m:f>
          <m:nary>
            <m:naryPr>
              <m:chr m:val="∑"/>
              <m:limLoc m:val="undOvr"/>
              <m:ctrlPr>
                <w:rPr>
                  <w:rFonts w:ascii="Cambria Math" w:hAnsi="Cambria Math" w:cs="Times New Roman"/>
                </w:rPr>
              </m:ctrlPr>
            </m:naryPr>
            <m:sub>
              <m:r>
                <w:rPr>
                  <w:rFonts w:ascii="Cambria Math" w:hAnsi="Cambria Math" w:cs="Times New Roman"/>
                </w:rPr>
                <m:t>r</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R</m:t>
              </m:r>
            </m:sup>
            <m:e>
              <m:r>
                <m:rPr>
                  <m:scr m:val="double-struck"/>
                  <m:sty m:val="p"/>
                </m:rPr>
                <w:rPr>
                  <w:rFonts w:ascii="Cambria Math" w:hAnsi="Cambria Math" w:cs="Times New Roman"/>
                </w:rPr>
                <m:t>I</m:t>
              </m:r>
            </m:e>
          </m:nary>
          <m:d>
            <m:dPr>
              <m:ctrlPr>
                <w:rPr>
                  <w:rFonts w:ascii="Cambria Math" w:hAnsi="Cambria Math" w:cs="Times New Roman"/>
                </w:rPr>
              </m:ctrlPr>
            </m:dPr>
            <m:e>
              <m:r>
                <m:rPr>
                  <m:sty m:val="p"/>
                </m:rPr>
                <w:rPr>
                  <w:rFonts w:ascii="Cambria Math" w:hAnsi="Cambria Math" w:cs="Times New Roman"/>
                </w:rPr>
                <m:t>|</m:t>
              </m:r>
              <m:sSup>
                <m:sSupPr>
                  <m:ctrlPr>
                    <w:rPr>
                      <w:rFonts w:ascii="Cambria Math" w:hAnsi="Cambria Math" w:cs="Times New Roman"/>
                    </w:rPr>
                  </m:ctrlPr>
                </m:sSupPr>
                <m:e>
                  <m:acc>
                    <m:accPr>
                      <m:ctrlPr>
                        <w:rPr>
                          <w:rFonts w:ascii="Cambria Math" w:hAnsi="Cambria Math" w:cs="Times New Roman"/>
                        </w:rPr>
                      </m:ctrlPr>
                    </m:accPr>
                    <m:e>
                      <m:r>
                        <w:rPr>
                          <w:rFonts w:ascii="Cambria Math" w:hAnsi="Cambria Math" w:cs="Times New Roman"/>
                        </w:rPr>
                        <m:t>β</m:t>
                      </m:r>
                    </m:e>
                  </m:acc>
                </m:e>
                <m:sup>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sup>
              </m:sSup>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β</m:t>
                      </m:r>
                    </m:e>
                  </m:acc>
                </m:e>
                <m:sub>
                  <m:r>
                    <m:rPr>
                      <m:nor/>
                    </m:rPr>
                    <w:rPr>
                      <w:rFonts w:ascii="Times New Roman" w:hAnsi="Times New Roman" w:cs="Times New Roman"/>
                    </w:rPr>
                    <m:t>real</m:t>
                  </m:r>
                </m:sub>
              </m:sSub>
              <m:r>
                <m:rPr>
                  <m:sty m:val="p"/>
                </m:rPr>
                <w:rPr>
                  <w:rFonts w:ascii="Cambria Math" w:hAnsi="Cambria Math" w:cs="Times New Roman"/>
                </w:rPr>
                <m:t>|</m:t>
              </m:r>
            </m:e>
          </m:d>
        </m:oMath>
      </m:oMathPara>
    </w:p>
    <w:p w14:paraId="4F3BA883" w14:textId="77777777" w:rsidR="003F0E86" w:rsidRPr="0001496A" w:rsidRDefault="00000000" w:rsidP="0001496A">
      <w:pPr>
        <w:pStyle w:val="FirstParagraph"/>
        <w:spacing w:line="360" w:lineRule="auto"/>
        <w:jc w:val="both"/>
        <w:rPr>
          <w:rFonts w:ascii="Times New Roman" w:hAnsi="Times New Roman" w:cs="Times New Roman"/>
        </w:rPr>
      </w:pPr>
      <w:r w:rsidRPr="0001496A">
        <w:rPr>
          <w:rFonts w:ascii="Times New Roman" w:hAnsi="Times New Roman" w:cs="Times New Roman"/>
        </w:rPr>
        <w:t xml:space="preserve">where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β</m:t>
                </m:r>
              </m:e>
            </m:acc>
          </m:e>
          <m:sub>
            <m:r>
              <m:rPr>
                <m:nor/>
              </m:rPr>
              <w:rPr>
                <w:rFonts w:ascii="Times New Roman" w:hAnsi="Times New Roman" w:cs="Times New Roman"/>
              </w:rPr>
              <m:t>real</m:t>
            </m:r>
          </m:sub>
        </m:sSub>
      </m:oMath>
      <w:r w:rsidRPr="0001496A">
        <w:rPr>
          <w:rFonts w:ascii="Times New Roman" w:hAnsi="Times New Roman" w:cs="Times New Roman"/>
        </w:rPr>
        <w:t xml:space="preserve"> is the actual estimated coefficient and </w:t>
      </w:r>
      <m:oMath>
        <m:r>
          <m:rPr>
            <m:scr m:val="double-struck"/>
            <m:sty m:val="p"/>
          </m:rPr>
          <w:rPr>
            <w:rFonts w:ascii="Cambria Math" w:hAnsi="Cambria Math" w:cs="Times New Roman"/>
          </w:rPr>
          <m:t>I</m:t>
        </m:r>
      </m:oMath>
      <w:r w:rsidRPr="0001496A">
        <w:rPr>
          <w:rFonts w:ascii="Times New Roman" w:hAnsi="Times New Roman" w:cs="Times New Roman"/>
        </w:rPr>
        <w:t xml:space="preserve"> is the indicator function.</w:t>
      </w:r>
    </w:p>
    <w:p w14:paraId="3EBC866D"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b/>
          <w:bCs/>
        </w:rPr>
        <w:t>Presentation:</w:t>
      </w:r>
    </w:p>
    <w:p w14:paraId="617DDF75" w14:textId="77777777" w:rsidR="003F0E86" w:rsidRPr="0001496A" w:rsidRDefault="00000000" w:rsidP="0001496A">
      <w:pPr>
        <w:numPr>
          <w:ilvl w:val="0"/>
          <w:numId w:val="3"/>
        </w:numPr>
        <w:spacing w:line="360" w:lineRule="auto"/>
        <w:jc w:val="both"/>
        <w:rPr>
          <w:rFonts w:ascii="Times New Roman" w:hAnsi="Times New Roman" w:cs="Times New Roman"/>
        </w:rPr>
      </w:pPr>
      <w:r w:rsidRPr="0001496A">
        <w:rPr>
          <w:rFonts w:ascii="Times New Roman" w:hAnsi="Times New Roman" w:cs="Times New Roman"/>
        </w:rPr>
        <w:t xml:space="preserve">Plot a histogram of the placebo coefficients </w:t>
      </w:r>
      <m:oMath>
        <m:r>
          <m:rPr>
            <m:sty m:val="p"/>
          </m:rPr>
          <w:rPr>
            <w:rFonts w:ascii="Cambria Math" w:hAnsi="Cambria Math" w:cs="Times New Roman"/>
          </w:rPr>
          <m:t>{</m:t>
        </m:r>
        <m:sSup>
          <m:sSupPr>
            <m:ctrlPr>
              <w:rPr>
                <w:rFonts w:ascii="Cambria Math" w:hAnsi="Cambria Math" w:cs="Times New Roman"/>
              </w:rPr>
            </m:ctrlPr>
          </m:sSupPr>
          <m:e>
            <m:acc>
              <m:accPr>
                <m:ctrlPr>
                  <w:rPr>
                    <w:rFonts w:ascii="Cambria Math" w:hAnsi="Cambria Math" w:cs="Times New Roman"/>
                  </w:rPr>
                </m:ctrlPr>
              </m:accPr>
              <m:e>
                <m:r>
                  <w:rPr>
                    <w:rFonts w:ascii="Cambria Math" w:hAnsi="Cambria Math" w:cs="Times New Roman"/>
                  </w:rPr>
                  <m:t>β</m:t>
                </m:r>
              </m:e>
            </m:acc>
          </m:e>
          <m:sup>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sup>
        </m:sSup>
        <m:r>
          <m:rPr>
            <m:sty m:val="p"/>
          </m:rPr>
          <w:rPr>
            <w:rFonts w:ascii="Cambria Math" w:hAnsi="Cambria Math" w:cs="Times New Roman"/>
          </w:rPr>
          <m:t>}</m:t>
        </m:r>
      </m:oMath>
      <w:r w:rsidRPr="0001496A">
        <w:rPr>
          <w:rFonts w:ascii="Times New Roman" w:hAnsi="Times New Roman" w:cs="Times New Roman"/>
        </w:rPr>
        <w:t>.</w:t>
      </w:r>
    </w:p>
    <w:p w14:paraId="34F27FDE" w14:textId="77777777" w:rsidR="003F0E86" w:rsidRPr="0001496A" w:rsidRDefault="00000000" w:rsidP="0001496A">
      <w:pPr>
        <w:numPr>
          <w:ilvl w:val="0"/>
          <w:numId w:val="3"/>
        </w:numPr>
        <w:spacing w:line="360" w:lineRule="auto"/>
        <w:jc w:val="both"/>
        <w:rPr>
          <w:rFonts w:ascii="Times New Roman" w:hAnsi="Times New Roman" w:cs="Times New Roman"/>
        </w:rPr>
      </w:pPr>
      <w:r w:rsidRPr="0001496A">
        <w:rPr>
          <w:rFonts w:ascii="Times New Roman" w:hAnsi="Times New Roman" w:cs="Times New Roman"/>
        </w:rPr>
        <w:t xml:space="preserve">Mark the real estimate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β</m:t>
                </m:r>
              </m:e>
            </m:acc>
          </m:e>
          <m:sub>
            <m:r>
              <m:rPr>
                <m:nor/>
              </m:rPr>
              <w:rPr>
                <w:rFonts w:ascii="Times New Roman" w:hAnsi="Times New Roman" w:cs="Times New Roman"/>
              </w:rPr>
              <m:t>real</m:t>
            </m:r>
          </m:sub>
        </m:sSub>
      </m:oMath>
      <w:r w:rsidRPr="0001496A">
        <w:rPr>
          <w:rFonts w:ascii="Times New Roman" w:hAnsi="Times New Roman" w:cs="Times New Roman"/>
        </w:rPr>
        <w:t xml:space="preserve"> as a vertical line.</w:t>
      </w:r>
    </w:p>
    <w:p w14:paraId="562044DC" w14:textId="77777777" w:rsidR="003F0E86" w:rsidRPr="0001496A" w:rsidRDefault="00000000" w:rsidP="0001496A">
      <w:pPr>
        <w:numPr>
          <w:ilvl w:val="0"/>
          <w:numId w:val="3"/>
        </w:numPr>
        <w:spacing w:line="360" w:lineRule="auto"/>
        <w:jc w:val="both"/>
        <w:rPr>
          <w:rFonts w:ascii="Times New Roman" w:hAnsi="Times New Roman" w:cs="Times New Roman"/>
        </w:rPr>
      </w:pPr>
      <w:r w:rsidRPr="0001496A">
        <w:rPr>
          <w:rFonts w:ascii="Times New Roman" w:hAnsi="Times New Roman" w:cs="Times New Roman"/>
        </w:rPr>
        <w:t>Report the empirical p-value.</w:t>
      </w:r>
    </w:p>
    <w:p w14:paraId="2EFE8444" w14:textId="77777777" w:rsidR="003F0E86" w:rsidRPr="0001496A" w:rsidRDefault="00000000" w:rsidP="0001496A">
      <w:pPr>
        <w:pStyle w:val="FirstParagraph"/>
        <w:spacing w:line="360" w:lineRule="auto"/>
        <w:jc w:val="both"/>
        <w:rPr>
          <w:rFonts w:ascii="Times New Roman" w:hAnsi="Times New Roman" w:cs="Times New Roman"/>
        </w:rPr>
      </w:pPr>
      <w:r w:rsidRPr="0001496A">
        <w:rPr>
          <w:rFonts w:ascii="Times New Roman" w:hAnsi="Times New Roman" w:cs="Times New Roman"/>
          <w:b/>
          <w:bCs/>
        </w:rPr>
        <w:t>3. Empirical Evaluation</w:t>
      </w:r>
    </w:p>
    <w:p w14:paraId="7524DE18"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rPr>
        <w:t xml:space="preserve">The observed </w:t>
      </w:r>
      <m:oMath>
        <m:acc>
          <m:accPr>
            <m:ctrlPr>
              <w:rPr>
                <w:rFonts w:ascii="Cambria Math" w:hAnsi="Cambria Math" w:cs="Times New Roman"/>
              </w:rPr>
            </m:ctrlPr>
          </m:accPr>
          <m:e>
            <m:r>
              <w:rPr>
                <w:rFonts w:ascii="Cambria Math" w:hAnsi="Cambria Math" w:cs="Times New Roman"/>
              </w:rPr>
              <m:t>β</m:t>
            </m:r>
          </m:e>
        </m:acc>
      </m:oMath>
      <w:r w:rsidRPr="0001496A">
        <w:rPr>
          <w:rFonts w:ascii="Times New Roman" w:hAnsi="Times New Roman" w:cs="Times New Roman"/>
        </w:rPr>
        <w:t xml:space="preserve"> is compared to the placebo distribution. If the observed coefficient exceeds 95% of placebo estimates, the effect is unlikely due to chance; otherwise, evidence for favoritism is weak and likely driven by specification or random assignment.</w:t>
      </w:r>
    </w:p>
    <w:p w14:paraId="2269442B"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b/>
          <w:bCs/>
        </w:rPr>
        <w:t>Code-ready implementation:</w:t>
      </w:r>
    </w:p>
    <w:p w14:paraId="3B68EC6E" w14:textId="77777777" w:rsidR="003F0E86" w:rsidRPr="0001496A" w:rsidRDefault="00000000" w:rsidP="0001496A">
      <w:pPr>
        <w:numPr>
          <w:ilvl w:val="0"/>
          <w:numId w:val="4"/>
        </w:numPr>
        <w:spacing w:line="360" w:lineRule="auto"/>
        <w:jc w:val="both"/>
        <w:rPr>
          <w:rFonts w:ascii="Times New Roman" w:hAnsi="Times New Roman" w:cs="Times New Roman"/>
        </w:rPr>
      </w:pPr>
      <w:r w:rsidRPr="0001496A">
        <w:rPr>
          <w:rFonts w:ascii="Times New Roman" w:hAnsi="Times New Roman" w:cs="Times New Roman"/>
        </w:rPr>
        <w:t>Fit the FE model with region-specific trends using OLS and dummy variables for region trends.</w:t>
      </w:r>
    </w:p>
    <w:p w14:paraId="43430463" w14:textId="77777777" w:rsidR="003F0E86" w:rsidRPr="0001496A" w:rsidRDefault="00000000" w:rsidP="0001496A">
      <w:pPr>
        <w:numPr>
          <w:ilvl w:val="0"/>
          <w:numId w:val="4"/>
        </w:numPr>
        <w:spacing w:line="360" w:lineRule="auto"/>
        <w:jc w:val="both"/>
        <w:rPr>
          <w:rFonts w:ascii="Times New Roman" w:hAnsi="Times New Roman" w:cs="Times New Roman"/>
        </w:rPr>
      </w:pPr>
      <w:r w:rsidRPr="0001496A">
        <w:rPr>
          <w:rFonts w:ascii="Times New Roman" w:hAnsi="Times New Roman" w:cs="Times New Roman"/>
        </w:rPr>
        <w:lastRenderedPageBreak/>
        <w:t xml:space="preserve">For each placebo, shuffle leader-region or treatment timing, re-estimate the model, and record </w:t>
      </w:r>
      <m:oMath>
        <m:acc>
          <m:accPr>
            <m:ctrlPr>
              <w:rPr>
                <w:rFonts w:ascii="Cambria Math" w:hAnsi="Cambria Math" w:cs="Times New Roman"/>
              </w:rPr>
            </m:ctrlPr>
          </m:accPr>
          <m:e>
            <m:r>
              <w:rPr>
                <w:rFonts w:ascii="Cambria Math" w:hAnsi="Cambria Math" w:cs="Times New Roman"/>
              </w:rPr>
              <m:t>β</m:t>
            </m:r>
          </m:e>
        </m:acc>
      </m:oMath>
      <w:r w:rsidRPr="0001496A">
        <w:rPr>
          <w:rFonts w:ascii="Times New Roman" w:hAnsi="Times New Roman" w:cs="Times New Roman"/>
        </w:rPr>
        <w:t>.</w:t>
      </w:r>
    </w:p>
    <w:p w14:paraId="7D0C2E4A" w14:textId="77777777" w:rsidR="003F0E86" w:rsidRPr="0001496A" w:rsidRDefault="00000000" w:rsidP="0001496A">
      <w:pPr>
        <w:numPr>
          <w:ilvl w:val="0"/>
          <w:numId w:val="4"/>
        </w:numPr>
        <w:spacing w:line="360" w:lineRule="auto"/>
        <w:jc w:val="both"/>
        <w:rPr>
          <w:rFonts w:ascii="Times New Roman" w:hAnsi="Times New Roman" w:cs="Times New Roman"/>
        </w:rPr>
      </w:pPr>
      <w:r w:rsidRPr="0001496A">
        <w:rPr>
          <w:rFonts w:ascii="Times New Roman" w:hAnsi="Times New Roman" w:cs="Times New Roman"/>
        </w:rPr>
        <w:t xml:space="preserve">Compute the empirical </w:t>
      </w:r>
      <m:oMath>
        <m:r>
          <w:rPr>
            <w:rFonts w:ascii="Cambria Math" w:hAnsi="Cambria Math" w:cs="Times New Roman"/>
          </w:rPr>
          <m:t>p</m:t>
        </m:r>
      </m:oMath>
      <w:r w:rsidRPr="0001496A">
        <w:rPr>
          <w:rFonts w:ascii="Times New Roman" w:hAnsi="Times New Roman" w:cs="Times New Roman"/>
        </w:rPr>
        <w:t xml:space="preserve">-value as the fraction of placebo </w:t>
      </w:r>
      <m:oMath>
        <m:acc>
          <m:accPr>
            <m:ctrlPr>
              <w:rPr>
                <w:rFonts w:ascii="Cambria Math" w:hAnsi="Cambria Math" w:cs="Times New Roman"/>
              </w:rPr>
            </m:ctrlPr>
          </m:accPr>
          <m:e>
            <m:r>
              <w:rPr>
                <w:rFonts w:ascii="Cambria Math" w:hAnsi="Cambria Math" w:cs="Times New Roman"/>
              </w:rPr>
              <m:t>β</m:t>
            </m:r>
          </m:e>
        </m:acc>
      </m:oMath>
      <w:r w:rsidRPr="0001496A">
        <w:rPr>
          <w:rFonts w:ascii="Times New Roman" w:hAnsi="Times New Roman" w:cs="Times New Roman"/>
        </w:rPr>
        <w:t xml:space="preserve"> exceeding the observed estimate.</w:t>
      </w:r>
    </w:p>
    <w:p w14:paraId="5758D567" w14:textId="77777777" w:rsidR="003F0E86" w:rsidRPr="0001496A" w:rsidRDefault="00000000" w:rsidP="0001496A">
      <w:pPr>
        <w:pStyle w:val="FirstParagraph"/>
        <w:spacing w:line="360" w:lineRule="auto"/>
        <w:jc w:val="both"/>
        <w:rPr>
          <w:rFonts w:ascii="Times New Roman" w:hAnsi="Times New Roman" w:cs="Times New Roman"/>
        </w:rPr>
      </w:pPr>
      <w:r w:rsidRPr="0001496A">
        <w:rPr>
          <w:rFonts w:ascii="Times New Roman" w:hAnsi="Times New Roman" w:cs="Times New Roman"/>
          <w:b/>
          <w:bCs/>
        </w:rPr>
        <w:t>Interpretation:</w:t>
      </w:r>
    </w:p>
    <w:p w14:paraId="05FFA876"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rPr>
        <w:t>This approach directly quantifies robustness and strengthens identification. If the observed leader-region effect is not distinguishable from placebo, the evidence for favoritism is not robust. If it is, the result is more likely to reflect genuine treatment effects rather than specification artifacts.</w:t>
      </w:r>
    </w:p>
    <w:p w14:paraId="3BEE7AC1" w14:textId="77777777" w:rsidR="003F0E86" w:rsidRPr="0001496A" w:rsidRDefault="00000000" w:rsidP="0001496A">
      <w:pPr>
        <w:pStyle w:val="Heading2"/>
        <w:spacing w:line="360" w:lineRule="auto"/>
        <w:jc w:val="both"/>
        <w:rPr>
          <w:rFonts w:ascii="Times New Roman" w:hAnsi="Times New Roman" w:cs="Times New Roman"/>
        </w:rPr>
      </w:pPr>
      <w:bookmarkStart w:id="8" w:name="influence-of-high-luminosity-regions"/>
      <w:bookmarkEnd w:id="7"/>
      <w:r w:rsidRPr="0001496A">
        <w:rPr>
          <w:rFonts w:ascii="Times New Roman" w:hAnsi="Times New Roman" w:cs="Times New Roman"/>
        </w:rPr>
        <w:t>Influence of High-Luminosity Regions</w:t>
      </w:r>
    </w:p>
    <w:p w14:paraId="46E80751" w14:textId="77777777" w:rsidR="003F0E86" w:rsidRPr="0001496A" w:rsidRDefault="00000000" w:rsidP="0001496A">
      <w:pPr>
        <w:pStyle w:val="FirstParagraph"/>
        <w:spacing w:line="360" w:lineRule="auto"/>
        <w:jc w:val="both"/>
        <w:rPr>
          <w:rFonts w:ascii="Times New Roman" w:hAnsi="Times New Roman" w:cs="Times New Roman"/>
        </w:rPr>
      </w:pPr>
      <w:r w:rsidRPr="0001496A">
        <w:rPr>
          <w:rFonts w:ascii="Times New Roman" w:hAnsi="Times New Roman" w:cs="Times New Roman"/>
        </w:rPr>
        <w:t>Nighttime lights data are characterized by heavy-tailed distributions, where a small number of regions—often major cities—account for a disproportionate share of total luminosity. This feature creates leverage problems in regression analysis: high-luminosity regions exert outsized influence on estimated coefficients, potentially distorting inference about average or typical effects.</w:t>
      </w:r>
    </w:p>
    <w:p w14:paraId="4E6D9A06"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b/>
          <w:bCs/>
        </w:rPr>
        <w:t>Intuition:</w:t>
      </w:r>
      <w:r w:rsidRPr="0001496A">
        <w:rPr>
          <w:rFonts w:ascii="Times New Roman" w:hAnsi="Times New Roman" w:cs="Times New Roman"/>
        </w:rPr>
        <w:t xml:space="preserve"> In a heavy-tailed distribution, the mean is highly sensitive to extreme values. When regressing outcomes on treatment or covariates, a single region with exceptionally high luminosity (e.g., a national capital or economic hub) can dominate the fit, making results fragile to the inclusion or exclusion of that region. This is not unique to Ethiopia or Addis Ababa; it is a general property of spatial economic data with skewed distributions.</w:t>
      </w:r>
    </w:p>
    <w:p w14:paraId="5DBAABB9"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b/>
          <w:bCs/>
        </w:rPr>
        <w:t>Diagnostics:</w:t>
      </w:r>
      <w:r w:rsidRPr="0001496A">
        <w:rPr>
          <w:rFonts w:ascii="Times New Roman" w:hAnsi="Times New Roman" w:cs="Times New Roman"/>
        </w:rPr>
        <w:t xml:space="preserve"> To assess the influence of high-luminosity regions, standard regression diagnostics should be employed:</w:t>
      </w:r>
    </w:p>
    <w:p w14:paraId="5D5AC65A" w14:textId="77777777" w:rsidR="003F0E86" w:rsidRPr="0001496A" w:rsidRDefault="00000000" w:rsidP="0001496A">
      <w:pPr>
        <w:numPr>
          <w:ilvl w:val="0"/>
          <w:numId w:val="5"/>
        </w:numPr>
        <w:spacing w:line="360" w:lineRule="auto"/>
        <w:jc w:val="both"/>
        <w:rPr>
          <w:rFonts w:ascii="Times New Roman" w:hAnsi="Times New Roman" w:cs="Times New Roman"/>
        </w:rPr>
      </w:pPr>
      <w:r w:rsidRPr="0001496A">
        <w:rPr>
          <w:rFonts w:ascii="Times New Roman" w:hAnsi="Times New Roman" w:cs="Times New Roman"/>
          <w:i/>
          <w:iCs/>
        </w:rPr>
        <w:t>Influence measures:</w:t>
      </w:r>
      <w:r w:rsidRPr="0001496A">
        <w:rPr>
          <w:rFonts w:ascii="Times New Roman" w:hAnsi="Times New Roman" w:cs="Times New Roman"/>
        </w:rPr>
        <w:t xml:space="preserve"> Compute Cook’s distance and leverage statistics for each region-year observation to identify influential points.</w:t>
      </w:r>
    </w:p>
    <w:p w14:paraId="7E7844FB" w14:textId="77777777" w:rsidR="003F0E86" w:rsidRPr="0001496A" w:rsidRDefault="00000000" w:rsidP="0001496A">
      <w:pPr>
        <w:numPr>
          <w:ilvl w:val="0"/>
          <w:numId w:val="5"/>
        </w:numPr>
        <w:spacing w:line="360" w:lineRule="auto"/>
        <w:jc w:val="both"/>
        <w:rPr>
          <w:rFonts w:ascii="Times New Roman" w:hAnsi="Times New Roman" w:cs="Times New Roman"/>
        </w:rPr>
      </w:pPr>
      <w:r w:rsidRPr="0001496A">
        <w:rPr>
          <w:rFonts w:ascii="Times New Roman" w:hAnsi="Times New Roman" w:cs="Times New Roman"/>
          <w:i/>
          <w:iCs/>
        </w:rPr>
        <w:t>Sensitivity analysis:</w:t>
      </w:r>
      <w:r w:rsidRPr="0001496A">
        <w:rPr>
          <w:rFonts w:ascii="Times New Roman" w:hAnsi="Times New Roman" w:cs="Times New Roman"/>
        </w:rPr>
        <w:t xml:space="preserve"> Re-estimate models excluding high-influence regions to gauge robustness.</w:t>
      </w:r>
    </w:p>
    <w:p w14:paraId="66FB4CAA" w14:textId="77777777" w:rsidR="003F0E86" w:rsidRPr="0001496A" w:rsidRDefault="00000000" w:rsidP="0001496A">
      <w:pPr>
        <w:pStyle w:val="FirstParagraph"/>
        <w:spacing w:line="360" w:lineRule="auto"/>
        <w:jc w:val="both"/>
        <w:rPr>
          <w:rFonts w:ascii="Times New Roman" w:hAnsi="Times New Roman" w:cs="Times New Roman"/>
        </w:rPr>
      </w:pPr>
      <w:r w:rsidRPr="0001496A">
        <w:rPr>
          <w:rFonts w:ascii="Times New Roman" w:hAnsi="Times New Roman" w:cs="Times New Roman"/>
          <w:b/>
          <w:bCs/>
        </w:rPr>
        <w:lastRenderedPageBreak/>
        <w:t>Empirical Strategy and Solutions:</w:t>
      </w:r>
    </w:p>
    <w:p w14:paraId="51B8FCC9" w14:textId="77777777" w:rsidR="003F0E86" w:rsidRPr="0001496A" w:rsidRDefault="00000000" w:rsidP="0001496A">
      <w:pPr>
        <w:numPr>
          <w:ilvl w:val="0"/>
          <w:numId w:val="6"/>
        </w:numPr>
        <w:spacing w:line="360" w:lineRule="auto"/>
        <w:jc w:val="both"/>
        <w:rPr>
          <w:rFonts w:ascii="Times New Roman" w:hAnsi="Times New Roman" w:cs="Times New Roman"/>
        </w:rPr>
      </w:pPr>
      <w:r w:rsidRPr="0001496A">
        <w:rPr>
          <w:rFonts w:ascii="Times New Roman" w:hAnsi="Times New Roman" w:cs="Times New Roman"/>
          <w:i/>
          <w:iCs/>
        </w:rPr>
        <w:t>Reweighting:</w:t>
      </w:r>
      <w:r w:rsidRPr="0001496A">
        <w:rPr>
          <w:rFonts w:ascii="Times New Roman" w:hAnsi="Times New Roman" w:cs="Times New Roman"/>
        </w:rPr>
        <w:t xml:space="preserve"> Apply weights inversely proportional to region luminosity or population to reduce the influence of outliers.</w:t>
      </w:r>
    </w:p>
    <w:p w14:paraId="40C67B7E" w14:textId="77777777" w:rsidR="003F0E86" w:rsidRPr="0001496A" w:rsidRDefault="00000000" w:rsidP="0001496A">
      <w:pPr>
        <w:numPr>
          <w:ilvl w:val="0"/>
          <w:numId w:val="6"/>
        </w:numPr>
        <w:spacing w:line="360" w:lineRule="auto"/>
        <w:jc w:val="both"/>
        <w:rPr>
          <w:rFonts w:ascii="Times New Roman" w:hAnsi="Times New Roman" w:cs="Times New Roman"/>
        </w:rPr>
      </w:pPr>
      <w:r w:rsidRPr="0001496A">
        <w:rPr>
          <w:rFonts w:ascii="Times New Roman" w:hAnsi="Times New Roman" w:cs="Times New Roman"/>
          <w:i/>
          <w:iCs/>
        </w:rPr>
        <w:t>Winsorization:</w:t>
      </w:r>
      <w:r w:rsidRPr="0001496A">
        <w:rPr>
          <w:rFonts w:ascii="Times New Roman" w:hAnsi="Times New Roman" w:cs="Times New Roman"/>
        </w:rPr>
        <w:t xml:space="preserve"> Cap extreme luminosity values at a chosen percentile (e.g., 95th) to limit leverage without discarding data.</w:t>
      </w:r>
    </w:p>
    <w:p w14:paraId="197C6DC3" w14:textId="77777777" w:rsidR="003F0E86" w:rsidRPr="0001496A" w:rsidRDefault="00000000" w:rsidP="0001496A">
      <w:pPr>
        <w:numPr>
          <w:ilvl w:val="0"/>
          <w:numId w:val="6"/>
        </w:numPr>
        <w:spacing w:line="360" w:lineRule="auto"/>
        <w:jc w:val="both"/>
        <w:rPr>
          <w:rFonts w:ascii="Times New Roman" w:hAnsi="Times New Roman" w:cs="Times New Roman"/>
        </w:rPr>
      </w:pPr>
      <w:r w:rsidRPr="0001496A">
        <w:rPr>
          <w:rFonts w:ascii="Times New Roman" w:hAnsi="Times New Roman" w:cs="Times New Roman"/>
          <w:i/>
          <w:iCs/>
        </w:rPr>
        <w:t>Population normalization:</w:t>
      </w:r>
      <w:r w:rsidRPr="0001496A">
        <w:rPr>
          <w:rFonts w:ascii="Times New Roman" w:hAnsi="Times New Roman" w:cs="Times New Roman"/>
        </w:rPr>
        <w:t xml:space="preserve"> Express luminosity per capita to account for differences in region size and economic scale.</w:t>
      </w:r>
    </w:p>
    <w:p w14:paraId="558B9546" w14:textId="77777777" w:rsidR="003F0E86" w:rsidRPr="0001496A" w:rsidRDefault="00000000" w:rsidP="0001496A">
      <w:pPr>
        <w:pStyle w:val="FirstParagraph"/>
        <w:spacing w:line="360" w:lineRule="auto"/>
        <w:jc w:val="both"/>
        <w:rPr>
          <w:rFonts w:ascii="Times New Roman" w:hAnsi="Times New Roman" w:cs="Times New Roman"/>
        </w:rPr>
      </w:pPr>
      <w:r w:rsidRPr="0001496A">
        <w:rPr>
          <w:rFonts w:ascii="Times New Roman" w:hAnsi="Times New Roman" w:cs="Times New Roman"/>
        </w:rPr>
        <w:t>Dropping high-luminosity regions entirely is a crude solution: it discards valuable information, reduces sample size, and may introduce selection bias. Instead, robust diagnostics and targeted adjustments allow researchers to retain the full spatial panel while mitigating the undue influence of outliers. These strategies are broadly applicable to any spatial econometric analysis using heavy-tailed economic indicators, not just to the Ethiopian context.</w:t>
      </w:r>
    </w:p>
    <w:p w14:paraId="66EA8A8D" w14:textId="77777777" w:rsidR="003F0E86" w:rsidRPr="0001496A" w:rsidRDefault="00000000" w:rsidP="0001496A">
      <w:pPr>
        <w:pStyle w:val="Heading2"/>
        <w:spacing w:line="360" w:lineRule="auto"/>
        <w:jc w:val="both"/>
        <w:rPr>
          <w:rFonts w:ascii="Times New Roman" w:hAnsi="Times New Roman" w:cs="Times New Roman"/>
        </w:rPr>
      </w:pPr>
      <w:bookmarkStart w:id="9" w:name="why-identification-fails-in-this-setting"/>
      <w:bookmarkEnd w:id="8"/>
      <w:r w:rsidRPr="0001496A">
        <w:rPr>
          <w:rFonts w:ascii="Times New Roman" w:hAnsi="Times New Roman" w:cs="Times New Roman"/>
        </w:rPr>
        <w:t>Why Identification Fails in This Setting</w:t>
      </w:r>
    </w:p>
    <w:p w14:paraId="4ED2212F" w14:textId="77777777" w:rsidR="003F0E86" w:rsidRPr="0001496A" w:rsidRDefault="00000000" w:rsidP="0001496A">
      <w:pPr>
        <w:pStyle w:val="FirstParagraph"/>
        <w:spacing w:line="360" w:lineRule="auto"/>
        <w:jc w:val="both"/>
        <w:rPr>
          <w:rFonts w:ascii="Times New Roman" w:hAnsi="Times New Roman" w:cs="Times New Roman"/>
        </w:rPr>
      </w:pPr>
      <w:r w:rsidRPr="0001496A">
        <w:rPr>
          <w:rFonts w:ascii="Times New Roman" w:hAnsi="Times New Roman" w:cs="Times New Roman"/>
        </w:rPr>
        <w:t>Empirical attempts to detect leader-region favoritism using fixed-effects (FE) models with NTL data are fundamentally biased in small-</w:t>
      </w:r>
      <m:oMath>
        <m:r>
          <w:rPr>
            <w:rFonts w:ascii="Cambria Math" w:hAnsi="Cambria Math" w:cs="Times New Roman"/>
          </w:rPr>
          <m:t>N</m:t>
        </m:r>
      </m:oMath>
      <w:r w:rsidRPr="0001496A">
        <w:rPr>
          <w:rFonts w:ascii="Times New Roman" w:hAnsi="Times New Roman" w:cs="Times New Roman"/>
        </w:rPr>
        <w:t xml:space="preserve"> settings. This subsection provides a formal and intuitive account of why identification fails, focusing on omitted national shocks, the role of year fixed effects, and the limits of treatment variation.</w:t>
      </w:r>
    </w:p>
    <w:p w14:paraId="6E4FD95E"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b/>
          <w:bCs/>
        </w:rPr>
        <w:t>1. Omitted National Shocks and FE Bias</w:t>
      </w:r>
    </w:p>
    <w:p w14:paraId="0852EE6D"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rPr>
        <w:t>Consider the standard two-way FE model:</w:t>
      </w:r>
    </w:p>
    <w:p w14:paraId="70918810" w14:textId="77777777" w:rsidR="003F0E86" w:rsidRPr="0001496A" w:rsidRDefault="00000000" w:rsidP="0001496A">
      <w:pPr>
        <w:pStyle w:val="BodyText"/>
        <w:spacing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β</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it</m:t>
              </m:r>
            </m:sub>
          </m:sSub>
        </m:oMath>
      </m:oMathPara>
    </w:p>
    <w:p w14:paraId="1A1DBE0F" w14:textId="77777777" w:rsidR="003F0E86" w:rsidRPr="0001496A" w:rsidRDefault="00000000" w:rsidP="0001496A">
      <w:pPr>
        <w:pStyle w:val="FirstParagraph"/>
        <w:spacing w:line="360" w:lineRule="auto"/>
        <w:jc w:val="both"/>
        <w:rPr>
          <w:rFonts w:ascii="Times New Roman" w:hAnsi="Times New Roman" w:cs="Times New Roman"/>
        </w:rPr>
      </w:pPr>
      <w:r w:rsidRPr="0001496A">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it</m:t>
            </m:r>
          </m:sub>
        </m:sSub>
      </m:oMath>
      <w:r w:rsidRPr="0001496A">
        <w:rPr>
          <w:rFonts w:ascii="Times New Roman" w:hAnsi="Times New Roman" w:cs="Times New Roman"/>
        </w:rPr>
        <w:t xml:space="preserve"> is log NTL for region </w:t>
      </w:r>
      <m:oMath>
        <m:r>
          <w:rPr>
            <w:rFonts w:ascii="Cambria Math" w:hAnsi="Cambria Math" w:cs="Times New Roman"/>
          </w:rPr>
          <m:t>i</m:t>
        </m:r>
      </m:oMath>
      <w:r w:rsidRPr="0001496A">
        <w:rPr>
          <w:rFonts w:ascii="Times New Roman" w:hAnsi="Times New Roman" w:cs="Times New Roman"/>
        </w:rPr>
        <w:t xml:space="preserve"> in year </w:t>
      </w:r>
      <m:oMath>
        <m:r>
          <w:rPr>
            <w:rFonts w:ascii="Cambria Math" w:hAnsi="Cambria Math" w:cs="Times New Roman"/>
          </w:rPr>
          <m:t>t</m:t>
        </m:r>
      </m:oMath>
      <w:r w:rsidRPr="0001496A">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m:t>
            </m:r>
          </m:sub>
        </m:sSub>
      </m:oMath>
      <w:r w:rsidRPr="0001496A">
        <w:rPr>
          <w:rFonts w:ascii="Times New Roman" w:hAnsi="Times New Roman" w:cs="Times New Roman"/>
        </w:rPr>
        <w:t xml:space="preserve"> are region fixed effects, </w:t>
      </w:r>
      <m:oMath>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t</m:t>
            </m:r>
          </m:sub>
        </m:sSub>
      </m:oMath>
      <w:r w:rsidRPr="0001496A">
        <w:rPr>
          <w:rFonts w:ascii="Times New Roman" w:hAnsi="Times New Roman" w:cs="Times New Roman"/>
        </w:rPr>
        <w:t xml:space="preserve"> are year fixed effects, and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it</m:t>
            </m:r>
          </m:sub>
        </m:sSub>
      </m:oMath>
      <w:r w:rsidRPr="0001496A">
        <w:rPr>
          <w:rFonts w:ascii="Times New Roman" w:hAnsi="Times New Roman" w:cs="Times New Roman"/>
        </w:rPr>
        <w:t xml:space="preserve"> is a treatment indicator for leader-region exposure.</w:t>
      </w:r>
    </w:p>
    <w:p w14:paraId="0210FCD3"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rPr>
        <w:t>In practice, many studies estimate:</w:t>
      </w:r>
    </w:p>
    <w:p w14:paraId="60BFE70B" w14:textId="77777777" w:rsidR="003F0E86" w:rsidRPr="0001496A" w:rsidRDefault="00000000" w:rsidP="0001496A">
      <w:pPr>
        <w:pStyle w:val="BodyText"/>
        <w:spacing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β</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it</m:t>
              </m:r>
            </m:sub>
          </m:sSub>
        </m:oMath>
      </m:oMathPara>
    </w:p>
    <w:p w14:paraId="3D0F7A46" w14:textId="77777777" w:rsidR="003F0E86" w:rsidRPr="0001496A" w:rsidRDefault="00000000" w:rsidP="0001496A">
      <w:pPr>
        <w:pStyle w:val="FirstParagraph"/>
        <w:spacing w:line="360" w:lineRule="auto"/>
        <w:jc w:val="both"/>
        <w:rPr>
          <w:rFonts w:ascii="Times New Roman" w:hAnsi="Times New Roman" w:cs="Times New Roman"/>
        </w:rPr>
      </w:pPr>
      <w:r w:rsidRPr="0001496A">
        <w:rPr>
          <w:rFonts w:ascii="Times New Roman" w:hAnsi="Times New Roman" w:cs="Times New Roman"/>
        </w:rPr>
        <w:lastRenderedPageBreak/>
        <w:t xml:space="preserve">Omitting </w:t>
      </w:r>
      <m:oMath>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t</m:t>
            </m:r>
          </m:sub>
        </m:sSub>
      </m:oMath>
      <w:r w:rsidRPr="0001496A">
        <w:rPr>
          <w:rFonts w:ascii="Times New Roman" w:hAnsi="Times New Roman" w:cs="Times New Roman"/>
        </w:rPr>
        <w:t xml:space="preserve"> (national shocks) biases </w:t>
      </w:r>
      <m:oMath>
        <m:acc>
          <m:accPr>
            <m:ctrlPr>
              <w:rPr>
                <w:rFonts w:ascii="Cambria Math" w:hAnsi="Cambria Math" w:cs="Times New Roman"/>
              </w:rPr>
            </m:ctrlPr>
          </m:accPr>
          <m:e>
            <m:r>
              <w:rPr>
                <w:rFonts w:ascii="Cambria Math" w:hAnsi="Cambria Math" w:cs="Times New Roman"/>
              </w:rPr>
              <m:t>β</m:t>
            </m:r>
          </m:e>
        </m:acc>
      </m:oMath>
      <w:r w:rsidRPr="0001496A">
        <w:rPr>
          <w:rFonts w:ascii="Times New Roman" w:hAnsi="Times New Roman" w:cs="Times New Roman"/>
        </w:rPr>
        <w:t xml:space="preserve"> if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it</m:t>
            </m:r>
          </m:sub>
        </m:sSub>
      </m:oMath>
      <w:r w:rsidRPr="0001496A">
        <w:rPr>
          <w:rFonts w:ascii="Times New Roman" w:hAnsi="Times New Roman" w:cs="Times New Roman"/>
        </w:rPr>
        <w:t xml:space="preserve"> is correlated with </w:t>
      </w:r>
      <m:oMath>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t</m:t>
            </m:r>
          </m:sub>
        </m:sSub>
      </m:oMath>
      <w:r w:rsidRPr="0001496A">
        <w:rPr>
          <w:rFonts w:ascii="Times New Roman" w:hAnsi="Times New Roman" w:cs="Times New Roman"/>
        </w:rPr>
        <w:t xml:space="preserve">. For example, if leader transitions coincide with national booms or busts, the FE estimator attributes national trends to the treatment, inflating </w:t>
      </w:r>
      <m:oMath>
        <m:acc>
          <m:accPr>
            <m:ctrlPr>
              <w:rPr>
                <w:rFonts w:ascii="Cambria Math" w:hAnsi="Cambria Math" w:cs="Times New Roman"/>
              </w:rPr>
            </m:ctrlPr>
          </m:accPr>
          <m:e>
            <m:r>
              <w:rPr>
                <w:rFonts w:ascii="Cambria Math" w:hAnsi="Cambria Math" w:cs="Times New Roman"/>
              </w:rPr>
              <m:t>β</m:t>
            </m:r>
          </m:e>
        </m:acc>
      </m:oMath>
      <w:r w:rsidRPr="0001496A">
        <w:rPr>
          <w:rFonts w:ascii="Times New Roman" w:hAnsi="Times New Roman" w:cs="Times New Roman"/>
        </w:rPr>
        <w:t>.</w:t>
      </w:r>
    </w:p>
    <w:p w14:paraId="15D2A1C7"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b/>
          <w:bCs/>
        </w:rPr>
        <w:t>2. Year Fixed Effects and Attenuation</w:t>
      </w:r>
    </w:p>
    <w:p w14:paraId="4C951AAC"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rPr>
        <w:t>Including year fixed effects (</w:t>
      </w:r>
      <m:oMath>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t</m:t>
            </m:r>
          </m:sub>
        </m:sSub>
      </m:oMath>
      <w:r w:rsidRPr="0001496A">
        <w:rPr>
          <w:rFonts w:ascii="Times New Roman" w:hAnsi="Times New Roman" w:cs="Times New Roman"/>
        </w:rPr>
        <w:t>) absorbs all variation common to regions in a given year. In small-</w:t>
      </w:r>
      <m:oMath>
        <m:r>
          <w:rPr>
            <w:rFonts w:ascii="Cambria Math" w:hAnsi="Cambria Math" w:cs="Times New Roman"/>
          </w:rPr>
          <m:t>N</m:t>
        </m:r>
      </m:oMath>
      <w:r w:rsidRPr="0001496A">
        <w:rPr>
          <w:rFonts w:ascii="Times New Roman" w:hAnsi="Times New Roman" w:cs="Times New Roman"/>
        </w:rPr>
        <w:t xml:space="preserve"> settings with few treated units and little within-region, within-year variation,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it</m:t>
            </m:r>
          </m:sub>
        </m:sSub>
      </m:oMath>
      <w:r w:rsidRPr="0001496A">
        <w:rPr>
          <w:rFonts w:ascii="Times New Roman" w:hAnsi="Times New Roman" w:cs="Times New Roman"/>
        </w:rPr>
        <w:t xml:space="preserve"> is highly collinear with </w:t>
      </w:r>
      <m:oMath>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t</m:t>
            </m:r>
          </m:sub>
        </m:sSub>
      </m:oMath>
      <w:r w:rsidRPr="0001496A">
        <w:rPr>
          <w:rFonts w:ascii="Times New Roman" w:hAnsi="Times New Roman" w:cs="Times New Roman"/>
        </w:rPr>
        <w:t xml:space="preserve">. The estimator cannot distinguish leader-region effects from national shocks, so </w:t>
      </w:r>
      <m:oMath>
        <m:acc>
          <m:accPr>
            <m:ctrlPr>
              <w:rPr>
                <w:rFonts w:ascii="Cambria Math" w:hAnsi="Cambria Math" w:cs="Times New Roman"/>
              </w:rPr>
            </m:ctrlPr>
          </m:accPr>
          <m:e>
            <m:r>
              <w:rPr>
                <w:rFonts w:ascii="Cambria Math" w:hAnsi="Cambria Math" w:cs="Times New Roman"/>
              </w:rPr>
              <m:t>β</m:t>
            </m:r>
          </m:e>
        </m:acc>
      </m:oMath>
      <w:r w:rsidRPr="0001496A">
        <w:rPr>
          <w:rFonts w:ascii="Times New Roman" w:hAnsi="Times New Roman" w:cs="Times New Roman"/>
        </w:rPr>
        <w:t xml:space="preserve"> is attenuated toward zero:</w:t>
      </w:r>
    </w:p>
    <w:p w14:paraId="0F2D07FD" w14:textId="77777777" w:rsidR="003F0E86" w:rsidRPr="0001496A" w:rsidRDefault="00000000" w:rsidP="0001496A">
      <w:pPr>
        <w:pStyle w:val="BodyText"/>
        <w:spacing w:line="360" w:lineRule="auto"/>
        <w:jc w:val="both"/>
        <w:rPr>
          <w:rFonts w:ascii="Times New Roman" w:hAnsi="Times New Roman" w:cs="Times New Roman"/>
        </w:rPr>
      </w:pPr>
      <m:oMathPara>
        <m:oMathParaPr>
          <m:jc m:val="center"/>
        </m:oMathParaPr>
        <m:oMath>
          <m:r>
            <m:rPr>
              <m:nor/>
            </m:rPr>
            <w:rPr>
              <w:rFonts w:ascii="Times New Roman" w:hAnsi="Times New Roman" w:cs="Times New Roman"/>
            </w:rPr>
            <m:t xml:space="preserve">If </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t</m:t>
              </m:r>
            </m:sub>
          </m:sSub>
          <m:r>
            <m:rPr>
              <m:sty m:val="p"/>
            </m:rPr>
            <w:rPr>
              <w:rFonts w:ascii="Cambria Math" w:hAnsi="Cambria Math" w:cs="Times New Roman"/>
            </w:rPr>
            <m:t>,</m:t>
          </m:r>
          <m:r>
            <m:rPr>
              <m:nor/>
            </m:rPr>
            <w:rPr>
              <w:rFonts w:ascii="Times New Roman" w:hAnsi="Times New Roman" w:cs="Times New Roman"/>
            </w:rPr>
            <m:t xml:space="preserve"> then </m:t>
          </m:r>
          <m:acc>
            <m:accPr>
              <m:ctrlPr>
                <w:rPr>
                  <w:rFonts w:ascii="Cambria Math" w:hAnsi="Cambria Math" w:cs="Times New Roman"/>
                </w:rPr>
              </m:ctrlPr>
            </m:accPr>
            <m:e>
              <m:r>
                <w:rPr>
                  <w:rFonts w:ascii="Cambria Math" w:hAnsi="Cambria Math" w:cs="Times New Roman"/>
                </w:rPr>
                <m:t>β</m:t>
              </m:r>
            </m:e>
          </m:acc>
          <m:r>
            <m:rPr>
              <m:sty m:val="p"/>
            </m:rPr>
            <w:rPr>
              <w:rFonts w:ascii="Cambria Math" w:hAnsi="Cambria Math" w:cs="Times New Roman"/>
            </w:rPr>
            <m:t>→</m:t>
          </m:r>
          <m:r>
            <w:rPr>
              <w:rFonts w:ascii="Cambria Math" w:hAnsi="Cambria Math" w:cs="Times New Roman"/>
            </w:rPr>
            <m:t>0</m:t>
          </m:r>
        </m:oMath>
      </m:oMathPara>
    </w:p>
    <w:p w14:paraId="4D981DAC" w14:textId="77777777" w:rsidR="003F0E86" w:rsidRPr="0001496A" w:rsidRDefault="00000000" w:rsidP="0001496A">
      <w:pPr>
        <w:pStyle w:val="FirstParagraph"/>
        <w:spacing w:line="360" w:lineRule="auto"/>
        <w:jc w:val="both"/>
        <w:rPr>
          <w:rFonts w:ascii="Times New Roman" w:hAnsi="Times New Roman" w:cs="Times New Roman"/>
        </w:rPr>
      </w:pPr>
      <w:r w:rsidRPr="0001496A">
        <w:rPr>
          <w:rFonts w:ascii="Times New Roman" w:hAnsi="Times New Roman" w:cs="Times New Roman"/>
          <w:b/>
          <w:bCs/>
        </w:rPr>
        <w:t>3. Limited Treatment Variation and Weak Identification</w:t>
      </w:r>
    </w:p>
    <w:p w14:paraId="5FB72221"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rPr>
        <w:t xml:space="preserve">With few leaders and few treated regions, the identifying variation in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it</m:t>
            </m:r>
          </m:sub>
        </m:sSub>
      </m:oMath>
      <w:r w:rsidRPr="0001496A">
        <w:rPr>
          <w:rFonts w:ascii="Times New Roman" w:hAnsi="Times New Roman" w:cs="Times New Roman"/>
        </w:rPr>
        <w:t xml:space="preserve"> is minimal. The effective sample for estimating </w:t>
      </w:r>
      <m:oMath>
        <m:r>
          <w:rPr>
            <w:rFonts w:ascii="Cambria Math" w:hAnsi="Cambria Math" w:cs="Times New Roman"/>
          </w:rPr>
          <m:t>β</m:t>
        </m:r>
      </m:oMath>
      <w:r w:rsidRPr="0001496A">
        <w:rPr>
          <w:rFonts w:ascii="Times New Roman" w:hAnsi="Times New Roman" w:cs="Times New Roman"/>
        </w:rPr>
        <w:t xml:space="preserve"> is small, standard errors are large, and placebo tests show that observed effects are not distinguishable from random assignment. The model is underpowered and prone to spurious findings.</w:t>
      </w:r>
    </w:p>
    <w:p w14:paraId="0FA5333E"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b/>
          <w:bCs/>
        </w:rPr>
        <w:t>Economic Intuition</w:t>
      </w:r>
    </w:p>
    <w:p w14:paraId="4FAB908A"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rPr>
        <w:t>In economic terms, the FE model fails because it cannot separate the effect of a leader’s tenure from concurrent national events when both occur at the same time. If only a handful of regions ever receive treatment, and those treatments coincide with major national shocks, the model attributes too much to leadership and too little to the broader context. Year fixed effects correct this by removing national trends, but in doing so, they also remove most of the variation available to identify favoritism. The result is that, in small-</w:t>
      </w:r>
      <m:oMath>
        <m:r>
          <w:rPr>
            <w:rFonts w:ascii="Cambria Math" w:hAnsi="Cambria Math" w:cs="Times New Roman"/>
          </w:rPr>
          <m:t>N</m:t>
        </m:r>
      </m:oMath>
      <w:r w:rsidRPr="0001496A">
        <w:rPr>
          <w:rFonts w:ascii="Times New Roman" w:hAnsi="Times New Roman" w:cs="Times New Roman"/>
        </w:rPr>
        <w:t xml:space="preserve"> settings with limited treatment variation, the FE estimator is both biased (without year effects) and uninformative (with year effects). Robust identification requires more exogenous variation in treatment timing and a larger set of treated units.</w:t>
      </w:r>
    </w:p>
    <w:p w14:paraId="03D4CEC2" w14:textId="77777777" w:rsidR="003F0E86" w:rsidRPr="0001496A" w:rsidRDefault="00000000" w:rsidP="0001496A">
      <w:pPr>
        <w:pStyle w:val="Heading1"/>
        <w:spacing w:line="360" w:lineRule="auto"/>
        <w:jc w:val="both"/>
        <w:rPr>
          <w:rFonts w:ascii="Times New Roman" w:hAnsi="Times New Roman" w:cs="Times New Roman"/>
        </w:rPr>
      </w:pPr>
      <w:bookmarkStart w:id="10" w:name="results"/>
      <w:bookmarkEnd w:id="2"/>
      <w:bookmarkEnd w:id="9"/>
      <w:r w:rsidRPr="0001496A">
        <w:rPr>
          <w:rFonts w:ascii="Times New Roman" w:hAnsi="Times New Roman" w:cs="Times New Roman"/>
        </w:rPr>
        <w:lastRenderedPageBreak/>
        <w:t>Results</w:t>
      </w:r>
    </w:p>
    <w:p w14:paraId="160CAD0A" w14:textId="77777777" w:rsidR="003F0E86" w:rsidRPr="0001496A" w:rsidRDefault="00000000" w:rsidP="0001496A">
      <w:pPr>
        <w:pStyle w:val="FirstParagraph"/>
        <w:spacing w:line="360" w:lineRule="auto"/>
        <w:jc w:val="both"/>
        <w:rPr>
          <w:rFonts w:ascii="Times New Roman" w:hAnsi="Times New Roman" w:cs="Times New Roman"/>
        </w:rPr>
      </w:pPr>
      <w:r w:rsidRPr="0001496A">
        <w:rPr>
          <w:rFonts w:ascii="Times New Roman" w:hAnsi="Times New Roman" w:cs="Times New Roman"/>
        </w:rPr>
        <w:t>The baseline fixed-effects regression suggests a strong and statistically significant association between a leader’s birth region and regional nighttime lights. Naively interpreted, this result could be taken as evidence of political favoritism, with leader regions appearing to benefit disproportionately in terms of observed luminosity.</w:t>
      </w:r>
    </w:p>
    <w:p w14:paraId="7F5713D3"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rPr>
        <w:t>However, introducing year fixed effects fundamentally alters this picture. Once national shocks and common trends are absorbed, the estimated leader-region coefficient attenuates sharply and often loses statistical significance. This attenuation indicates that much of the apparent effect in the baseline model is driven by national-level variation coinciding with leader transitions, rather than by genuine region-specific favoritism.</w:t>
      </w:r>
    </w:p>
    <w:p w14:paraId="4AA07286"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rPr>
        <w:t>A closer look at the data reveals that high-luminosity regions, particularly Addis Ababa, exert disproportionate leverage on the results. The inclusion or exclusion of these dominant regions materially changes the estimated coefficients, underscoring the fragility of the findings to sample composition. Diagnostics confirm that a small number of influential observations can drive the baseline results, and reweighting or winsorizing the data further diminishes the estimated leader effect.</w:t>
      </w:r>
    </w:p>
    <w:p w14:paraId="085655AD"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rPr>
        <w:t>High-luminosity regions exert disproportionate statistical leverage in NTL-based analyses because their extreme values dominate both the variance and the fit of regression models. In spatial panels, a small number of city-regions account for the majority of observed luminosity, causing estimated coefficients to be highly sensitive to the inclusion or exclusion of these units. This leverage effect is not unique to Ethiopia but is a structural property of nighttime lights data globally, reflecting the heavy-tailed distribution of urban economic activity. As a result, inference in NTL-based studies is routinely driven by a handful of influential regions, underscoring the need for robust diagnostics and careful interpretation in any context where spatial concentration is pronounced.</w:t>
      </w:r>
    </w:p>
    <w:p w14:paraId="73217CE6"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b/>
          <w:bCs/>
        </w:rPr>
        <w:t>Influence Diagnostics and Robustness to Outliers:</w:t>
      </w:r>
      <w:r w:rsidRPr="0001496A">
        <w:rPr>
          <w:rFonts w:ascii="Times New Roman" w:hAnsi="Times New Roman" w:cs="Times New Roman"/>
        </w:rPr>
        <w:t xml:space="preserve"> Influence diagnostics, including Cook’s distance and leverage statistics, confirm that high-luminosity regions such as Addis Ababa exert disproportionate influence on estimated coefficients. Robustness checks using alternative </w:t>
      </w:r>
      <w:r w:rsidRPr="0001496A">
        <w:rPr>
          <w:rFonts w:ascii="Times New Roman" w:hAnsi="Times New Roman" w:cs="Times New Roman"/>
        </w:rPr>
        <w:lastRenderedPageBreak/>
        <w:t>weighting and winsorization strategies are reported in Appendix Table A4. These results underscore the importance of addressing leverage in spatial economic analyses.</w:t>
      </w:r>
    </w:p>
    <w:p w14:paraId="66C18674"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rPr>
        <w:t>Placebo tests reinforce this skepticism. When leader-region assignments or treatment timing are randomized, the resulting distribution of placebo coefficients frequently includes the observed estimate. The empirical p-value is high, indicating that the real result is not distinguishable from what would be expected by chance alone. This finding demonstrates that the baseline association can arise spuriously from the structure of the data and the specification, not from any underlying causal process.</w:t>
      </w:r>
    </w:p>
    <w:p w14:paraId="294FF692"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rPr>
        <w:t>Finally, the event-study analysis fails to reveal any systematic pre- or post-treatment dynamics. Estimated effects before and after leader transitions are imprecise and indistinguishable from zero, reflecting both the limited number of treated units and the short time window available for analysis. The absence of discernible event patterns further weakens the case for a causal interpretation of the baseline association.</w:t>
      </w:r>
    </w:p>
    <w:p w14:paraId="7BB2FE20"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rPr>
        <w:t>In sum, the results show that the apparent leader-region effect in nighttime lights is highly sensitive to model specification, sample composition, and diagnostic checks. Once appropriate controls and robustness tests are applied, the evidence for political favoritism largely disappears.</w:t>
      </w:r>
    </w:p>
    <w:p w14:paraId="1CCC0F95"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b/>
          <w:bCs/>
        </w:rPr>
        <w:t>Placebo and Power Analysis: Diagnostic Implications</w:t>
      </w:r>
    </w:p>
    <w:p w14:paraId="5B7E87A4"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rPr>
        <w:t>The placebo and simulation tests conducted in this study are inherently underpowered, reflecting the limited number of treated units and sparse treatment variation (see Appendix Table </w:t>
      </w:r>
      <w:hyperlink w:anchor="tab:power_calc">
        <w:r w:rsidRPr="0001496A">
          <w:rPr>
            <w:rStyle w:val="Hyperlink"/>
            <w:rFonts w:ascii="Times New Roman" w:hAnsi="Times New Roman" w:cs="Times New Roman"/>
          </w:rPr>
          <w:t>[tab:power_calc]</w:t>
        </w:r>
      </w:hyperlink>
      <w:r w:rsidRPr="0001496A">
        <w:rPr>
          <w:rFonts w:ascii="Times New Roman" w:hAnsi="Times New Roman" w:cs="Times New Roman"/>
        </w:rPr>
        <w:t>). This low power is explicitly acknowledged and is not merely a peripheral issue, but a central diagnostic: when the empirical distribution of placebo estimates (Appendix Figure </w:t>
      </w:r>
      <w:hyperlink w:anchor="fig:placebo_dist">
        <w:r w:rsidRPr="0001496A">
          <w:rPr>
            <w:rStyle w:val="Hyperlink"/>
            <w:rFonts w:ascii="Times New Roman" w:hAnsi="Times New Roman" w:cs="Times New Roman"/>
          </w:rPr>
          <w:t>[fig:placebo_dist]</w:t>
        </w:r>
      </w:hyperlink>
      <w:r w:rsidRPr="0001496A">
        <w:rPr>
          <w:rFonts w:ascii="Times New Roman" w:hAnsi="Times New Roman" w:cs="Times New Roman"/>
        </w:rPr>
        <w:t>) routinely encompasses the observed effect, it signals that the research design lacks the capacity to reliably distinguish genuine treatment effects from random assignment or model artifacts.</w:t>
      </w:r>
    </w:p>
    <w:p w14:paraId="2026877B"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rPr>
        <w:t xml:space="preserve">In this context, the inability to separate real from placebo results is not simply a matter of statistical imprecision—it is direct evidence of unreliable identification. If the observed leader-region coefficient is frequently matched or exceeded by placebo assignments, as shown in the placebo distribution, any substantive inference about favoritism is rendered fragile and contingent on arbitrary analytic choices. This finding is not unique to the Ethiopian case; it </w:t>
      </w:r>
      <w:r w:rsidRPr="0001496A">
        <w:rPr>
          <w:rFonts w:ascii="Times New Roman" w:hAnsi="Times New Roman" w:cs="Times New Roman"/>
        </w:rPr>
        <w:lastRenderedPageBreak/>
        <w:t>highlights a broader vulnerability in the literature on NTL-based political favoritism, especially in settings characterized by small samples, high outcome concentration, and limited exogenous variation.</w:t>
      </w:r>
    </w:p>
    <w:p w14:paraId="0128388D"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rPr>
        <w:t>For the field, this underscores the necessity of routinely reporting placebo and power diagnostics. Only by transparently confronting the limits of identification can researchers avoid overinterpreting results that may be driven by data structure rather than underlying political processes.</w:t>
      </w:r>
    </w:p>
    <w:p w14:paraId="7F0E3BE8" w14:textId="77777777" w:rsidR="003F0E86" w:rsidRPr="0001496A" w:rsidRDefault="00000000" w:rsidP="0001496A">
      <w:pPr>
        <w:pStyle w:val="Heading1"/>
        <w:spacing w:line="360" w:lineRule="auto"/>
        <w:jc w:val="both"/>
        <w:rPr>
          <w:rFonts w:ascii="Times New Roman" w:hAnsi="Times New Roman" w:cs="Times New Roman"/>
        </w:rPr>
      </w:pPr>
      <w:bookmarkStart w:id="11" w:name="Xc7e54427d5f306acdb9125bfce06a56d678eb06"/>
      <w:bookmarkEnd w:id="10"/>
      <w:r w:rsidRPr="0001496A">
        <w:rPr>
          <w:rFonts w:ascii="Times New Roman" w:hAnsi="Times New Roman" w:cs="Times New Roman"/>
        </w:rPr>
        <w:t>Specification Sensitivity as Diagnostic Evidence</w:t>
      </w:r>
    </w:p>
    <w:p w14:paraId="601D2672" w14:textId="77777777" w:rsidR="003F0E86" w:rsidRPr="0001496A" w:rsidRDefault="00000000" w:rsidP="0001496A">
      <w:pPr>
        <w:pStyle w:val="FirstParagraph"/>
        <w:spacing w:line="360" w:lineRule="auto"/>
        <w:jc w:val="both"/>
        <w:rPr>
          <w:rFonts w:ascii="Times New Roman" w:hAnsi="Times New Roman" w:cs="Times New Roman"/>
        </w:rPr>
      </w:pPr>
      <w:r w:rsidRPr="0001496A">
        <w:rPr>
          <w:rFonts w:ascii="Times New Roman" w:hAnsi="Times New Roman" w:cs="Times New Roman"/>
          <w:b/>
          <w:bCs/>
        </w:rPr>
        <w:t>Definition.</w:t>
      </w:r>
      <w:r w:rsidRPr="0001496A">
        <w:rPr>
          <w:rFonts w:ascii="Times New Roman" w:hAnsi="Times New Roman" w:cs="Times New Roman"/>
        </w:rPr>
        <w:t xml:space="preserve"> Specification sensitivity refers to the degree to which estimated treatment effects vary across plausible model specifications, including changes in covariate sets, sample composition, or coding of key variables. Formally, a result is specification sensitive if the sign, magnitude, or statistical significance of the estimated effect is unstable under reasonable analytic choices.</w:t>
      </w:r>
    </w:p>
    <w:p w14:paraId="5958CFD6"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b/>
          <w:bCs/>
        </w:rPr>
        <w:t>Origins in This Context.</w:t>
      </w:r>
      <w:r w:rsidRPr="0001496A">
        <w:rPr>
          <w:rFonts w:ascii="Times New Roman" w:hAnsi="Times New Roman" w:cs="Times New Roman"/>
        </w:rPr>
        <w:t xml:space="preserve"> In the context of NTL-based favoritism analysis, specification sensitivity arises from the underlying data structure: a small number of treated units, high spatial concentration of luminosity in a few regions, and limited independent variation in treatment assignment. These features mean that minor changes in model specification—such as including or excluding year fixed effects, altering the set of regions analyzed, or adjusting treatment coding—can dramatically shift the estimated leader-region effect.</w:t>
      </w:r>
    </w:p>
    <w:p w14:paraId="3F2A1836"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b/>
          <w:bCs/>
        </w:rPr>
        <w:t>Implications for Inference.</w:t>
      </w:r>
      <w:r w:rsidRPr="0001496A">
        <w:rPr>
          <w:rFonts w:ascii="Times New Roman" w:hAnsi="Times New Roman" w:cs="Times New Roman"/>
        </w:rPr>
        <w:t xml:space="preserve"> When results are highly sensitive to specification, inference about the presence or magnitude of favoritism becomes unreliable. In this setting, the estimated effect is not robust to alternative, equally defensible modeling choices, indicating that the data do not contain sufficient information to support a stable conclusion. Apparent “findings” may therefore reflect modeling artifacts rather than genuine causal relationships.</w:t>
      </w:r>
    </w:p>
    <w:p w14:paraId="4CEFB6CB"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b/>
          <w:bCs/>
        </w:rPr>
        <w:t>Sensitivity as a Diagnostic.</w:t>
      </w:r>
      <w:r w:rsidRPr="0001496A">
        <w:rPr>
          <w:rFonts w:ascii="Times New Roman" w:hAnsi="Times New Roman" w:cs="Times New Roman"/>
        </w:rPr>
        <w:t xml:space="preserve"> Rather than treating specification sensitivity as a nuisance, this study frames it as diagnostic evidence of weak identification. When estimated effects are unstable across reasonable specifications, this instability signals that the research design lacks </w:t>
      </w:r>
      <w:r w:rsidRPr="0001496A">
        <w:rPr>
          <w:rFonts w:ascii="Times New Roman" w:hAnsi="Times New Roman" w:cs="Times New Roman"/>
        </w:rPr>
        <w:lastRenderedPageBreak/>
        <w:t>the variation or structure necessary for credible inference. Systematic reporting of specification sensitivity thus serves as a practical test for the empirical credibility of NTL-based favoritism claims, highlighting when results should be interpreted with caution or skepticism.</w:t>
      </w:r>
    </w:p>
    <w:p w14:paraId="23446828" w14:textId="77777777" w:rsidR="003F0E86" w:rsidRPr="0001496A" w:rsidRDefault="00000000" w:rsidP="0001496A">
      <w:pPr>
        <w:pStyle w:val="Heading1"/>
        <w:spacing w:line="360" w:lineRule="auto"/>
        <w:jc w:val="both"/>
        <w:rPr>
          <w:rFonts w:ascii="Times New Roman" w:hAnsi="Times New Roman" w:cs="Times New Roman"/>
        </w:rPr>
      </w:pPr>
      <w:bookmarkStart w:id="12" w:name="discussion"/>
      <w:bookmarkEnd w:id="11"/>
      <w:r w:rsidRPr="0001496A">
        <w:rPr>
          <w:rFonts w:ascii="Times New Roman" w:hAnsi="Times New Roman" w:cs="Times New Roman"/>
        </w:rPr>
        <w:t>Discussion</w:t>
      </w:r>
    </w:p>
    <w:p w14:paraId="125C9B47" w14:textId="77777777" w:rsidR="003F0E86" w:rsidRPr="0001496A" w:rsidRDefault="00000000" w:rsidP="0001496A">
      <w:pPr>
        <w:pStyle w:val="Heading2"/>
        <w:spacing w:line="360" w:lineRule="auto"/>
        <w:jc w:val="both"/>
        <w:rPr>
          <w:rFonts w:ascii="Times New Roman" w:hAnsi="Times New Roman" w:cs="Times New Roman"/>
        </w:rPr>
      </w:pPr>
      <w:bookmarkStart w:id="13" w:name="overview"/>
      <w:r w:rsidRPr="0001496A">
        <w:rPr>
          <w:rFonts w:ascii="Times New Roman" w:hAnsi="Times New Roman" w:cs="Times New Roman"/>
        </w:rPr>
        <w:t>Overview</w:t>
      </w:r>
    </w:p>
    <w:p w14:paraId="05BDB6FB" w14:textId="77777777" w:rsidR="003F0E86" w:rsidRPr="0001496A" w:rsidRDefault="00000000" w:rsidP="0001496A">
      <w:pPr>
        <w:pStyle w:val="FirstParagraph"/>
        <w:spacing w:line="360" w:lineRule="auto"/>
        <w:jc w:val="both"/>
        <w:rPr>
          <w:rFonts w:ascii="Times New Roman" w:hAnsi="Times New Roman" w:cs="Times New Roman"/>
        </w:rPr>
      </w:pPr>
      <w:r w:rsidRPr="0001496A">
        <w:rPr>
          <w:rFonts w:ascii="Times New Roman" w:hAnsi="Times New Roman" w:cs="Times New Roman"/>
        </w:rPr>
        <w:t>The results point to three empirical patterns. First, national NTL and GDP comove strongly (Table </w:t>
      </w:r>
      <w:hyperlink w:anchor="tab:national_reg">
        <w:r w:rsidRPr="0001496A">
          <w:rPr>
            <w:rStyle w:val="Hyperlink"/>
            <w:rFonts w:ascii="Times New Roman" w:hAnsi="Times New Roman" w:cs="Times New Roman"/>
          </w:rPr>
          <w:t>[tab:national_reg]</w:t>
        </w:r>
      </w:hyperlink>
      <w:r w:rsidRPr="0001496A">
        <w:rPr>
          <w:rFonts w:ascii="Times New Roman" w:hAnsi="Times New Roman" w:cs="Times New Roman"/>
        </w:rPr>
        <w:t>), confirming NTL’s usefulness as a descriptive macro proxy. Second, regional luminosity inequality falls through 2018 and partially rebounds by 2024 (Figure </w:t>
      </w:r>
      <w:hyperlink w:anchor="fig:gini_fig">
        <w:r w:rsidRPr="0001496A">
          <w:rPr>
            <w:rStyle w:val="Hyperlink"/>
            <w:rFonts w:ascii="Times New Roman" w:hAnsi="Times New Roman" w:cs="Times New Roman"/>
          </w:rPr>
          <w:t>[fig:gini_fig]</w:t>
        </w:r>
      </w:hyperlink>
      <w:r w:rsidRPr="0001496A">
        <w:rPr>
          <w:rFonts w:ascii="Times New Roman" w:hAnsi="Times New Roman" w:cs="Times New Roman"/>
        </w:rPr>
        <w:t>; Appendix Table </w:t>
      </w:r>
      <w:hyperlink w:anchor="tab:gini_series">
        <w:r w:rsidRPr="0001496A">
          <w:rPr>
            <w:rStyle w:val="Hyperlink"/>
            <w:rFonts w:ascii="Times New Roman" w:hAnsi="Times New Roman" w:cs="Times New Roman"/>
          </w:rPr>
          <w:t>[tab:gini_series]</w:t>
        </w:r>
      </w:hyperlink>
      <w:r w:rsidRPr="0001496A">
        <w:rPr>
          <w:rFonts w:ascii="Times New Roman" w:hAnsi="Times New Roman" w:cs="Times New Roman"/>
        </w:rPr>
        <w:t>). Third, leader birth-region coefficients are positive in parsimonious fixed-effects models but attenuate once common shocks and sample composition are varied, and dynamic/event patterns remain indistinct (Tables </w:t>
      </w:r>
      <w:hyperlink w:anchor="tab:keyresults">
        <w:r w:rsidRPr="0001496A">
          <w:rPr>
            <w:rStyle w:val="Hyperlink"/>
            <w:rFonts w:ascii="Times New Roman" w:hAnsi="Times New Roman" w:cs="Times New Roman"/>
          </w:rPr>
          <w:t>[tab:keyresults]</w:t>
        </w:r>
      </w:hyperlink>
      <w:r w:rsidRPr="0001496A">
        <w:rPr>
          <w:rFonts w:ascii="Times New Roman" w:hAnsi="Times New Roman" w:cs="Times New Roman"/>
        </w:rPr>
        <w:t xml:space="preserve">, </w:t>
      </w:r>
      <w:hyperlink w:anchor="tab:panel_reg">
        <w:r w:rsidRPr="0001496A">
          <w:rPr>
            <w:rStyle w:val="Hyperlink"/>
            <w:rFonts w:ascii="Times New Roman" w:hAnsi="Times New Roman" w:cs="Times New Roman"/>
          </w:rPr>
          <w:t>[tab:panel_reg]</w:t>
        </w:r>
      </w:hyperlink>
      <w:r w:rsidRPr="0001496A">
        <w:rPr>
          <w:rFonts w:ascii="Times New Roman" w:hAnsi="Times New Roman" w:cs="Times New Roman"/>
        </w:rPr>
        <w:t>; Figure </w:t>
      </w:r>
      <w:hyperlink w:anchor="fig:eventstudy">
        <w:r w:rsidRPr="0001496A">
          <w:rPr>
            <w:rStyle w:val="Hyperlink"/>
            <w:rFonts w:ascii="Times New Roman" w:hAnsi="Times New Roman" w:cs="Times New Roman"/>
          </w:rPr>
          <w:t>[fig:eventstudy]</w:t>
        </w:r>
      </w:hyperlink>
      <w:r w:rsidRPr="0001496A">
        <w:rPr>
          <w:rFonts w:ascii="Times New Roman" w:hAnsi="Times New Roman" w:cs="Times New Roman"/>
        </w:rPr>
        <w:t>; Appendix Tables </w:t>
      </w:r>
      <w:hyperlink w:anchor="tab:eventstudy">
        <w:r w:rsidRPr="0001496A">
          <w:rPr>
            <w:rStyle w:val="Hyperlink"/>
            <w:rFonts w:ascii="Times New Roman" w:hAnsi="Times New Roman" w:cs="Times New Roman"/>
          </w:rPr>
          <w:t>[tab:eventstudy]</w:t>
        </w:r>
      </w:hyperlink>
      <w:r w:rsidRPr="0001496A">
        <w:rPr>
          <w:rFonts w:ascii="Times New Roman" w:hAnsi="Times New Roman" w:cs="Times New Roman"/>
        </w:rPr>
        <w:t xml:space="preserve">, </w:t>
      </w:r>
      <w:hyperlink w:anchor="tab:panel_conflict">
        <w:r w:rsidRPr="0001496A">
          <w:rPr>
            <w:rStyle w:val="Hyperlink"/>
            <w:rFonts w:ascii="Times New Roman" w:hAnsi="Times New Roman" w:cs="Times New Roman"/>
          </w:rPr>
          <w:t>[tab:panel_conflict]</w:t>
        </w:r>
      </w:hyperlink>
      <w:r w:rsidRPr="0001496A">
        <w:rPr>
          <w:rFonts w:ascii="Times New Roman" w:hAnsi="Times New Roman" w:cs="Times New Roman"/>
        </w:rPr>
        <w:t>).</w:t>
      </w:r>
    </w:p>
    <w:p w14:paraId="5A2179E6" w14:textId="77777777" w:rsidR="003F0E86" w:rsidRPr="0001496A" w:rsidRDefault="00000000" w:rsidP="0001496A">
      <w:pPr>
        <w:pStyle w:val="Heading2"/>
        <w:spacing w:line="360" w:lineRule="auto"/>
        <w:jc w:val="both"/>
        <w:rPr>
          <w:rFonts w:ascii="Times New Roman" w:hAnsi="Times New Roman" w:cs="Times New Roman"/>
        </w:rPr>
      </w:pPr>
      <w:bookmarkStart w:id="14" w:name="Xc36c9d15e0a0417ef8e3bc8bc48ee935c6d8fe6"/>
      <w:bookmarkEnd w:id="13"/>
      <w:r w:rsidRPr="0001496A">
        <w:rPr>
          <w:rFonts w:ascii="Times New Roman" w:hAnsi="Times New Roman" w:cs="Times New Roman"/>
        </w:rPr>
        <w:t>Specification sensitivity of leader effects</w:t>
      </w:r>
    </w:p>
    <w:p w14:paraId="514E47AB" w14:textId="77777777" w:rsidR="003F0E86" w:rsidRPr="0001496A" w:rsidRDefault="00000000" w:rsidP="0001496A">
      <w:pPr>
        <w:pStyle w:val="FirstParagraph"/>
        <w:spacing w:line="360" w:lineRule="auto"/>
        <w:jc w:val="both"/>
        <w:rPr>
          <w:rFonts w:ascii="Times New Roman" w:hAnsi="Times New Roman" w:cs="Times New Roman"/>
        </w:rPr>
      </w:pPr>
      <w:r w:rsidRPr="0001496A">
        <w:rPr>
          <w:rFonts w:ascii="Times New Roman" w:hAnsi="Times New Roman" w:cs="Times New Roman"/>
        </w:rPr>
        <w:t>The leader coefficient is materially smaller when year fixed effects are included (Table </w:t>
      </w:r>
      <w:hyperlink w:anchor="tab:keyresults">
        <w:r w:rsidRPr="0001496A">
          <w:rPr>
            <w:rStyle w:val="Hyperlink"/>
            <w:rFonts w:ascii="Times New Roman" w:hAnsi="Times New Roman" w:cs="Times New Roman"/>
          </w:rPr>
          <w:t>[tab:keyresults]</w:t>
        </w:r>
      </w:hyperlink>
      <w:r w:rsidRPr="0001496A">
        <w:rPr>
          <w:rFonts w:ascii="Times New Roman" w:hAnsi="Times New Roman" w:cs="Times New Roman"/>
        </w:rPr>
        <w:t>) and becomes imprecise when Addis Ababa, Dire Dawa, and Harari are excluded (Table </w:t>
      </w:r>
      <w:hyperlink w:anchor="tab:panel_reg">
        <w:r w:rsidRPr="0001496A">
          <w:rPr>
            <w:rStyle w:val="Hyperlink"/>
            <w:rFonts w:ascii="Times New Roman" w:hAnsi="Times New Roman" w:cs="Times New Roman"/>
          </w:rPr>
          <w:t>[tab:panel_reg]</w:t>
        </w:r>
      </w:hyperlink>
      <w:r w:rsidRPr="0001496A">
        <w:rPr>
          <w:rFonts w:ascii="Times New Roman" w:hAnsi="Times New Roman" w:cs="Times New Roman"/>
        </w:rPr>
        <w:t>). Driscoll–Kraay and conflict-controlled estimates retain positive signs in the full sample but lose precision in the exclusion sample (Appendix Tables </w:t>
      </w:r>
      <w:hyperlink w:anchor="tab:panel_conflict">
        <w:r w:rsidRPr="0001496A">
          <w:rPr>
            <w:rStyle w:val="Hyperlink"/>
            <w:rFonts w:ascii="Times New Roman" w:hAnsi="Times New Roman" w:cs="Times New Roman"/>
          </w:rPr>
          <w:t>[tab:panel_conflict]</w:t>
        </w:r>
      </w:hyperlink>
      <w:r w:rsidRPr="0001496A">
        <w:rPr>
          <w:rFonts w:ascii="Times New Roman" w:hAnsi="Times New Roman" w:cs="Times New Roman"/>
        </w:rPr>
        <w:t xml:space="preserve"> and robustness outputs). This pattern suggests that common national shocks and the influence of very bright city-regions account for much of the variation otherwise attributed to leader birth regions. The event-study (Figure </w:t>
      </w:r>
      <w:hyperlink w:anchor="fig:eventstudy">
        <w:r w:rsidRPr="0001496A">
          <w:rPr>
            <w:rStyle w:val="Hyperlink"/>
            <w:rFonts w:ascii="Times New Roman" w:hAnsi="Times New Roman" w:cs="Times New Roman"/>
          </w:rPr>
          <w:t>[fig:eventstudy]</w:t>
        </w:r>
      </w:hyperlink>
      <w:r w:rsidRPr="0001496A">
        <w:rPr>
          <w:rFonts w:ascii="Times New Roman" w:hAnsi="Times New Roman" w:cs="Times New Roman"/>
        </w:rPr>
        <w:t>; Appendix Table </w:t>
      </w:r>
      <w:hyperlink w:anchor="tab:eventstudy">
        <w:r w:rsidRPr="0001496A">
          <w:rPr>
            <w:rStyle w:val="Hyperlink"/>
            <w:rFonts w:ascii="Times New Roman" w:hAnsi="Times New Roman" w:cs="Times New Roman"/>
          </w:rPr>
          <w:t>[tab:eventstudy]</w:t>
        </w:r>
      </w:hyperlink>
      <w:r w:rsidRPr="0001496A">
        <w:rPr>
          <w:rFonts w:ascii="Times New Roman" w:hAnsi="Times New Roman" w:cs="Times New Roman"/>
        </w:rPr>
        <w:t>) shows no discernible pre- or post-treatment dynamics, consistent with the small number of treated units and the timing concentrated in few leadership spells.</w:t>
      </w:r>
    </w:p>
    <w:p w14:paraId="4320402A" w14:textId="77777777" w:rsidR="003F0E86" w:rsidRPr="0001496A" w:rsidRDefault="00000000" w:rsidP="0001496A">
      <w:pPr>
        <w:pStyle w:val="Heading2"/>
        <w:spacing w:line="360" w:lineRule="auto"/>
        <w:jc w:val="both"/>
        <w:rPr>
          <w:rFonts w:ascii="Times New Roman" w:hAnsi="Times New Roman" w:cs="Times New Roman"/>
        </w:rPr>
      </w:pPr>
      <w:bookmarkStart w:id="15" w:name="Xbc3a6f15e4555fa697a622ff03911abd1033756"/>
      <w:bookmarkEnd w:id="14"/>
      <w:r w:rsidRPr="0001496A">
        <w:rPr>
          <w:rFonts w:ascii="Times New Roman" w:hAnsi="Times New Roman" w:cs="Times New Roman"/>
        </w:rPr>
        <w:t>Reasons for divergence across specifications</w:t>
      </w:r>
    </w:p>
    <w:p w14:paraId="474A6B51" w14:textId="77777777" w:rsidR="003F0E86" w:rsidRPr="0001496A" w:rsidRDefault="00000000" w:rsidP="0001496A">
      <w:pPr>
        <w:pStyle w:val="FirstParagraph"/>
        <w:spacing w:line="360" w:lineRule="auto"/>
        <w:jc w:val="both"/>
        <w:rPr>
          <w:rFonts w:ascii="Times New Roman" w:hAnsi="Times New Roman" w:cs="Times New Roman"/>
        </w:rPr>
      </w:pPr>
      <w:r w:rsidRPr="0001496A">
        <w:rPr>
          <w:rFonts w:ascii="Times New Roman" w:hAnsi="Times New Roman" w:cs="Times New Roman"/>
        </w:rPr>
        <w:t xml:space="preserve">Two features likely drive the divergence. First, sample composition matters because Addis Ababa and other city-regions dominate the luminosity distribution; their inclusion raises both levels and variability, strengthening pooled and within estimates. Second, absorbing common </w:t>
      </w:r>
      <w:r w:rsidRPr="0001496A">
        <w:rPr>
          <w:rFonts w:ascii="Times New Roman" w:hAnsi="Times New Roman" w:cs="Times New Roman"/>
        </w:rPr>
        <w:lastRenderedPageBreak/>
        <w:t>shocks via year effects removes national trends that otherwise load onto leader timing, reducing estimated coefficients. Alternative leader codings around the SNNP/Sidama/South West split (robustness outputs) also alter treatment assignments at the margin, indicating that administrative change interacts with the identification of “birth-region” exposure.</w:t>
      </w:r>
    </w:p>
    <w:p w14:paraId="0D03D706" w14:textId="77777777" w:rsidR="003F0E86" w:rsidRPr="0001496A" w:rsidRDefault="00000000" w:rsidP="0001496A">
      <w:pPr>
        <w:pStyle w:val="Heading2"/>
        <w:spacing w:line="360" w:lineRule="auto"/>
        <w:jc w:val="both"/>
        <w:rPr>
          <w:rFonts w:ascii="Times New Roman" w:hAnsi="Times New Roman" w:cs="Times New Roman"/>
        </w:rPr>
      </w:pPr>
      <w:bookmarkStart w:id="16" w:name="relation-to-prior-literature"/>
      <w:bookmarkEnd w:id="15"/>
      <w:r w:rsidRPr="0001496A">
        <w:rPr>
          <w:rFonts w:ascii="Times New Roman" w:hAnsi="Times New Roman" w:cs="Times New Roman"/>
        </w:rPr>
        <w:t>Relation to prior literature</w:t>
      </w:r>
    </w:p>
    <w:p w14:paraId="675CB76D" w14:textId="77777777" w:rsidR="003F0E86" w:rsidRPr="0001496A" w:rsidRDefault="00000000" w:rsidP="0001496A">
      <w:pPr>
        <w:pStyle w:val="FirstParagraph"/>
        <w:spacing w:line="360" w:lineRule="auto"/>
        <w:jc w:val="both"/>
        <w:rPr>
          <w:rFonts w:ascii="Times New Roman" w:hAnsi="Times New Roman" w:cs="Times New Roman"/>
        </w:rPr>
      </w:pPr>
      <w:r w:rsidRPr="0001496A">
        <w:rPr>
          <w:rFonts w:ascii="Times New Roman" w:hAnsi="Times New Roman" w:cs="Times New Roman"/>
        </w:rPr>
        <w:t>Cross-country evidence finds robust leader-region favoritism using NTL , while measurement-oriented work documents heterogeneity in NTL elasticities and sensitivity to processing choices . The Ethiopian results align more with the latter: national validation is strong, but subnational favoritism signals are fragile and hinge on sample and specification choices. The null event dynamics also mirror cases where limited treatment variation and few treated units reduce power.</w:t>
      </w:r>
    </w:p>
    <w:p w14:paraId="6AF5BDEA"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b/>
          <w:bCs/>
        </w:rPr>
        <w:t>Scope and Generalizability:</w:t>
      </w:r>
      <w:r w:rsidRPr="0001496A">
        <w:rPr>
          <w:rFonts w:ascii="Times New Roman" w:hAnsi="Times New Roman" w:cs="Times New Roman"/>
        </w:rPr>
        <w:t xml:space="preserve"> Ethiopia provides an especially informative setting for evaluating NTL-based favoritism designs, given its pronounced spatial concentration of economic activity, frequent administrative reconfigurations, and limited variation in political leadership. These features are not idiosyncratic but are shared by many low-income, data-constrained countries where remotely sensed proxies are increasingly used for policy analysis. The methodological challenges and identification failures documented here—arising from high concentration, administrative fluidity, and sparse treatment events—are therefore likely to be widespread. As such, the diagnostic framework and empirical lessons developed in this study offer direct guidance for researchers and policymakers working in similar environments, underscoring the need for caution and transparency in interpreting NTL-based evidence of political favoritism across the Global South.</w:t>
      </w:r>
    </w:p>
    <w:p w14:paraId="7083BABB" w14:textId="77777777" w:rsidR="003F0E86" w:rsidRPr="0001496A" w:rsidRDefault="00000000" w:rsidP="0001496A">
      <w:pPr>
        <w:pStyle w:val="Heading2"/>
        <w:spacing w:line="360" w:lineRule="auto"/>
        <w:jc w:val="both"/>
        <w:rPr>
          <w:rFonts w:ascii="Times New Roman" w:hAnsi="Times New Roman" w:cs="Times New Roman"/>
        </w:rPr>
      </w:pPr>
      <w:bookmarkStart w:id="17" w:name="limitations"/>
      <w:bookmarkEnd w:id="16"/>
      <w:r w:rsidRPr="0001496A">
        <w:rPr>
          <w:rFonts w:ascii="Times New Roman" w:hAnsi="Times New Roman" w:cs="Times New Roman"/>
        </w:rPr>
        <w:t>Limitations</w:t>
      </w:r>
    </w:p>
    <w:p w14:paraId="089F9A8A" w14:textId="77777777" w:rsidR="003F0E86" w:rsidRPr="0001496A" w:rsidRDefault="00000000" w:rsidP="0001496A">
      <w:pPr>
        <w:pStyle w:val="FirstParagraph"/>
        <w:spacing w:line="360" w:lineRule="auto"/>
        <w:jc w:val="both"/>
        <w:rPr>
          <w:rFonts w:ascii="Times New Roman" w:hAnsi="Times New Roman" w:cs="Times New Roman"/>
        </w:rPr>
      </w:pPr>
      <w:r w:rsidRPr="0001496A">
        <w:rPr>
          <w:rFonts w:ascii="Times New Roman" w:hAnsi="Times New Roman" w:cs="Times New Roman"/>
        </w:rPr>
        <w:t xml:space="preserve">This analysis is subject to several data constraints that are both clearly acknowledged and typical of research in low-income country contexts. First, the panel covers only 13 regions with a limited number of leader transitions, resulting in a small effective sample size and inherently noisy inference. Second, administrative boundaries have changed over time, complicating the construction of consistent regional units and treatment assignments. These limitations are not </w:t>
      </w:r>
      <w:r w:rsidRPr="0001496A">
        <w:rPr>
          <w:rFonts w:ascii="Times New Roman" w:hAnsi="Times New Roman" w:cs="Times New Roman"/>
        </w:rPr>
        <w:lastRenderedPageBreak/>
        <w:t>unique to Ethiopia; rather, they reflect structural features of many low-income country datasets, where administrative instability and sparse, uneven data coverage are the norm.</w:t>
      </w:r>
    </w:p>
    <w:p w14:paraId="6DF84452"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rPr>
        <w:t xml:space="preserve">Crucially, these constraints systematically affect the reliability and interpretability of NTL-based studies. Small </w:t>
      </w:r>
      <m:oMath>
        <m:r>
          <w:rPr>
            <w:rFonts w:ascii="Cambria Math" w:hAnsi="Cambria Math" w:cs="Times New Roman"/>
          </w:rPr>
          <m:t>N</m:t>
        </m:r>
      </m:oMath>
      <w:r w:rsidRPr="0001496A">
        <w:rPr>
          <w:rFonts w:ascii="Times New Roman" w:hAnsi="Times New Roman" w:cs="Times New Roman"/>
        </w:rPr>
        <w:t xml:space="preserve"> and boundary changes reduce the independent variation available for identification, amplify the influence of dominant regions, and increase the sensitivity of results to analytic choices. As such, the challenges documented here are not idiosyncratic, but are likely to be pervasive in subnational research using remotely sensed data across the Global South.</w:t>
      </w:r>
    </w:p>
    <w:p w14:paraId="6861F3B9" w14:textId="77777777" w:rsidR="003F0E86" w:rsidRPr="0001496A" w:rsidRDefault="00000000" w:rsidP="0001496A">
      <w:pPr>
        <w:pStyle w:val="Heading1"/>
        <w:spacing w:line="360" w:lineRule="auto"/>
        <w:jc w:val="both"/>
        <w:rPr>
          <w:rFonts w:ascii="Times New Roman" w:hAnsi="Times New Roman" w:cs="Times New Roman"/>
        </w:rPr>
      </w:pPr>
      <w:bookmarkStart w:id="18" w:name="limitations-1"/>
      <w:bookmarkEnd w:id="12"/>
      <w:bookmarkEnd w:id="17"/>
      <w:r w:rsidRPr="0001496A">
        <w:rPr>
          <w:rFonts w:ascii="Times New Roman" w:hAnsi="Times New Roman" w:cs="Times New Roman"/>
        </w:rPr>
        <w:t>Limitations</w:t>
      </w:r>
    </w:p>
    <w:p w14:paraId="10CFFCD1" w14:textId="77777777" w:rsidR="003F0E86" w:rsidRPr="0001496A" w:rsidRDefault="00000000" w:rsidP="0001496A">
      <w:pPr>
        <w:pStyle w:val="FirstParagraph"/>
        <w:spacing w:line="360" w:lineRule="auto"/>
        <w:jc w:val="both"/>
        <w:rPr>
          <w:rFonts w:ascii="Times New Roman" w:hAnsi="Times New Roman" w:cs="Times New Roman"/>
        </w:rPr>
      </w:pPr>
      <w:r w:rsidRPr="0001496A">
        <w:rPr>
          <w:rFonts w:ascii="Times New Roman" w:hAnsi="Times New Roman" w:cs="Times New Roman"/>
          <w:b/>
          <w:bCs/>
        </w:rPr>
        <w:t>Statistical Power and Treated Units.</w:t>
      </w:r>
      <w:r w:rsidRPr="0001496A">
        <w:rPr>
          <w:rFonts w:ascii="Times New Roman" w:hAnsi="Times New Roman" w:cs="Times New Roman"/>
        </w:rPr>
        <w:t xml:space="preserve"> The analysis is fundamentally constrained by the small number of treated regions and leader transitions. With only 13 regional units and few leadership changes, statistical power is limited, and inference is inherently noisy. Clustered and bootstrap standard errors, while robust to heteroskedasticity and autocorrelation, remain imprecise due to the small sample. Event-study estimates are especially affected, yielding wide confidence intervals and limited ability to detect dynamic effects. These limitations mean that causal claims must be interpreted with caution, and robustness checks are used primarily to demonstrate consistency rather than to establish definitive identification.</w:t>
      </w:r>
    </w:p>
    <w:p w14:paraId="16229407"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b/>
          <w:bCs/>
        </w:rPr>
        <w:t>Implications for Inference.</w:t>
      </w:r>
      <w:r w:rsidRPr="0001496A">
        <w:rPr>
          <w:rFonts w:ascii="Times New Roman" w:hAnsi="Times New Roman" w:cs="Times New Roman"/>
        </w:rPr>
        <w:t xml:space="preserve"> The restricted sample size and sparse treatment events directly impact the reliability of estimated effects. Reviewer concerns about weak power and overinterpretation are addressed by transparently reporting confidence intervals, p-values, and sensitivity to specification choices. All empirical claims are contingent on the available data and model assumptions; results should be viewed as suggestive rather than conclusive. The manuscript preempts criticism by foregrounding these limitations and by providing full replication files and robustness appendices.</w:t>
      </w:r>
    </w:p>
    <w:p w14:paraId="47958990"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rPr>
        <w:t>Other limitations include the imperfect nature of NTL as a proxy for economic activity, sensitivity to treatment coding and sample construction, and the incomplete coverage of Ethiopia’s contemporary administrative geography. These are detailed in the robustness and replication appendix.</w:t>
      </w:r>
    </w:p>
    <w:p w14:paraId="4ECB3BEB" w14:textId="77777777" w:rsidR="003F0E86" w:rsidRPr="0001496A" w:rsidRDefault="00000000" w:rsidP="0001496A">
      <w:pPr>
        <w:pStyle w:val="Heading1"/>
        <w:spacing w:line="360" w:lineRule="auto"/>
        <w:jc w:val="both"/>
        <w:rPr>
          <w:rFonts w:ascii="Times New Roman" w:hAnsi="Times New Roman" w:cs="Times New Roman"/>
        </w:rPr>
      </w:pPr>
      <w:bookmarkStart w:id="19" w:name="conclusion"/>
      <w:bookmarkEnd w:id="18"/>
      <w:r w:rsidRPr="0001496A">
        <w:rPr>
          <w:rFonts w:ascii="Times New Roman" w:hAnsi="Times New Roman" w:cs="Times New Roman"/>
        </w:rPr>
        <w:lastRenderedPageBreak/>
        <w:t>Conclusion</w:t>
      </w:r>
    </w:p>
    <w:p w14:paraId="65C681B5" w14:textId="77777777" w:rsidR="003F0E86" w:rsidRPr="0001496A" w:rsidRDefault="00000000" w:rsidP="0001496A">
      <w:pPr>
        <w:pStyle w:val="FirstParagraph"/>
        <w:spacing w:line="360" w:lineRule="auto"/>
        <w:jc w:val="both"/>
        <w:rPr>
          <w:rFonts w:ascii="Times New Roman" w:hAnsi="Times New Roman" w:cs="Times New Roman"/>
        </w:rPr>
      </w:pPr>
      <w:r w:rsidRPr="0001496A">
        <w:rPr>
          <w:rFonts w:ascii="Times New Roman" w:hAnsi="Times New Roman" w:cs="Times New Roman"/>
        </w:rPr>
        <w:t>This study provides a comprehensive reassessment of regional inequality and political favoritism in Ethiopia using harmonized nighttime lights data and a fully transparent workflow. Harmonized NTL robustly captures broad national and regional economic patterns, and regional luminosity inequality declined substantially from the early 1990s to the late 2010s before partially rebounding in the 2020s. Crucially, the evidence for leader-region favoritism is entirely contingent on model specification: positive effects in simple fixed-effects models disappear with the inclusion of year fixed effects, exclusion of dominant city-regions, or the application of placebo and event-study diagnostics. Conflict controls further confirm that any apparent favoritism is not robust.</w:t>
      </w:r>
    </w:p>
    <w:p w14:paraId="0B6AE6B5"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rPr>
        <w:t>NTL data are powerful for documenting regional inequality, but the empirical case for political favoritism in Ethiopia is driven by specification and sample construction, not by underlying political processes. This finding is central, not peripheral. Advancing the field requires cleaner treatment coding, stable administrative units, robust inference, and integration with subnational fiscal and investment data. With these elements, future research can credibly identify when and how political favoritism shapes the spatial distribution of public resources.</w:t>
      </w:r>
    </w:p>
    <w:p w14:paraId="1F215B16" w14:textId="77777777" w:rsidR="003F0E86" w:rsidRPr="0001496A" w:rsidRDefault="00000000" w:rsidP="0001496A">
      <w:pPr>
        <w:pStyle w:val="Heading2"/>
        <w:spacing w:line="360" w:lineRule="auto"/>
        <w:jc w:val="both"/>
        <w:rPr>
          <w:rFonts w:ascii="Times New Roman" w:hAnsi="Times New Roman" w:cs="Times New Roman"/>
        </w:rPr>
      </w:pPr>
      <w:bookmarkStart w:id="20" w:name="interpreting-nighttime-lights"/>
      <w:r w:rsidRPr="0001496A">
        <w:rPr>
          <w:rFonts w:ascii="Times New Roman" w:hAnsi="Times New Roman" w:cs="Times New Roman"/>
        </w:rPr>
        <w:t>Interpreting Nighttime Lights</w:t>
      </w:r>
    </w:p>
    <w:p w14:paraId="5DB030B5" w14:textId="77777777" w:rsidR="003F0E86" w:rsidRPr="0001496A" w:rsidRDefault="00000000" w:rsidP="0001496A">
      <w:pPr>
        <w:pStyle w:val="FirstParagraph"/>
        <w:spacing w:line="360" w:lineRule="auto"/>
        <w:jc w:val="both"/>
        <w:rPr>
          <w:rFonts w:ascii="Times New Roman" w:hAnsi="Times New Roman" w:cs="Times New Roman"/>
        </w:rPr>
      </w:pPr>
      <w:r w:rsidRPr="0001496A">
        <w:rPr>
          <w:rFonts w:ascii="Times New Roman" w:hAnsi="Times New Roman" w:cs="Times New Roman"/>
        </w:rPr>
        <w:t>Nighttime lights (NTL) data are a valuable proxy for certain dimensions of economic activity, but their interpretation requires caution. NTL primarily capture urban activity, electrification, infrastructure development, and the spatial concentration of formal economic output. They are especially sensitive to changes in city size, industrialization, and the expansion of the electrical grid.</w:t>
      </w:r>
    </w:p>
    <w:p w14:paraId="4B49882A"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rPr>
        <w:t>However, NTL miss important aspects of the economy and welfare. They underrepresent the informal sector, subsistence agriculture, and rural livelihoods, which are often significant in developing countries. NTL are also insensitive to improvements in health, education, or income that do not translate into increased luminosity. Rural welfare gains, off-grid electrification, and non-market production are largely invisible in satellite-based light measures.</w:t>
      </w:r>
    </w:p>
    <w:p w14:paraId="5EF98920"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rPr>
        <w:lastRenderedPageBreak/>
        <w:t>Crucially, increases in NTL do not necessarily imply political favoritism or targeted public investment. Growth in luminosity may reflect market-driven urbanization, private investment, or technological adoption rather than government action. Conversely, political favoritism may manifest in ways that do not affect NTL, such as through transfers, services, or rural programs. Researchers should therefore interpret NTL changes as indicative of shifts in observable, electrified economic activity, not as direct evidence of political allocation or welfare improvements.</w:t>
      </w:r>
    </w:p>
    <w:p w14:paraId="260E709C" w14:textId="77777777" w:rsidR="003F0E86" w:rsidRPr="0001496A" w:rsidRDefault="00000000" w:rsidP="0001496A">
      <w:pPr>
        <w:pStyle w:val="Heading1"/>
        <w:spacing w:line="360" w:lineRule="auto"/>
        <w:jc w:val="both"/>
        <w:rPr>
          <w:rFonts w:ascii="Times New Roman" w:hAnsi="Times New Roman" w:cs="Times New Roman"/>
        </w:rPr>
      </w:pPr>
      <w:bookmarkStart w:id="21" w:name="credit-authorship-contribution-statement"/>
      <w:bookmarkEnd w:id="19"/>
      <w:bookmarkEnd w:id="20"/>
      <w:r w:rsidRPr="0001496A">
        <w:rPr>
          <w:rFonts w:ascii="Times New Roman" w:hAnsi="Times New Roman" w:cs="Times New Roman"/>
        </w:rPr>
        <w:t>CRediT authorship contribution statement</w:t>
      </w:r>
    </w:p>
    <w:p w14:paraId="1302DE4D" w14:textId="77777777" w:rsidR="003F0E86" w:rsidRPr="0001496A" w:rsidRDefault="00000000" w:rsidP="0001496A">
      <w:pPr>
        <w:pStyle w:val="FirstParagraph"/>
        <w:spacing w:line="360" w:lineRule="auto"/>
        <w:jc w:val="both"/>
        <w:rPr>
          <w:rFonts w:ascii="Times New Roman" w:hAnsi="Times New Roman" w:cs="Times New Roman"/>
        </w:rPr>
      </w:pPr>
      <w:r w:rsidRPr="0001496A">
        <w:rPr>
          <w:rFonts w:ascii="Times New Roman" w:hAnsi="Times New Roman" w:cs="Times New Roman"/>
          <w:b/>
          <w:bCs/>
        </w:rPr>
        <w:t>Abrha Megos Meressa:</w:t>
      </w:r>
      <w:r w:rsidRPr="0001496A">
        <w:rPr>
          <w:rFonts w:ascii="Times New Roman" w:hAnsi="Times New Roman" w:cs="Times New Roman"/>
        </w:rPr>
        <w:t xml:space="preserve"> Conceptualization, Methodology, Formal analysis, Writing – original draft, Writing – review &amp; editing.</w:t>
      </w:r>
      <w:r w:rsidRPr="0001496A">
        <w:rPr>
          <w:rFonts w:ascii="Times New Roman" w:hAnsi="Times New Roman" w:cs="Times New Roman"/>
        </w:rPr>
        <w:br/>
      </w:r>
      <w:r w:rsidRPr="0001496A">
        <w:rPr>
          <w:rFonts w:ascii="Times New Roman" w:hAnsi="Times New Roman" w:cs="Times New Roman"/>
          <w:b/>
          <w:bCs/>
        </w:rPr>
        <w:t>Emiru Birhane:</w:t>
      </w:r>
      <w:r w:rsidRPr="0001496A">
        <w:rPr>
          <w:rFonts w:ascii="Times New Roman" w:hAnsi="Times New Roman" w:cs="Times New Roman"/>
        </w:rPr>
        <w:t xml:space="preserve"> Data curation, Formal analysis, Writing – review &amp; editing.</w:t>
      </w:r>
      <w:r w:rsidRPr="0001496A">
        <w:rPr>
          <w:rFonts w:ascii="Times New Roman" w:hAnsi="Times New Roman" w:cs="Times New Roman"/>
        </w:rPr>
        <w:br/>
      </w:r>
      <w:r w:rsidRPr="0001496A">
        <w:rPr>
          <w:rFonts w:ascii="Times New Roman" w:hAnsi="Times New Roman" w:cs="Times New Roman"/>
          <w:b/>
          <w:bCs/>
        </w:rPr>
        <w:t>Abay Tafere Mengistu:</w:t>
      </w:r>
      <w:r w:rsidRPr="0001496A">
        <w:rPr>
          <w:rFonts w:ascii="Times New Roman" w:hAnsi="Times New Roman" w:cs="Times New Roman"/>
        </w:rPr>
        <w:t xml:space="preserve"> Supervision, Methodology, Writing – review &amp; editing.</w:t>
      </w:r>
    </w:p>
    <w:p w14:paraId="7016EA57" w14:textId="77777777" w:rsidR="003F0E86" w:rsidRPr="0001496A" w:rsidRDefault="00000000" w:rsidP="0001496A">
      <w:pPr>
        <w:pStyle w:val="Heading1"/>
        <w:spacing w:line="360" w:lineRule="auto"/>
        <w:jc w:val="both"/>
        <w:rPr>
          <w:rFonts w:ascii="Times New Roman" w:hAnsi="Times New Roman" w:cs="Times New Roman"/>
        </w:rPr>
      </w:pPr>
      <w:bookmarkStart w:id="22" w:name="declaration-of-competing-interest"/>
      <w:bookmarkEnd w:id="21"/>
      <w:r w:rsidRPr="0001496A">
        <w:rPr>
          <w:rFonts w:ascii="Times New Roman" w:hAnsi="Times New Roman" w:cs="Times New Roman"/>
        </w:rPr>
        <w:t>Declaration of Competing Interest</w:t>
      </w:r>
    </w:p>
    <w:p w14:paraId="3A28F88D" w14:textId="77777777" w:rsidR="003F0E86" w:rsidRPr="0001496A" w:rsidRDefault="00000000" w:rsidP="0001496A">
      <w:pPr>
        <w:pStyle w:val="FirstParagraph"/>
        <w:spacing w:line="360" w:lineRule="auto"/>
        <w:jc w:val="both"/>
        <w:rPr>
          <w:rFonts w:ascii="Times New Roman" w:hAnsi="Times New Roman" w:cs="Times New Roman"/>
        </w:rPr>
      </w:pPr>
      <w:r w:rsidRPr="0001496A">
        <w:rPr>
          <w:rFonts w:ascii="Times New Roman" w:hAnsi="Times New Roman" w:cs="Times New Roman"/>
        </w:rPr>
        <w:t>The authors declare that they have no known competing financial interests or personal relationships that could have appeared to influence the work reported in this paper.</w:t>
      </w:r>
    </w:p>
    <w:p w14:paraId="50D41742" w14:textId="77777777" w:rsidR="003F0E86" w:rsidRPr="0001496A" w:rsidRDefault="00000000" w:rsidP="0001496A">
      <w:pPr>
        <w:pStyle w:val="Heading1"/>
        <w:spacing w:line="360" w:lineRule="auto"/>
        <w:jc w:val="both"/>
        <w:rPr>
          <w:rFonts w:ascii="Times New Roman" w:hAnsi="Times New Roman" w:cs="Times New Roman"/>
        </w:rPr>
      </w:pPr>
      <w:bookmarkStart w:id="23" w:name="data-availability"/>
      <w:bookmarkEnd w:id="22"/>
      <w:r w:rsidRPr="0001496A">
        <w:rPr>
          <w:rFonts w:ascii="Times New Roman" w:hAnsi="Times New Roman" w:cs="Times New Roman"/>
        </w:rPr>
        <w:t>Data Availability</w:t>
      </w:r>
    </w:p>
    <w:p w14:paraId="738D173D" w14:textId="77777777" w:rsidR="003F0E86" w:rsidRPr="0001496A" w:rsidRDefault="00000000" w:rsidP="0001496A">
      <w:pPr>
        <w:pStyle w:val="FirstParagraph"/>
        <w:spacing w:line="360" w:lineRule="auto"/>
        <w:jc w:val="both"/>
        <w:rPr>
          <w:rFonts w:ascii="Times New Roman" w:hAnsi="Times New Roman" w:cs="Times New Roman"/>
        </w:rPr>
      </w:pPr>
      <w:r w:rsidRPr="0001496A">
        <w:rPr>
          <w:rFonts w:ascii="Times New Roman" w:hAnsi="Times New Roman" w:cs="Times New Roman"/>
        </w:rPr>
        <w:t>The manuscript is based on the project files contained in the study repository, including processed regional and national NTL datasets, analysis scripts, and saved summary outputs. Public release details can be added at submission.</w:t>
      </w:r>
    </w:p>
    <w:p w14:paraId="06C17E51" w14:textId="77777777" w:rsidR="003F0E86" w:rsidRPr="0001496A" w:rsidRDefault="00000000" w:rsidP="0001496A">
      <w:pPr>
        <w:pStyle w:val="Heading1"/>
        <w:spacing w:line="360" w:lineRule="auto"/>
        <w:jc w:val="both"/>
        <w:rPr>
          <w:rFonts w:ascii="Times New Roman" w:hAnsi="Times New Roman" w:cs="Times New Roman"/>
        </w:rPr>
      </w:pPr>
      <w:bookmarkStart w:id="24" w:name="references"/>
      <w:bookmarkEnd w:id="23"/>
      <w:r w:rsidRPr="0001496A">
        <w:rPr>
          <w:rFonts w:ascii="Times New Roman" w:hAnsi="Times New Roman" w:cs="Times New Roman"/>
        </w:rPr>
        <w:t>References</w:t>
      </w:r>
    </w:p>
    <w:p w14:paraId="4817A658" w14:textId="77777777" w:rsidR="003F0E86" w:rsidRPr="0001496A" w:rsidRDefault="00000000" w:rsidP="0001496A">
      <w:pPr>
        <w:pStyle w:val="FirstParagraph"/>
        <w:spacing w:line="360" w:lineRule="auto"/>
        <w:jc w:val="both"/>
        <w:rPr>
          <w:rFonts w:ascii="Times New Roman" w:hAnsi="Times New Roman" w:cs="Times New Roman"/>
        </w:rPr>
      </w:pPr>
      <w:r w:rsidRPr="0001496A">
        <w:rPr>
          <w:rFonts w:ascii="Times New Roman" w:hAnsi="Times New Roman" w:cs="Times New Roman"/>
        </w:rPr>
        <w:t>99</w:t>
      </w:r>
    </w:p>
    <w:p w14:paraId="4E554B4B"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rPr>
        <w:lastRenderedPageBreak/>
        <w:t xml:space="preserve">Beiser-McGrath, J., Muller-Crepon, C., &amp; Pengl, Y. (2021). Who benefits? How local ethnic demography shapes political favoritism in Africa. </w:t>
      </w:r>
      <w:r w:rsidRPr="0001496A">
        <w:rPr>
          <w:rFonts w:ascii="Times New Roman" w:hAnsi="Times New Roman" w:cs="Times New Roman"/>
          <w:i/>
          <w:iCs/>
        </w:rPr>
        <w:t>British Journal of Political Science</w:t>
      </w:r>
      <w:r w:rsidRPr="0001496A">
        <w:rPr>
          <w:rFonts w:ascii="Times New Roman" w:hAnsi="Times New Roman" w:cs="Times New Roman"/>
        </w:rPr>
        <w:t>, 51(4), 1582–1600.</w:t>
      </w:r>
    </w:p>
    <w:p w14:paraId="39366778"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rPr>
        <w:t xml:space="preserve">Bluhm, R., &amp; McCord, G. C. (2022). What can we learn from nighttime lights for small geographies? Measurement errors and heterogeneous elasticities. </w:t>
      </w:r>
      <w:r w:rsidRPr="0001496A">
        <w:rPr>
          <w:rFonts w:ascii="Times New Roman" w:hAnsi="Times New Roman" w:cs="Times New Roman"/>
          <w:i/>
          <w:iCs/>
        </w:rPr>
        <w:t>Remote Sensing</w:t>
      </w:r>
      <w:r w:rsidRPr="0001496A">
        <w:rPr>
          <w:rFonts w:ascii="Times New Roman" w:hAnsi="Times New Roman" w:cs="Times New Roman"/>
        </w:rPr>
        <w:t>, 14(5), 1190.</w:t>
      </w:r>
    </w:p>
    <w:p w14:paraId="772C3DA8"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rPr>
        <w:t xml:space="preserve">Chen, X., &amp; Nordhaus, W. D. (2011). Using luminosity data as a proxy for economic statistics. </w:t>
      </w:r>
      <w:r w:rsidRPr="0001496A">
        <w:rPr>
          <w:rFonts w:ascii="Times New Roman" w:hAnsi="Times New Roman" w:cs="Times New Roman"/>
          <w:i/>
          <w:iCs/>
        </w:rPr>
        <w:t>Proceedings of the National Academy of Sciences</w:t>
      </w:r>
      <w:r w:rsidRPr="0001496A">
        <w:rPr>
          <w:rFonts w:ascii="Times New Roman" w:hAnsi="Times New Roman" w:cs="Times New Roman"/>
        </w:rPr>
        <w:t>, 108(21), 8589–8594.</w:t>
      </w:r>
    </w:p>
    <w:p w14:paraId="774658C7"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rPr>
        <w:t xml:space="preserve">Cruzatti, J., Bjornskov, C., Saenz de Viteri, A., &amp; Cruzatti, C. (2024). Geography, development, and power: Parliament leaders and local clientelism. </w:t>
      </w:r>
      <w:r w:rsidRPr="0001496A">
        <w:rPr>
          <w:rFonts w:ascii="Times New Roman" w:hAnsi="Times New Roman" w:cs="Times New Roman"/>
          <w:i/>
          <w:iCs/>
        </w:rPr>
        <w:t>World Development</w:t>
      </w:r>
      <w:r w:rsidRPr="0001496A">
        <w:rPr>
          <w:rFonts w:ascii="Times New Roman" w:hAnsi="Times New Roman" w:cs="Times New Roman"/>
        </w:rPr>
        <w:t>, 182, 106706.</w:t>
      </w:r>
    </w:p>
    <w:p w14:paraId="60C8C925"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rPr>
        <w:t xml:space="preserve">Elvidge, C. D., Zhizhin, M., Ghosh, T., Hsu, F.-C., &amp; Taneja, J. (2021). Annual time series of global VIIRS nighttime lights derived from monthly averages: 2012 to 2019. </w:t>
      </w:r>
      <w:r w:rsidRPr="0001496A">
        <w:rPr>
          <w:rFonts w:ascii="Times New Roman" w:hAnsi="Times New Roman" w:cs="Times New Roman"/>
          <w:i/>
          <w:iCs/>
        </w:rPr>
        <w:t>Remote Sensing</w:t>
      </w:r>
      <w:r w:rsidRPr="0001496A">
        <w:rPr>
          <w:rFonts w:ascii="Times New Roman" w:hAnsi="Times New Roman" w:cs="Times New Roman"/>
        </w:rPr>
        <w:t>, 13(5), 922.</w:t>
      </w:r>
    </w:p>
    <w:p w14:paraId="11D97E37"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rPr>
        <w:t xml:space="preserve">Faguet, J.-P. (2021). Has decentralisation contributed to Ethiopia’s development miracle? </w:t>
      </w:r>
      <w:r w:rsidRPr="0001496A">
        <w:rPr>
          <w:rFonts w:ascii="Times New Roman" w:hAnsi="Times New Roman" w:cs="Times New Roman"/>
          <w:i/>
          <w:iCs/>
        </w:rPr>
        <w:t>Africa at LSE</w:t>
      </w:r>
      <w:r w:rsidRPr="0001496A">
        <w:rPr>
          <w:rFonts w:ascii="Times New Roman" w:hAnsi="Times New Roman" w:cs="Times New Roman"/>
        </w:rPr>
        <w:t>.</w:t>
      </w:r>
    </w:p>
    <w:p w14:paraId="5FCBBB6D"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rPr>
        <w:t xml:space="preserve">Gibson, J., &amp; Boe-Gibson, G. (2021). Nighttime lights and county-level economic activity in the United States: 2001 to 2019. </w:t>
      </w:r>
      <w:r w:rsidRPr="0001496A">
        <w:rPr>
          <w:rFonts w:ascii="Times New Roman" w:hAnsi="Times New Roman" w:cs="Times New Roman"/>
          <w:i/>
          <w:iCs/>
        </w:rPr>
        <w:t>Remote Sensing</w:t>
      </w:r>
      <w:r w:rsidRPr="0001496A">
        <w:rPr>
          <w:rFonts w:ascii="Times New Roman" w:hAnsi="Times New Roman" w:cs="Times New Roman"/>
        </w:rPr>
        <w:t>, 13(14), 2741.</w:t>
      </w:r>
    </w:p>
    <w:p w14:paraId="25E22E53"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rPr>
        <w:t xml:space="preserve">Gibson, J., Jiang, Y., Zhang, X., &amp; Boe-Gibson, G. (2024). Are disaster impact estimates distorted by errors in popular night-time lights data? </w:t>
      </w:r>
      <w:r w:rsidRPr="0001496A">
        <w:rPr>
          <w:rFonts w:ascii="Times New Roman" w:hAnsi="Times New Roman" w:cs="Times New Roman"/>
          <w:i/>
          <w:iCs/>
        </w:rPr>
        <w:t>Economics of Disasters and Climate Change</w:t>
      </w:r>
      <w:r w:rsidRPr="0001496A">
        <w:rPr>
          <w:rFonts w:ascii="Times New Roman" w:hAnsi="Times New Roman" w:cs="Times New Roman"/>
        </w:rPr>
        <w:t>, 8(3), 391–416.</w:t>
      </w:r>
    </w:p>
    <w:p w14:paraId="7117E4F1"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rPr>
        <w:t xml:space="preserve">Henderson, J. V., Storeygard, A., &amp; Weil, D. N. (2012). Measuring economic growth from outer space. </w:t>
      </w:r>
      <w:r w:rsidRPr="0001496A">
        <w:rPr>
          <w:rFonts w:ascii="Times New Roman" w:hAnsi="Times New Roman" w:cs="Times New Roman"/>
          <w:i/>
          <w:iCs/>
        </w:rPr>
        <w:t>American Economic Review</w:t>
      </w:r>
      <w:r w:rsidRPr="0001496A">
        <w:rPr>
          <w:rFonts w:ascii="Times New Roman" w:hAnsi="Times New Roman" w:cs="Times New Roman"/>
        </w:rPr>
        <w:t>, 102(2), 994–1028.</w:t>
      </w:r>
    </w:p>
    <w:p w14:paraId="3CB6D3A2"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rPr>
        <w:t xml:space="preserve">Hodler, R., &amp; Raschky, P. A. (2014). Regional favoritism. </w:t>
      </w:r>
      <w:r w:rsidRPr="0001496A">
        <w:rPr>
          <w:rFonts w:ascii="Times New Roman" w:hAnsi="Times New Roman" w:cs="Times New Roman"/>
          <w:i/>
          <w:iCs/>
        </w:rPr>
        <w:t>Quarterly Journal of Economics</w:t>
      </w:r>
      <w:r w:rsidRPr="0001496A">
        <w:rPr>
          <w:rFonts w:ascii="Times New Roman" w:hAnsi="Times New Roman" w:cs="Times New Roman"/>
        </w:rPr>
        <w:t>, 129(2), 995–1033.</w:t>
      </w:r>
    </w:p>
    <w:p w14:paraId="4CE1BED9"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rPr>
        <w:t xml:space="preserve">Li, S., Cao, X., Zhao, C., Jie, N., Liu, L., Chen, X., &amp; Cui, X. (2023). Developing a pixel-scale corrected nighttime light dataset (PCNL, 1992–2021) combining DMSP-OLS and NPP-VIIRS. </w:t>
      </w:r>
      <w:r w:rsidRPr="0001496A">
        <w:rPr>
          <w:rFonts w:ascii="Times New Roman" w:hAnsi="Times New Roman" w:cs="Times New Roman"/>
          <w:i/>
          <w:iCs/>
        </w:rPr>
        <w:t>Remote Sensing</w:t>
      </w:r>
      <w:r w:rsidRPr="0001496A">
        <w:rPr>
          <w:rFonts w:ascii="Times New Roman" w:hAnsi="Times New Roman" w:cs="Times New Roman"/>
        </w:rPr>
        <w:t>, 15(16), 3925.</w:t>
      </w:r>
    </w:p>
    <w:p w14:paraId="0B63723D"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rPr>
        <w:lastRenderedPageBreak/>
        <w:t xml:space="preserve">Onana, S. P., &amp; Bella Ngadena, M. S. (2024). Does regional favoritism affect public investment budget allocation? Evidence from Cameroon in the context of decentralization. </w:t>
      </w:r>
      <w:r w:rsidRPr="0001496A">
        <w:rPr>
          <w:rFonts w:ascii="Times New Roman" w:hAnsi="Times New Roman" w:cs="Times New Roman"/>
          <w:i/>
          <w:iCs/>
        </w:rPr>
        <w:t>Journal of Development Studies</w:t>
      </w:r>
      <w:r w:rsidRPr="0001496A">
        <w:rPr>
          <w:rFonts w:ascii="Times New Roman" w:hAnsi="Times New Roman" w:cs="Times New Roman"/>
        </w:rPr>
        <w:t>, 60(10), 1648–1667.</w:t>
      </w:r>
    </w:p>
    <w:p w14:paraId="012234C1"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rPr>
        <w:t xml:space="preserve">Patnaik, A., &amp; Mendez, C. (2024). Exploring economic activity from outer space: A Python notebook for processing and analyzing satellite nighttime lights. </w:t>
      </w:r>
      <w:r w:rsidRPr="0001496A">
        <w:rPr>
          <w:rFonts w:ascii="Times New Roman" w:hAnsi="Times New Roman" w:cs="Times New Roman"/>
          <w:i/>
          <w:iCs/>
        </w:rPr>
        <w:t>REGION</w:t>
      </w:r>
      <w:r w:rsidRPr="0001496A">
        <w:rPr>
          <w:rFonts w:ascii="Times New Roman" w:hAnsi="Times New Roman" w:cs="Times New Roman"/>
        </w:rPr>
        <w:t>, 11(1), 79–109.</w:t>
      </w:r>
    </w:p>
    <w:p w14:paraId="184E7222" w14:textId="77777777" w:rsidR="003F0E86" w:rsidRPr="0001496A" w:rsidRDefault="00000000" w:rsidP="0001496A">
      <w:pPr>
        <w:pStyle w:val="BodyText"/>
        <w:spacing w:line="360" w:lineRule="auto"/>
        <w:jc w:val="both"/>
        <w:rPr>
          <w:rFonts w:ascii="Times New Roman" w:hAnsi="Times New Roman" w:cs="Times New Roman"/>
        </w:rPr>
      </w:pPr>
      <w:r w:rsidRPr="0001496A">
        <w:rPr>
          <w:rFonts w:ascii="Times New Roman" w:hAnsi="Times New Roman" w:cs="Times New Roman"/>
        </w:rPr>
        <w:t xml:space="preserve">Wubneh, M. (2017). Urban policy and economic development in Ethiopia. </w:t>
      </w:r>
      <w:r w:rsidRPr="0001496A">
        <w:rPr>
          <w:rFonts w:ascii="Times New Roman" w:hAnsi="Times New Roman" w:cs="Times New Roman"/>
          <w:i/>
          <w:iCs/>
        </w:rPr>
        <w:t>Journal of Urban Affairs</w:t>
      </w:r>
      <w:r w:rsidRPr="0001496A">
        <w:rPr>
          <w:rFonts w:ascii="Times New Roman" w:hAnsi="Times New Roman" w:cs="Times New Roman"/>
        </w:rPr>
        <w:t>, 39(5), 701–719.</w:t>
      </w:r>
    </w:p>
    <w:p w14:paraId="147D47AA" w14:textId="77777777" w:rsidR="003F0E86" w:rsidRPr="0001496A" w:rsidRDefault="00000000" w:rsidP="0001496A">
      <w:pPr>
        <w:pStyle w:val="Heading2"/>
        <w:spacing w:line="360" w:lineRule="auto"/>
        <w:jc w:val="both"/>
        <w:rPr>
          <w:rFonts w:ascii="Times New Roman" w:hAnsi="Times New Roman" w:cs="Times New Roman"/>
        </w:rPr>
      </w:pPr>
      <w:bookmarkStart w:id="25" w:name="a1.-region-year-panel-coverage"/>
      <w:r w:rsidRPr="0001496A">
        <w:rPr>
          <w:rFonts w:ascii="Times New Roman" w:hAnsi="Times New Roman" w:cs="Times New Roman"/>
        </w:rPr>
        <w:t>A1. Region-Year Panel Coverage</w:t>
      </w:r>
    </w:p>
    <w:p w14:paraId="25330469" w14:textId="77777777" w:rsidR="003F0E86" w:rsidRPr="0001496A" w:rsidRDefault="00000000" w:rsidP="0001496A">
      <w:pPr>
        <w:pStyle w:val="TableCaption"/>
        <w:spacing w:line="360" w:lineRule="auto"/>
        <w:jc w:val="both"/>
        <w:rPr>
          <w:rFonts w:ascii="Times New Roman" w:hAnsi="Times New Roman" w:cs="Times New Roman"/>
        </w:rPr>
      </w:pPr>
      <w:bookmarkStart w:id="26" w:name="tab:panel_coverage"/>
      <w:r w:rsidRPr="0001496A">
        <w:rPr>
          <w:rFonts w:ascii="Times New Roman" w:hAnsi="Times New Roman" w:cs="Times New Roman"/>
        </w:rPr>
        <w:t>Region-year panel structure and omitted units</w:t>
      </w:r>
    </w:p>
    <w:tbl>
      <w:tblPr>
        <w:tblStyle w:val="Table"/>
        <w:tblW w:w="0" w:type="auto"/>
        <w:tblLook w:val="0020" w:firstRow="1" w:lastRow="0" w:firstColumn="0" w:lastColumn="0" w:noHBand="0" w:noVBand="0"/>
      </w:tblPr>
      <w:tblGrid>
        <w:gridCol w:w="989"/>
        <w:gridCol w:w="1649"/>
      </w:tblGrid>
      <w:tr w:rsidR="003F0E86" w:rsidRPr="0001496A" w14:paraId="237FDDB9" w14:textId="77777777" w:rsidTr="003F0E86">
        <w:trPr>
          <w:cnfStyle w:val="100000000000" w:firstRow="1" w:lastRow="0" w:firstColumn="0" w:lastColumn="0" w:oddVBand="0" w:evenVBand="0" w:oddHBand="0" w:evenHBand="0" w:firstRowFirstColumn="0" w:firstRowLastColumn="0" w:lastRowFirstColumn="0" w:lastRowLastColumn="0"/>
          <w:tblHeader/>
        </w:trPr>
        <w:tc>
          <w:tcPr>
            <w:tcW w:w="0" w:type="auto"/>
          </w:tcPr>
          <w:p w14:paraId="313D0274" w14:textId="77777777" w:rsidR="003F0E86" w:rsidRPr="0001496A" w:rsidRDefault="00000000" w:rsidP="0001496A">
            <w:pPr>
              <w:pStyle w:val="Compact"/>
              <w:spacing w:line="360" w:lineRule="auto"/>
              <w:jc w:val="both"/>
              <w:rPr>
                <w:rFonts w:ascii="Times New Roman" w:hAnsi="Times New Roman" w:cs="Times New Roman"/>
              </w:rPr>
            </w:pPr>
            <w:r w:rsidRPr="0001496A">
              <w:rPr>
                <w:rFonts w:ascii="Times New Roman" w:hAnsi="Times New Roman" w:cs="Times New Roman"/>
              </w:rPr>
              <w:t>Region</w:t>
            </w:r>
          </w:p>
        </w:tc>
        <w:tc>
          <w:tcPr>
            <w:tcW w:w="0" w:type="auto"/>
          </w:tcPr>
          <w:p w14:paraId="0C93F738" w14:textId="77777777" w:rsidR="003F0E86" w:rsidRPr="0001496A" w:rsidRDefault="00000000" w:rsidP="0001496A">
            <w:pPr>
              <w:pStyle w:val="Compact"/>
              <w:spacing w:line="360" w:lineRule="auto"/>
              <w:jc w:val="both"/>
              <w:rPr>
                <w:rFonts w:ascii="Times New Roman" w:hAnsi="Times New Roman" w:cs="Times New Roman"/>
              </w:rPr>
            </w:pPr>
            <w:r w:rsidRPr="0001496A">
              <w:rPr>
                <w:rFonts w:ascii="Times New Roman" w:hAnsi="Times New Roman" w:cs="Times New Roman"/>
              </w:rPr>
              <w:t>Years Covered</w:t>
            </w:r>
          </w:p>
        </w:tc>
      </w:tr>
      <w:tr w:rsidR="003F0E86" w:rsidRPr="0001496A" w14:paraId="1F55FF52" w14:textId="77777777">
        <w:tc>
          <w:tcPr>
            <w:tcW w:w="0" w:type="auto"/>
          </w:tcPr>
          <w:p w14:paraId="7B69D124" w14:textId="77777777" w:rsidR="003F0E86" w:rsidRPr="0001496A" w:rsidRDefault="00000000" w:rsidP="0001496A">
            <w:pPr>
              <w:pStyle w:val="Compact"/>
              <w:spacing w:line="360" w:lineRule="auto"/>
              <w:jc w:val="both"/>
              <w:rPr>
                <w:rFonts w:ascii="Times New Roman" w:hAnsi="Times New Roman" w:cs="Times New Roman"/>
              </w:rPr>
            </w:pPr>
            <w:r w:rsidRPr="0001496A">
              <w:rPr>
                <w:rFonts w:ascii="Times New Roman" w:hAnsi="Times New Roman" w:cs="Times New Roman"/>
              </w:rPr>
              <w:t>Tigray</w:t>
            </w:r>
          </w:p>
        </w:tc>
        <w:tc>
          <w:tcPr>
            <w:tcW w:w="0" w:type="auto"/>
          </w:tcPr>
          <w:p w14:paraId="25894CDA" w14:textId="77777777" w:rsidR="003F0E86" w:rsidRPr="0001496A" w:rsidRDefault="00000000" w:rsidP="0001496A">
            <w:pPr>
              <w:pStyle w:val="Compact"/>
              <w:spacing w:line="360" w:lineRule="auto"/>
              <w:jc w:val="both"/>
              <w:rPr>
                <w:rFonts w:ascii="Times New Roman" w:hAnsi="Times New Roman" w:cs="Times New Roman"/>
              </w:rPr>
            </w:pPr>
            <w:r w:rsidRPr="0001496A">
              <w:rPr>
                <w:rFonts w:ascii="Times New Roman" w:hAnsi="Times New Roman" w:cs="Times New Roman"/>
              </w:rPr>
              <w:t>1992–2024</w:t>
            </w:r>
          </w:p>
        </w:tc>
      </w:tr>
      <w:tr w:rsidR="003F0E86" w:rsidRPr="0001496A" w14:paraId="16F0ED89" w14:textId="77777777">
        <w:tc>
          <w:tcPr>
            <w:tcW w:w="0" w:type="auto"/>
          </w:tcPr>
          <w:p w14:paraId="4130A223" w14:textId="77777777" w:rsidR="003F0E86" w:rsidRPr="0001496A" w:rsidRDefault="00000000" w:rsidP="0001496A">
            <w:pPr>
              <w:pStyle w:val="Compact"/>
              <w:spacing w:line="360" w:lineRule="auto"/>
              <w:jc w:val="both"/>
              <w:rPr>
                <w:rFonts w:ascii="Times New Roman" w:hAnsi="Times New Roman" w:cs="Times New Roman"/>
              </w:rPr>
            </w:pPr>
            <w:r w:rsidRPr="0001496A">
              <w:rPr>
                <w:rFonts w:ascii="Times New Roman" w:hAnsi="Times New Roman" w:cs="Times New Roman"/>
              </w:rPr>
              <w:t>Amhara</w:t>
            </w:r>
          </w:p>
        </w:tc>
        <w:tc>
          <w:tcPr>
            <w:tcW w:w="0" w:type="auto"/>
          </w:tcPr>
          <w:p w14:paraId="01C8FF25" w14:textId="77777777" w:rsidR="003F0E86" w:rsidRPr="0001496A" w:rsidRDefault="00000000" w:rsidP="0001496A">
            <w:pPr>
              <w:pStyle w:val="Compact"/>
              <w:spacing w:line="360" w:lineRule="auto"/>
              <w:jc w:val="both"/>
              <w:rPr>
                <w:rFonts w:ascii="Times New Roman" w:hAnsi="Times New Roman" w:cs="Times New Roman"/>
              </w:rPr>
            </w:pPr>
            <w:r w:rsidRPr="0001496A">
              <w:rPr>
                <w:rFonts w:ascii="Times New Roman" w:hAnsi="Times New Roman" w:cs="Times New Roman"/>
              </w:rPr>
              <w:t>1992–2024</w:t>
            </w:r>
          </w:p>
        </w:tc>
      </w:tr>
    </w:tbl>
    <w:p w14:paraId="33D55200" w14:textId="77777777" w:rsidR="003F0E86" w:rsidRPr="0001496A" w:rsidRDefault="00000000" w:rsidP="0001496A">
      <w:pPr>
        <w:pStyle w:val="Heading2"/>
        <w:spacing w:line="360" w:lineRule="auto"/>
        <w:jc w:val="both"/>
        <w:rPr>
          <w:rFonts w:ascii="Times New Roman" w:hAnsi="Times New Roman" w:cs="Times New Roman"/>
        </w:rPr>
      </w:pPr>
      <w:bookmarkStart w:id="27" w:name="a2.-specification-sensitivity-summary"/>
      <w:bookmarkEnd w:id="25"/>
      <w:bookmarkEnd w:id="26"/>
      <w:r w:rsidRPr="0001496A">
        <w:rPr>
          <w:rFonts w:ascii="Times New Roman" w:hAnsi="Times New Roman" w:cs="Times New Roman"/>
        </w:rPr>
        <w:t>A2. Specification Sensitivity Summary</w:t>
      </w:r>
    </w:p>
    <w:p w14:paraId="19B7A172" w14:textId="77777777" w:rsidR="003F0E86" w:rsidRPr="0001496A" w:rsidRDefault="00000000" w:rsidP="0001496A">
      <w:pPr>
        <w:pStyle w:val="TableCaption"/>
        <w:spacing w:line="360" w:lineRule="auto"/>
        <w:jc w:val="both"/>
        <w:rPr>
          <w:rFonts w:ascii="Times New Roman" w:hAnsi="Times New Roman" w:cs="Times New Roman"/>
        </w:rPr>
      </w:pPr>
      <w:bookmarkStart w:id="28" w:name="tab:spec_sensitivity"/>
      <w:r w:rsidRPr="0001496A">
        <w:rPr>
          <w:rFonts w:ascii="Times New Roman" w:hAnsi="Times New Roman" w:cs="Times New Roman"/>
        </w:rPr>
        <w:t>Summary of alternative specifications and results</w:t>
      </w:r>
    </w:p>
    <w:tbl>
      <w:tblPr>
        <w:tblStyle w:val="Table"/>
        <w:tblW w:w="0" w:type="auto"/>
        <w:tblLook w:val="0020" w:firstRow="1" w:lastRow="0" w:firstColumn="0" w:lastColumn="0" w:noHBand="0" w:noVBand="0"/>
      </w:tblPr>
      <w:tblGrid>
        <w:gridCol w:w="2323"/>
        <w:gridCol w:w="1529"/>
        <w:gridCol w:w="936"/>
      </w:tblGrid>
      <w:tr w:rsidR="003F0E86" w:rsidRPr="0001496A" w14:paraId="3C71A66B" w14:textId="77777777" w:rsidTr="003F0E86">
        <w:trPr>
          <w:cnfStyle w:val="100000000000" w:firstRow="1" w:lastRow="0" w:firstColumn="0" w:lastColumn="0" w:oddVBand="0" w:evenVBand="0" w:oddHBand="0" w:evenHBand="0" w:firstRowFirstColumn="0" w:firstRowLastColumn="0" w:lastRowFirstColumn="0" w:lastRowLastColumn="0"/>
          <w:tblHeader/>
        </w:trPr>
        <w:tc>
          <w:tcPr>
            <w:tcW w:w="0" w:type="auto"/>
          </w:tcPr>
          <w:p w14:paraId="34B944EB" w14:textId="77777777" w:rsidR="003F0E86" w:rsidRPr="0001496A" w:rsidRDefault="00000000" w:rsidP="0001496A">
            <w:pPr>
              <w:pStyle w:val="Compact"/>
              <w:spacing w:line="360" w:lineRule="auto"/>
              <w:jc w:val="both"/>
              <w:rPr>
                <w:rFonts w:ascii="Times New Roman" w:hAnsi="Times New Roman" w:cs="Times New Roman"/>
              </w:rPr>
            </w:pPr>
            <w:r w:rsidRPr="0001496A">
              <w:rPr>
                <w:rFonts w:ascii="Times New Roman" w:hAnsi="Times New Roman" w:cs="Times New Roman"/>
              </w:rPr>
              <w:t>Specification</w:t>
            </w:r>
          </w:p>
        </w:tc>
        <w:tc>
          <w:tcPr>
            <w:tcW w:w="0" w:type="auto"/>
          </w:tcPr>
          <w:p w14:paraId="4295AF2E" w14:textId="77777777" w:rsidR="003F0E86" w:rsidRPr="0001496A" w:rsidRDefault="00000000" w:rsidP="0001496A">
            <w:pPr>
              <w:pStyle w:val="Compact"/>
              <w:spacing w:line="360" w:lineRule="auto"/>
              <w:jc w:val="both"/>
              <w:rPr>
                <w:rFonts w:ascii="Times New Roman" w:hAnsi="Times New Roman" w:cs="Times New Roman"/>
              </w:rPr>
            </w:pPr>
            <w:r w:rsidRPr="0001496A">
              <w:rPr>
                <w:rFonts w:ascii="Times New Roman" w:hAnsi="Times New Roman" w:cs="Times New Roman"/>
              </w:rPr>
              <w:t>Leader Effect</w:t>
            </w:r>
          </w:p>
        </w:tc>
        <w:tc>
          <w:tcPr>
            <w:tcW w:w="0" w:type="auto"/>
          </w:tcPr>
          <w:p w14:paraId="036E6051" w14:textId="77777777" w:rsidR="003F0E86" w:rsidRPr="0001496A" w:rsidRDefault="00000000" w:rsidP="0001496A">
            <w:pPr>
              <w:pStyle w:val="Compact"/>
              <w:spacing w:line="360" w:lineRule="auto"/>
              <w:jc w:val="both"/>
              <w:rPr>
                <w:rFonts w:ascii="Times New Roman" w:hAnsi="Times New Roman" w:cs="Times New Roman"/>
              </w:rPr>
            </w:pPr>
            <w:r w:rsidRPr="0001496A">
              <w:rPr>
                <w:rFonts w:ascii="Times New Roman" w:hAnsi="Times New Roman" w:cs="Times New Roman"/>
              </w:rPr>
              <w:t>p-value</w:t>
            </w:r>
          </w:p>
        </w:tc>
      </w:tr>
      <w:tr w:rsidR="003F0E86" w:rsidRPr="0001496A" w14:paraId="7FEB5D0D" w14:textId="77777777">
        <w:tc>
          <w:tcPr>
            <w:tcW w:w="0" w:type="auto"/>
          </w:tcPr>
          <w:p w14:paraId="6F0A2A0A" w14:textId="77777777" w:rsidR="003F0E86" w:rsidRPr="0001496A" w:rsidRDefault="00000000" w:rsidP="0001496A">
            <w:pPr>
              <w:pStyle w:val="Compact"/>
              <w:spacing w:line="360" w:lineRule="auto"/>
              <w:jc w:val="both"/>
              <w:rPr>
                <w:rFonts w:ascii="Times New Roman" w:hAnsi="Times New Roman" w:cs="Times New Roman"/>
              </w:rPr>
            </w:pPr>
            <w:r w:rsidRPr="0001496A">
              <w:rPr>
                <w:rFonts w:ascii="Times New Roman" w:hAnsi="Times New Roman" w:cs="Times New Roman"/>
              </w:rPr>
              <w:t>Baseline FE</w:t>
            </w:r>
          </w:p>
        </w:tc>
        <w:tc>
          <w:tcPr>
            <w:tcW w:w="0" w:type="auto"/>
          </w:tcPr>
          <w:p w14:paraId="73FBB34C" w14:textId="77777777" w:rsidR="003F0E86" w:rsidRPr="0001496A" w:rsidRDefault="00000000" w:rsidP="0001496A">
            <w:pPr>
              <w:pStyle w:val="Compact"/>
              <w:spacing w:line="360" w:lineRule="auto"/>
              <w:jc w:val="both"/>
              <w:rPr>
                <w:rFonts w:ascii="Times New Roman" w:hAnsi="Times New Roman" w:cs="Times New Roman"/>
              </w:rPr>
            </w:pPr>
            <w:r w:rsidRPr="0001496A">
              <w:rPr>
                <w:rFonts w:ascii="Times New Roman" w:hAnsi="Times New Roman" w:cs="Times New Roman"/>
              </w:rPr>
              <w:t>0.12</w:t>
            </w:r>
          </w:p>
        </w:tc>
        <w:tc>
          <w:tcPr>
            <w:tcW w:w="0" w:type="auto"/>
          </w:tcPr>
          <w:p w14:paraId="1A1A5995" w14:textId="77777777" w:rsidR="003F0E86" w:rsidRPr="0001496A" w:rsidRDefault="00000000" w:rsidP="0001496A">
            <w:pPr>
              <w:pStyle w:val="Compact"/>
              <w:spacing w:line="360" w:lineRule="auto"/>
              <w:jc w:val="both"/>
              <w:rPr>
                <w:rFonts w:ascii="Times New Roman" w:hAnsi="Times New Roman" w:cs="Times New Roman"/>
              </w:rPr>
            </w:pPr>
            <w:r w:rsidRPr="0001496A">
              <w:rPr>
                <w:rFonts w:ascii="Times New Roman" w:hAnsi="Times New Roman" w:cs="Times New Roman"/>
              </w:rPr>
              <w:t>0.03</w:t>
            </w:r>
          </w:p>
        </w:tc>
      </w:tr>
      <w:tr w:rsidR="003F0E86" w:rsidRPr="0001496A" w14:paraId="52625274" w14:textId="77777777">
        <w:tc>
          <w:tcPr>
            <w:tcW w:w="0" w:type="auto"/>
          </w:tcPr>
          <w:p w14:paraId="035DB735" w14:textId="77777777" w:rsidR="003F0E86" w:rsidRPr="0001496A" w:rsidRDefault="00000000" w:rsidP="0001496A">
            <w:pPr>
              <w:pStyle w:val="Compact"/>
              <w:spacing w:line="360" w:lineRule="auto"/>
              <w:jc w:val="both"/>
              <w:rPr>
                <w:rFonts w:ascii="Times New Roman" w:hAnsi="Times New Roman" w:cs="Times New Roman"/>
              </w:rPr>
            </w:pPr>
            <w:r w:rsidRPr="0001496A">
              <w:rPr>
                <w:rFonts w:ascii="Times New Roman" w:hAnsi="Times New Roman" w:cs="Times New Roman"/>
              </w:rPr>
              <w:t>FE + Year Effects</w:t>
            </w:r>
          </w:p>
        </w:tc>
        <w:tc>
          <w:tcPr>
            <w:tcW w:w="0" w:type="auto"/>
          </w:tcPr>
          <w:p w14:paraId="3D4A2CEB" w14:textId="77777777" w:rsidR="003F0E86" w:rsidRPr="0001496A" w:rsidRDefault="00000000" w:rsidP="0001496A">
            <w:pPr>
              <w:pStyle w:val="Compact"/>
              <w:spacing w:line="360" w:lineRule="auto"/>
              <w:jc w:val="both"/>
              <w:rPr>
                <w:rFonts w:ascii="Times New Roman" w:hAnsi="Times New Roman" w:cs="Times New Roman"/>
              </w:rPr>
            </w:pPr>
            <w:r w:rsidRPr="0001496A">
              <w:rPr>
                <w:rFonts w:ascii="Times New Roman" w:hAnsi="Times New Roman" w:cs="Times New Roman"/>
              </w:rPr>
              <w:t>0.04</w:t>
            </w:r>
          </w:p>
        </w:tc>
        <w:tc>
          <w:tcPr>
            <w:tcW w:w="0" w:type="auto"/>
          </w:tcPr>
          <w:p w14:paraId="61AA03D8" w14:textId="77777777" w:rsidR="003F0E86" w:rsidRPr="0001496A" w:rsidRDefault="00000000" w:rsidP="0001496A">
            <w:pPr>
              <w:pStyle w:val="Compact"/>
              <w:spacing w:line="360" w:lineRule="auto"/>
              <w:jc w:val="both"/>
              <w:rPr>
                <w:rFonts w:ascii="Times New Roman" w:hAnsi="Times New Roman" w:cs="Times New Roman"/>
              </w:rPr>
            </w:pPr>
            <w:r w:rsidRPr="0001496A">
              <w:rPr>
                <w:rFonts w:ascii="Times New Roman" w:hAnsi="Times New Roman" w:cs="Times New Roman"/>
              </w:rPr>
              <w:t>0.41</w:t>
            </w:r>
          </w:p>
        </w:tc>
      </w:tr>
      <w:tr w:rsidR="003F0E86" w:rsidRPr="0001496A" w14:paraId="00432CB2" w14:textId="77777777">
        <w:tc>
          <w:tcPr>
            <w:tcW w:w="0" w:type="auto"/>
          </w:tcPr>
          <w:p w14:paraId="210215F1" w14:textId="77777777" w:rsidR="003F0E86" w:rsidRPr="0001496A" w:rsidRDefault="00000000" w:rsidP="0001496A">
            <w:pPr>
              <w:pStyle w:val="Compact"/>
              <w:spacing w:line="360" w:lineRule="auto"/>
              <w:jc w:val="both"/>
              <w:rPr>
                <w:rFonts w:ascii="Times New Roman" w:hAnsi="Times New Roman" w:cs="Times New Roman"/>
              </w:rPr>
            </w:pPr>
            <w:r w:rsidRPr="0001496A">
              <w:rPr>
                <w:rFonts w:ascii="Times New Roman" w:hAnsi="Times New Roman" w:cs="Times New Roman"/>
              </w:rPr>
              <w:t>Exclude Addis Ababa</w:t>
            </w:r>
          </w:p>
        </w:tc>
        <w:tc>
          <w:tcPr>
            <w:tcW w:w="0" w:type="auto"/>
          </w:tcPr>
          <w:p w14:paraId="6810844F" w14:textId="77777777" w:rsidR="003F0E86" w:rsidRPr="0001496A" w:rsidRDefault="00000000" w:rsidP="0001496A">
            <w:pPr>
              <w:pStyle w:val="Compact"/>
              <w:spacing w:line="360" w:lineRule="auto"/>
              <w:jc w:val="both"/>
              <w:rPr>
                <w:rFonts w:ascii="Times New Roman" w:hAnsi="Times New Roman" w:cs="Times New Roman"/>
              </w:rPr>
            </w:pPr>
            <w:r w:rsidRPr="0001496A">
              <w:rPr>
                <w:rFonts w:ascii="Times New Roman" w:hAnsi="Times New Roman" w:cs="Times New Roman"/>
              </w:rPr>
              <w:t>0.01</w:t>
            </w:r>
          </w:p>
        </w:tc>
        <w:tc>
          <w:tcPr>
            <w:tcW w:w="0" w:type="auto"/>
          </w:tcPr>
          <w:p w14:paraId="5CB0A8A8" w14:textId="77777777" w:rsidR="003F0E86" w:rsidRPr="0001496A" w:rsidRDefault="00000000" w:rsidP="0001496A">
            <w:pPr>
              <w:pStyle w:val="Compact"/>
              <w:spacing w:line="360" w:lineRule="auto"/>
              <w:jc w:val="both"/>
              <w:rPr>
                <w:rFonts w:ascii="Times New Roman" w:hAnsi="Times New Roman" w:cs="Times New Roman"/>
              </w:rPr>
            </w:pPr>
            <w:r w:rsidRPr="0001496A">
              <w:rPr>
                <w:rFonts w:ascii="Times New Roman" w:hAnsi="Times New Roman" w:cs="Times New Roman"/>
              </w:rPr>
              <w:t>0.88</w:t>
            </w:r>
          </w:p>
        </w:tc>
      </w:tr>
    </w:tbl>
    <w:p w14:paraId="2C165F37" w14:textId="77777777" w:rsidR="003F0E86" w:rsidRPr="0001496A" w:rsidRDefault="00000000" w:rsidP="0001496A">
      <w:pPr>
        <w:pStyle w:val="Heading2"/>
        <w:spacing w:line="360" w:lineRule="auto"/>
        <w:jc w:val="both"/>
        <w:rPr>
          <w:rFonts w:ascii="Times New Roman" w:hAnsi="Times New Roman" w:cs="Times New Roman"/>
        </w:rPr>
      </w:pPr>
      <w:bookmarkStart w:id="29" w:name="X9bc65b1a900333993e9b86bb7d291b1d5455246"/>
      <w:bookmarkEnd w:id="27"/>
      <w:bookmarkEnd w:id="28"/>
      <w:r w:rsidRPr="0001496A">
        <w:rPr>
          <w:rFonts w:ascii="Times New Roman" w:hAnsi="Times New Roman" w:cs="Times New Roman"/>
        </w:rPr>
        <w:t>A3. Power Analysis and Placebo Test Results</w:t>
      </w:r>
    </w:p>
    <w:p w14:paraId="714F7D72" w14:textId="77777777" w:rsidR="003F0E86" w:rsidRPr="0001496A" w:rsidRDefault="00000000" w:rsidP="0001496A">
      <w:pPr>
        <w:pStyle w:val="TableCaption"/>
        <w:spacing w:line="360" w:lineRule="auto"/>
        <w:jc w:val="both"/>
        <w:rPr>
          <w:rFonts w:ascii="Times New Roman" w:hAnsi="Times New Roman" w:cs="Times New Roman"/>
        </w:rPr>
      </w:pPr>
      <w:bookmarkStart w:id="30" w:name="tab:power_placebo"/>
      <w:r w:rsidRPr="0001496A">
        <w:rPr>
          <w:rFonts w:ascii="Times New Roman" w:hAnsi="Times New Roman" w:cs="Times New Roman"/>
        </w:rPr>
        <w:t>Power calculations and placebo test summary</w:t>
      </w:r>
    </w:p>
    <w:tbl>
      <w:tblPr>
        <w:tblStyle w:val="Table"/>
        <w:tblW w:w="0" w:type="auto"/>
        <w:tblLook w:val="0020" w:firstRow="1" w:lastRow="0" w:firstColumn="0" w:lastColumn="0" w:noHBand="0" w:noVBand="0"/>
      </w:tblPr>
      <w:tblGrid>
        <w:gridCol w:w="2616"/>
        <w:gridCol w:w="2909"/>
        <w:gridCol w:w="1942"/>
      </w:tblGrid>
      <w:tr w:rsidR="003F0E86" w:rsidRPr="0001496A" w14:paraId="4C5B6435" w14:textId="77777777" w:rsidTr="003F0E86">
        <w:trPr>
          <w:cnfStyle w:val="100000000000" w:firstRow="1" w:lastRow="0" w:firstColumn="0" w:lastColumn="0" w:oddVBand="0" w:evenVBand="0" w:oddHBand="0" w:evenHBand="0" w:firstRowFirstColumn="0" w:firstRowLastColumn="0" w:lastRowFirstColumn="0" w:lastRowLastColumn="0"/>
          <w:tblHeader/>
        </w:trPr>
        <w:tc>
          <w:tcPr>
            <w:tcW w:w="0" w:type="auto"/>
          </w:tcPr>
          <w:p w14:paraId="118C7D0C" w14:textId="77777777" w:rsidR="003F0E86" w:rsidRPr="0001496A" w:rsidRDefault="00000000" w:rsidP="0001496A">
            <w:pPr>
              <w:pStyle w:val="Compact"/>
              <w:spacing w:line="360" w:lineRule="auto"/>
              <w:jc w:val="both"/>
              <w:rPr>
                <w:rFonts w:ascii="Times New Roman" w:hAnsi="Times New Roman" w:cs="Times New Roman"/>
              </w:rPr>
            </w:pPr>
            <w:r w:rsidRPr="0001496A">
              <w:rPr>
                <w:rFonts w:ascii="Times New Roman" w:hAnsi="Times New Roman" w:cs="Times New Roman"/>
              </w:rPr>
              <w:t>Test</w:t>
            </w:r>
          </w:p>
        </w:tc>
        <w:tc>
          <w:tcPr>
            <w:tcW w:w="0" w:type="auto"/>
          </w:tcPr>
          <w:p w14:paraId="55A5E7EF" w14:textId="77777777" w:rsidR="003F0E86" w:rsidRPr="0001496A" w:rsidRDefault="00000000" w:rsidP="0001496A">
            <w:pPr>
              <w:pStyle w:val="Compact"/>
              <w:spacing w:line="360" w:lineRule="auto"/>
              <w:jc w:val="both"/>
              <w:rPr>
                <w:rFonts w:ascii="Times New Roman" w:hAnsi="Times New Roman" w:cs="Times New Roman"/>
              </w:rPr>
            </w:pPr>
            <w:r w:rsidRPr="0001496A">
              <w:rPr>
                <w:rFonts w:ascii="Times New Roman" w:hAnsi="Times New Roman" w:cs="Times New Roman"/>
              </w:rPr>
              <w:t>Minimum Detectable Effect</w:t>
            </w:r>
          </w:p>
        </w:tc>
        <w:tc>
          <w:tcPr>
            <w:tcW w:w="0" w:type="auto"/>
          </w:tcPr>
          <w:p w14:paraId="58BFACF7" w14:textId="77777777" w:rsidR="003F0E86" w:rsidRPr="0001496A" w:rsidRDefault="00000000" w:rsidP="0001496A">
            <w:pPr>
              <w:pStyle w:val="Compact"/>
              <w:spacing w:line="360" w:lineRule="auto"/>
              <w:jc w:val="both"/>
              <w:rPr>
                <w:rFonts w:ascii="Times New Roman" w:hAnsi="Times New Roman" w:cs="Times New Roman"/>
              </w:rPr>
            </w:pPr>
            <w:r w:rsidRPr="0001496A">
              <w:rPr>
                <w:rFonts w:ascii="Times New Roman" w:hAnsi="Times New Roman" w:cs="Times New Roman"/>
              </w:rPr>
              <w:t>Empirical p-value</w:t>
            </w:r>
          </w:p>
        </w:tc>
      </w:tr>
      <w:tr w:rsidR="003F0E86" w:rsidRPr="0001496A" w14:paraId="1069A34B" w14:textId="77777777">
        <w:tc>
          <w:tcPr>
            <w:tcW w:w="0" w:type="auto"/>
          </w:tcPr>
          <w:p w14:paraId="69203558" w14:textId="77777777" w:rsidR="003F0E86" w:rsidRPr="0001496A" w:rsidRDefault="00000000" w:rsidP="0001496A">
            <w:pPr>
              <w:pStyle w:val="Compact"/>
              <w:spacing w:line="360" w:lineRule="auto"/>
              <w:jc w:val="both"/>
              <w:rPr>
                <w:rFonts w:ascii="Times New Roman" w:hAnsi="Times New Roman" w:cs="Times New Roman"/>
              </w:rPr>
            </w:pPr>
            <w:r w:rsidRPr="0001496A">
              <w:rPr>
                <w:rFonts w:ascii="Times New Roman" w:hAnsi="Times New Roman" w:cs="Times New Roman"/>
              </w:rPr>
              <w:t>Placebo (random region)</w:t>
            </w:r>
          </w:p>
        </w:tc>
        <w:tc>
          <w:tcPr>
            <w:tcW w:w="0" w:type="auto"/>
          </w:tcPr>
          <w:p w14:paraId="13AB66FC" w14:textId="77777777" w:rsidR="003F0E86" w:rsidRPr="0001496A" w:rsidRDefault="00000000" w:rsidP="0001496A">
            <w:pPr>
              <w:pStyle w:val="Compact"/>
              <w:spacing w:line="360" w:lineRule="auto"/>
              <w:jc w:val="both"/>
              <w:rPr>
                <w:rFonts w:ascii="Times New Roman" w:hAnsi="Times New Roman" w:cs="Times New Roman"/>
              </w:rPr>
            </w:pPr>
            <w:r w:rsidRPr="0001496A">
              <w:rPr>
                <w:rFonts w:ascii="Times New Roman" w:hAnsi="Times New Roman" w:cs="Times New Roman"/>
              </w:rPr>
              <w:t>0.10</w:t>
            </w:r>
          </w:p>
        </w:tc>
        <w:tc>
          <w:tcPr>
            <w:tcW w:w="0" w:type="auto"/>
          </w:tcPr>
          <w:p w14:paraId="319A883F" w14:textId="77777777" w:rsidR="003F0E86" w:rsidRPr="0001496A" w:rsidRDefault="00000000" w:rsidP="0001496A">
            <w:pPr>
              <w:pStyle w:val="Compact"/>
              <w:spacing w:line="360" w:lineRule="auto"/>
              <w:jc w:val="both"/>
              <w:rPr>
                <w:rFonts w:ascii="Times New Roman" w:hAnsi="Times New Roman" w:cs="Times New Roman"/>
              </w:rPr>
            </w:pPr>
            <w:r w:rsidRPr="0001496A">
              <w:rPr>
                <w:rFonts w:ascii="Times New Roman" w:hAnsi="Times New Roman" w:cs="Times New Roman"/>
              </w:rPr>
              <w:t>0.47</w:t>
            </w:r>
          </w:p>
        </w:tc>
      </w:tr>
      <w:tr w:rsidR="003F0E86" w:rsidRPr="0001496A" w14:paraId="5C5AC0AF" w14:textId="77777777">
        <w:tc>
          <w:tcPr>
            <w:tcW w:w="0" w:type="auto"/>
          </w:tcPr>
          <w:p w14:paraId="3FAA35E2" w14:textId="77777777" w:rsidR="003F0E86" w:rsidRPr="0001496A" w:rsidRDefault="00000000" w:rsidP="0001496A">
            <w:pPr>
              <w:pStyle w:val="Compact"/>
              <w:spacing w:line="360" w:lineRule="auto"/>
              <w:jc w:val="both"/>
              <w:rPr>
                <w:rFonts w:ascii="Times New Roman" w:hAnsi="Times New Roman" w:cs="Times New Roman"/>
              </w:rPr>
            </w:pPr>
            <w:r w:rsidRPr="0001496A">
              <w:rPr>
                <w:rFonts w:ascii="Times New Roman" w:hAnsi="Times New Roman" w:cs="Times New Roman"/>
              </w:rPr>
              <w:t>Placebo (random timing)</w:t>
            </w:r>
          </w:p>
        </w:tc>
        <w:tc>
          <w:tcPr>
            <w:tcW w:w="0" w:type="auto"/>
          </w:tcPr>
          <w:p w14:paraId="7FE1FD6F" w14:textId="77777777" w:rsidR="003F0E86" w:rsidRPr="0001496A" w:rsidRDefault="00000000" w:rsidP="0001496A">
            <w:pPr>
              <w:pStyle w:val="Compact"/>
              <w:spacing w:line="360" w:lineRule="auto"/>
              <w:jc w:val="both"/>
              <w:rPr>
                <w:rFonts w:ascii="Times New Roman" w:hAnsi="Times New Roman" w:cs="Times New Roman"/>
              </w:rPr>
            </w:pPr>
            <w:r w:rsidRPr="0001496A">
              <w:rPr>
                <w:rFonts w:ascii="Times New Roman" w:hAnsi="Times New Roman" w:cs="Times New Roman"/>
              </w:rPr>
              <w:t>0.09</w:t>
            </w:r>
          </w:p>
        </w:tc>
        <w:tc>
          <w:tcPr>
            <w:tcW w:w="0" w:type="auto"/>
          </w:tcPr>
          <w:p w14:paraId="1BC47F77" w14:textId="77777777" w:rsidR="003F0E86" w:rsidRPr="0001496A" w:rsidRDefault="00000000" w:rsidP="0001496A">
            <w:pPr>
              <w:pStyle w:val="Compact"/>
              <w:spacing w:line="360" w:lineRule="auto"/>
              <w:jc w:val="both"/>
              <w:rPr>
                <w:rFonts w:ascii="Times New Roman" w:hAnsi="Times New Roman" w:cs="Times New Roman"/>
              </w:rPr>
            </w:pPr>
            <w:r w:rsidRPr="0001496A">
              <w:rPr>
                <w:rFonts w:ascii="Times New Roman" w:hAnsi="Times New Roman" w:cs="Times New Roman"/>
              </w:rPr>
              <w:t>0.51</w:t>
            </w:r>
          </w:p>
        </w:tc>
      </w:tr>
    </w:tbl>
    <w:p w14:paraId="209EEC37" w14:textId="77777777" w:rsidR="003F0E86" w:rsidRPr="0001496A" w:rsidRDefault="00000000" w:rsidP="0001496A">
      <w:pPr>
        <w:pStyle w:val="Heading2"/>
        <w:spacing w:line="360" w:lineRule="auto"/>
        <w:jc w:val="both"/>
        <w:rPr>
          <w:rFonts w:ascii="Times New Roman" w:hAnsi="Times New Roman" w:cs="Times New Roman"/>
        </w:rPr>
      </w:pPr>
      <w:bookmarkStart w:id="31" w:name="X628ce53227a00ce0a5454b280e2621fcc456fc9"/>
      <w:bookmarkEnd w:id="29"/>
      <w:bookmarkEnd w:id="30"/>
      <w:r w:rsidRPr="0001496A">
        <w:rPr>
          <w:rFonts w:ascii="Times New Roman" w:hAnsi="Times New Roman" w:cs="Times New Roman"/>
        </w:rPr>
        <w:lastRenderedPageBreak/>
        <w:t>A4. Influence Diagnostics and Robustness Checks</w:t>
      </w:r>
    </w:p>
    <w:p w14:paraId="0BD8D060" w14:textId="77777777" w:rsidR="003F0E86" w:rsidRPr="0001496A" w:rsidRDefault="00000000" w:rsidP="0001496A">
      <w:pPr>
        <w:pStyle w:val="TableCaption"/>
        <w:spacing w:line="360" w:lineRule="auto"/>
        <w:jc w:val="both"/>
        <w:rPr>
          <w:rFonts w:ascii="Times New Roman" w:hAnsi="Times New Roman" w:cs="Times New Roman"/>
        </w:rPr>
      </w:pPr>
      <w:bookmarkStart w:id="32" w:name="tab:influence"/>
      <w:r w:rsidRPr="0001496A">
        <w:rPr>
          <w:rFonts w:ascii="Times New Roman" w:hAnsi="Times New Roman" w:cs="Times New Roman"/>
        </w:rPr>
        <w:t>Influence statistics and robustness to outliers</w:t>
      </w:r>
    </w:p>
    <w:tbl>
      <w:tblPr>
        <w:tblStyle w:val="Table"/>
        <w:tblW w:w="0" w:type="auto"/>
        <w:tblLook w:val="0020" w:firstRow="1" w:lastRow="0" w:firstColumn="0" w:lastColumn="0" w:noHBand="0" w:noVBand="0"/>
      </w:tblPr>
      <w:tblGrid>
        <w:gridCol w:w="1476"/>
        <w:gridCol w:w="1810"/>
        <w:gridCol w:w="1109"/>
        <w:gridCol w:w="2002"/>
      </w:tblGrid>
      <w:tr w:rsidR="003F0E86" w:rsidRPr="0001496A" w14:paraId="590240B9" w14:textId="77777777" w:rsidTr="003F0E86">
        <w:trPr>
          <w:cnfStyle w:val="100000000000" w:firstRow="1" w:lastRow="0" w:firstColumn="0" w:lastColumn="0" w:oddVBand="0" w:evenVBand="0" w:oddHBand="0" w:evenHBand="0" w:firstRowFirstColumn="0" w:firstRowLastColumn="0" w:lastRowFirstColumn="0" w:lastRowLastColumn="0"/>
          <w:tblHeader/>
        </w:trPr>
        <w:tc>
          <w:tcPr>
            <w:tcW w:w="0" w:type="auto"/>
          </w:tcPr>
          <w:p w14:paraId="17BEB6EA" w14:textId="77777777" w:rsidR="003F0E86" w:rsidRPr="0001496A" w:rsidRDefault="00000000" w:rsidP="0001496A">
            <w:pPr>
              <w:pStyle w:val="Compact"/>
              <w:spacing w:line="360" w:lineRule="auto"/>
              <w:jc w:val="both"/>
              <w:rPr>
                <w:rFonts w:ascii="Times New Roman" w:hAnsi="Times New Roman" w:cs="Times New Roman"/>
              </w:rPr>
            </w:pPr>
            <w:r w:rsidRPr="0001496A">
              <w:rPr>
                <w:rFonts w:ascii="Times New Roman" w:hAnsi="Times New Roman" w:cs="Times New Roman"/>
              </w:rPr>
              <w:t>Region</w:t>
            </w:r>
          </w:p>
        </w:tc>
        <w:tc>
          <w:tcPr>
            <w:tcW w:w="0" w:type="auto"/>
          </w:tcPr>
          <w:p w14:paraId="0A7BDFCA" w14:textId="77777777" w:rsidR="003F0E86" w:rsidRPr="0001496A" w:rsidRDefault="00000000" w:rsidP="0001496A">
            <w:pPr>
              <w:pStyle w:val="Compact"/>
              <w:spacing w:line="360" w:lineRule="auto"/>
              <w:jc w:val="both"/>
              <w:rPr>
                <w:rFonts w:ascii="Times New Roman" w:hAnsi="Times New Roman" w:cs="Times New Roman"/>
              </w:rPr>
            </w:pPr>
            <w:r w:rsidRPr="0001496A">
              <w:rPr>
                <w:rFonts w:ascii="Times New Roman" w:hAnsi="Times New Roman" w:cs="Times New Roman"/>
              </w:rPr>
              <w:t>Cook’s Distance</w:t>
            </w:r>
          </w:p>
        </w:tc>
        <w:tc>
          <w:tcPr>
            <w:tcW w:w="0" w:type="auto"/>
          </w:tcPr>
          <w:p w14:paraId="4D450560" w14:textId="77777777" w:rsidR="003F0E86" w:rsidRPr="0001496A" w:rsidRDefault="00000000" w:rsidP="0001496A">
            <w:pPr>
              <w:pStyle w:val="Compact"/>
              <w:spacing w:line="360" w:lineRule="auto"/>
              <w:jc w:val="both"/>
              <w:rPr>
                <w:rFonts w:ascii="Times New Roman" w:hAnsi="Times New Roman" w:cs="Times New Roman"/>
              </w:rPr>
            </w:pPr>
            <w:r w:rsidRPr="0001496A">
              <w:rPr>
                <w:rFonts w:ascii="Times New Roman" w:hAnsi="Times New Roman" w:cs="Times New Roman"/>
              </w:rPr>
              <w:t>Leverage</w:t>
            </w:r>
          </w:p>
        </w:tc>
        <w:tc>
          <w:tcPr>
            <w:tcW w:w="0" w:type="auto"/>
          </w:tcPr>
          <w:p w14:paraId="6BEC082B" w14:textId="77777777" w:rsidR="003F0E86" w:rsidRPr="0001496A" w:rsidRDefault="00000000" w:rsidP="0001496A">
            <w:pPr>
              <w:pStyle w:val="Compact"/>
              <w:spacing w:line="360" w:lineRule="auto"/>
              <w:jc w:val="both"/>
              <w:rPr>
                <w:rFonts w:ascii="Times New Roman" w:hAnsi="Times New Roman" w:cs="Times New Roman"/>
              </w:rPr>
            </w:pPr>
            <w:r w:rsidRPr="0001496A">
              <w:rPr>
                <w:rFonts w:ascii="Times New Roman" w:hAnsi="Times New Roman" w:cs="Times New Roman"/>
              </w:rPr>
              <w:t>Effect on Estimate</w:t>
            </w:r>
          </w:p>
        </w:tc>
      </w:tr>
      <w:tr w:rsidR="003F0E86" w:rsidRPr="0001496A" w14:paraId="611883AF" w14:textId="77777777">
        <w:tc>
          <w:tcPr>
            <w:tcW w:w="0" w:type="auto"/>
          </w:tcPr>
          <w:p w14:paraId="4679D0A6" w14:textId="77777777" w:rsidR="003F0E86" w:rsidRPr="0001496A" w:rsidRDefault="00000000" w:rsidP="0001496A">
            <w:pPr>
              <w:pStyle w:val="Compact"/>
              <w:spacing w:line="360" w:lineRule="auto"/>
              <w:jc w:val="both"/>
              <w:rPr>
                <w:rFonts w:ascii="Times New Roman" w:hAnsi="Times New Roman" w:cs="Times New Roman"/>
              </w:rPr>
            </w:pPr>
            <w:r w:rsidRPr="0001496A">
              <w:rPr>
                <w:rFonts w:ascii="Times New Roman" w:hAnsi="Times New Roman" w:cs="Times New Roman"/>
              </w:rPr>
              <w:t>Addis Ababa</w:t>
            </w:r>
          </w:p>
        </w:tc>
        <w:tc>
          <w:tcPr>
            <w:tcW w:w="0" w:type="auto"/>
          </w:tcPr>
          <w:p w14:paraId="4A46492B" w14:textId="77777777" w:rsidR="003F0E86" w:rsidRPr="0001496A" w:rsidRDefault="00000000" w:rsidP="0001496A">
            <w:pPr>
              <w:pStyle w:val="Compact"/>
              <w:spacing w:line="360" w:lineRule="auto"/>
              <w:jc w:val="both"/>
              <w:rPr>
                <w:rFonts w:ascii="Times New Roman" w:hAnsi="Times New Roman" w:cs="Times New Roman"/>
              </w:rPr>
            </w:pPr>
            <w:r w:rsidRPr="0001496A">
              <w:rPr>
                <w:rFonts w:ascii="Times New Roman" w:hAnsi="Times New Roman" w:cs="Times New Roman"/>
              </w:rPr>
              <w:t>0.45</w:t>
            </w:r>
          </w:p>
        </w:tc>
        <w:tc>
          <w:tcPr>
            <w:tcW w:w="0" w:type="auto"/>
          </w:tcPr>
          <w:p w14:paraId="0571E0CC" w14:textId="77777777" w:rsidR="003F0E86" w:rsidRPr="0001496A" w:rsidRDefault="00000000" w:rsidP="0001496A">
            <w:pPr>
              <w:pStyle w:val="Compact"/>
              <w:spacing w:line="360" w:lineRule="auto"/>
              <w:jc w:val="both"/>
              <w:rPr>
                <w:rFonts w:ascii="Times New Roman" w:hAnsi="Times New Roman" w:cs="Times New Roman"/>
              </w:rPr>
            </w:pPr>
            <w:r w:rsidRPr="0001496A">
              <w:rPr>
                <w:rFonts w:ascii="Times New Roman" w:hAnsi="Times New Roman" w:cs="Times New Roman"/>
              </w:rPr>
              <w:t>0.32</w:t>
            </w:r>
          </w:p>
        </w:tc>
        <w:tc>
          <w:tcPr>
            <w:tcW w:w="0" w:type="auto"/>
          </w:tcPr>
          <w:p w14:paraId="7CC9B458" w14:textId="77777777" w:rsidR="003F0E86" w:rsidRPr="0001496A" w:rsidRDefault="00000000" w:rsidP="0001496A">
            <w:pPr>
              <w:pStyle w:val="Compact"/>
              <w:spacing w:line="360" w:lineRule="auto"/>
              <w:jc w:val="both"/>
              <w:rPr>
                <w:rFonts w:ascii="Times New Roman" w:hAnsi="Times New Roman" w:cs="Times New Roman"/>
              </w:rPr>
            </w:pPr>
            <w:r w:rsidRPr="0001496A">
              <w:rPr>
                <w:rFonts w:ascii="Times New Roman" w:hAnsi="Times New Roman" w:cs="Times New Roman"/>
              </w:rPr>
              <w:t>Large</w:t>
            </w:r>
          </w:p>
        </w:tc>
      </w:tr>
      <w:tr w:rsidR="003F0E86" w:rsidRPr="0001496A" w14:paraId="7E94C9B0" w14:textId="77777777">
        <w:tc>
          <w:tcPr>
            <w:tcW w:w="0" w:type="auto"/>
          </w:tcPr>
          <w:p w14:paraId="0480CA30" w14:textId="77777777" w:rsidR="003F0E86" w:rsidRPr="0001496A" w:rsidRDefault="00000000" w:rsidP="0001496A">
            <w:pPr>
              <w:pStyle w:val="Compact"/>
              <w:spacing w:line="360" w:lineRule="auto"/>
              <w:jc w:val="both"/>
              <w:rPr>
                <w:rFonts w:ascii="Times New Roman" w:hAnsi="Times New Roman" w:cs="Times New Roman"/>
              </w:rPr>
            </w:pPr>
            <w:r w:rsidRPr="0001496A">
              <w:rPr>
                <w:rFonts w:ascii="Times New Roman" w:hAnsi="Times New Roman" w:cs="Times New Roman"/>
              </w:rPr>
              <w:t>Dire Dawa</w:t>
            </w:r>
          </w:p>
        </w:tc>
        <w:tc>
          <w:tcPr>
            <w:tcW w:w="0" w:type="auto"/>
          </w:tcPr>
          <w:p w14:paraId="5BD93F58" w14:textId="77777777" w:rsidR="003F0E86" w:rsidRPr="0001496A" w:rsidRDefault="00000000" w:rsidP="0001496A">
            <w:pPr>
              <w:pStyle w:val="Compact"/>
              <w:spacing w:line="360" w:lineRule="auto"/>
              <w:jc w:val="both"/>
              <w:rPr>
                <w:rFonts w:ascii="Times New Roman" w:hAnsi="Times New Roman" w:cs="Times New Roman"/>
              </w:rPr>
            </w:pPr>
            <w:r w:rsidRPr="0001496A">
              <w:rPr>
                <w:rFonts w:ascii="Times New Roman" w:hAnsi="Times New Roman" w:cs="Times New Roman"/>
              </w:rPr>
              <w:t>0.21</w:t>
            </w:r>
          </w:p>
        </w:tc>
        <w:tc>
          <w:tcPr>
            <w:tcW w:w="0" w:type="auto"/>
          </w:tcPr>
          <w:p w14:paraId="385FFDBE" w14:textId="77777777" w:rsidR="003F0E86" w:rsidRPr="0001496A" w:rsidRDefault="00000000" w:rsidP="0001496A">
            <w:pPr>
              <w:pStyle w:val="Compact"/>
              <w:spacing w:line="360" w:lineRule="auto"/>
              <w:jc w:val="both"/>
              <w:rPr>
                <w:rFonts w:ascii="Times New Roman" w:hAnsi="Times New Roman" w:cs="Times New Roman"/>
              </w:rPr>
            </w:pPr>
            <w:r w:rsidRPr="0001496A">
              <w:rPr>
                <w:rFonts w:ascii="Times New Roman" w:hAnsi="Times New Roman" w:cs="Times New Roman"/>
              </w:rPr>
              <w:t>0.18</w:t>
            </w:r>
          </w:p>
        </w:tc>
        <w:tc>
          <w:tcPr>
            <w:tcW w:w="0" w:type="auto"/>
          </w:tcPr>
          <w:p w14:paraId="559635A4" w14:textId="77777777" w:rsidR="003F0E86" w:rsidRPr="0001496A" w:rsidRDefault="00000000" w:rsidP="0001496A">
            <w:pPr>
              <w:pStyle w:val="Compact"/>
              <w:spacing w:line="360" w:lineRule="auto"/>
              <w:jc w:val="both"/>
              <w:rPr>
                <w:rFonts w:ascii="Times New Roman" w:hAnsi="Times New Roman" w:cs="Times New Roman"/>
              </w:rPr>
            </w:pPr>
            <w:r w:rsidRPr="0001496A">
              <w:rPr>
                <w:rFonts w:ascii="Times New Roman" w:hAnsi="Times New Roman" w:cs="Times New Roman"/>
              </w:rPr>
              <w:t>Moderate</w:t>
            </w:r>
          </w:p>
        </w:tc>
      </w:tr>
    </w:tbl>
    <w:p w14:paraId="2D0A6178" w14:textId="77777777" w:rsidR="003F0E86" w:rsidRPr="0001496A" w:rsidRDefault="00000000" w:rsidP="0001496A">
      <w:pPr>
        <w:pStyle w:val="Heading2"/>
        <w:spacing w:line="360" w:lineRule="auto"/>
        <w:jc w:val="both"/>
        <w:rPr>
          <w:rFonts w:ascii="Times New Roman" w:hAnsi="Times New Roman" w:cs="Times New Roman"/>
        </w:rPr>
      </w:pPr>
      <w:bookmarkStart w:id="33" w:name="a5.-leader-region-coding-schemes"/>
      <w:bookmarkEnd w:id="31"/>
      <w:bookmarkEnd w:id="32"/>
      <w:r w:rsidRPr="0001496A">
        <w:rPr>
          <w:rFonts w:ascii="Times New Roman" w:hAnsi="Times New Roman" w:cs="Times New Roman"/>
        </w:rPr>
        <w:t>A5. Leader-Region Coding Schemes</w:t>
      </w:r>
    </w:p>
    <w:p w14:paraId="024A0E3E" w14:textId="77777777" w:rsidR="003F0E86" w:rsidRPr="0001496A" w:rsidRDefault="00000000" w:rsidP="0001496A">
      <w:pPr>
        <w:pStyle w:val="TableCaption"/>
        <w:spacing w:line="360" w:lineRule="auto"/>
        <w:jc w:val="both"/>
        <w:rPr>
          <w:rFonts w:ascii="Times New Roman" w:hAnsi="Times New Roman" w:cs="Times New Roman"/>
        </w:rPr>
      </w:pPr>
      <w:bookmarkStart w:id="34" w:name="tab:leader_coding"/>
      <w:r w:rsidRPr="0001496A">
        <w:rPr>
          <w:rFonts w:ascii="Times New Roman" w:hAnsi="Times New Roman" w:cs="Times New Roman"/>
        </w:rPr>
        <w:t>Alternative leader-region coding and results</w:t>
      </w:r>
    </w:p>
    <w:tbl>
      <w:tblPr>
        <w:tblStyle w:val="Table"/>
        <w:tblW w:w="0" w:type="auto"/>
        <w:tblLook w:val="0020" w:firstRow="1" w:lastRow="0" w:firstColumn="0" w:lastColumn="0" w:noHBand="0" w:noVBand="0"/>
      </w:tblPr>
      <w:tblGrid>
        <w:gridCol w:w="2450"/>
        <w:gridCol w:w="2290"/>
        <w:gridCol w:w="1296"/>
        <w:gridCol w:w="1529"/>
      </w:tblGrid>
      <w:tr w:rsidR="003F0E86" w:rsidRPr="0001496A" w14:paraId="7FFCE396" w14:textId="77777777" w:rsidTr="003F0E86">
        <w:trPr>
          <w:cnfStyle w:val="100000000000" w:firstRow="1" w:lastRow="0" w:firstColumn="0" w:lastColumn="0" w:oddVBand="0" w:evenVBand="0" w:oddHBand="0" w:evenHBand="0" w:firstRowFirstColumn="0" w:firstRowLastColumn="0" w:lastRowFirstColumn="0" w:lastRowLastColumn="0"/>
          <w:tblHeader/>
        </w:trPr>
        <w:tc>
          <w:tcPr>
            <w:tcW w:w="0" w:type="auto"/>
          </w:tcPr>
          <w:p w14:paraId="6E11053C" w14:textId="77777777" w:rsidR="003F0E86" w:rsidRPr="0001496A" w:rsidRDefault="00000000" w:rsidP="0001496A">
            <w:pPr>
              <w:pStyle w:val="Compact"/>
              <w:spacing w:line="360" w:lineRule="auto"/>
              <w:jc w:val="both"/>
              <w:rPr>
                <w:rFonts w:ascii="Times New Roman" w:hAnsi="Times New Roman" w:cs="Times New Roman"/>
              </w:rPr>
            </w:pPr>
            <w:r w:rsidRPr="0001496A">
              <w:rPr>
                <w:rFonts w:ascii="Times New Roman" w:hAnsi="Times New Roman" w:cs="Times New Roman"/>
              </w:rPr>
              <w:t>Coding Scheme</w:t>
            </w:r>
          </w:p>
        </w:tc>
        <w:tc>
          <w:tcPr>
            <w:tcW w:w="0" w:type="auto"/>
          </w:tcPr>
          <w:p w14:paraId="1E02CF27" w14:textId="77777777" w:rsidR="003F0E86" w:rsidRPr="0001496A" w:rsidRDefault="00000000" w:rsidP="0001496A">
            <w:pPr>
              <w:pStyle w:val="Compact"/>
              <w:spacing w:line="360" w:lineRule="auto"/>
              <w:jc w:val="both"/>
              <w:rPr>
                <w:rFonts w:ascii="Times New Roman" w:hAnsi="Times New Roman" w:cs="Times New Roman"/>
              </w:rPr>
            </w:pPr>
            <w:r w:rsidRPr="0001496A">
              <w:rPr>
                <w:rFonts w:ascii="Times New Roman" w:hAnsi="Times New Roman" w:cs="Times New Roman"/>
              </w:rPr>
              <w:t>Treated Regions</w:t>
            </w:r>
          </w:p>
        </w:tc>
        <w:tc>
          <w:tcPr>
            <w:tcW w:w="0" w:type="auto"/>
          </w:tcPr>
          <w:p w14:paraId="6CD1DB6A" w14:textId="77777777" w:rsidR="003F0E86" w:rsidRPr="0001496A" w:rsidRDefault="00000000" w:rsidP="0001496A">
            <w:pPr>
              <w:pStyle w:val="Compact"/>
              <w:spacing w:line="360" w:lineRule="auto"/>
              <w:jc w:val="both"/>
              <w:rPr>
                <w:rFonts w:ascii="Times New Roman" w:hAnsi="Times New Roman" w:cs="Times New Roman"/>
              </w:rPr>
            </w:pPr>
            <w:r w:rsidRPr="0001496A">
              <w:rPr>
                <w:rFonts w:ascii="Times New Roman" w:hAnsi="Times New Roman" w:cs="Times New Roman"/>
              </w:rPr>
              <w:t>Years</w:t>
            </w:r>
          </w:p>
        </w:tc>
        <w:tc>
          <w:tcPr>
            <w:tcW w:w="0" w:type="auto"/>
          </w:tcPr>
          <w:p w14:paraId="49DB5FF4" w14:textId="77777777" w:rsidR="003F0E86" w:rsidRPr="0001496A" w:rsidRDefault="00000000" w:rsidP="0001496A">
            <w:pPr>
              <w:pStyle w:val="Compact"/>
              <w:spacing w:line="360" w:lineRule="auto"/>
              <w:jc w:val="both"/>
              <w:rPr>
                <w:rFonts w:ascii="Times New Roman" w:hAnsi="Times New Roman" w:cs="Times New Roman"/>
              </w:rPr>
            </w:pPr>
            <w:r w:rsidRPr="0001496A">
              <w:rPr>
                <w:rFonts w:ascii="Times New Roman" w:hAnsi="Times New Roman" w:cs="Times New Roman"/>
              </w:rPr>
              <w:t>Leader Effect</w:t>
            </w:r>
          </w:p>
        </w:tc>
      </w:tr>
      <w:tr w:rsidR="003F0E86" w:rsidRPr="0001496A" w14:paraId="6F6244A1" w14:textId="77777777">
        <w:tc>
          <w:tcPr>
            <w:tcW w:w="0" w:type="auto"/>
          </w:tcPr>
          <w:p w14:paraId="23B3EA6E" w14:textId="77777777" w:rsidR="003F0E86" w:rsidRPr="0001496A" w:rsidRDefault="00000000" w:rsidP="0001496A">
            <w:pPr>
              <w:pStyle w:val="Compact"/>
              <w:spacing w:line="360" w:lineRule="auto"/>
              <w:jc w:val="both"/>
              <w:rPr>
                <w:rFonts w:ascii="Times New Roman" w:hAnsi="Times New Roman" w:cs="Times New Roman"/>
              </w:rPr>
            </w:pPr>
            <w:r w:rsidRPr="0001496A">
              <w:rPr>
                <w:rFonts w:ascii="Times New Roman" w:hAnsi="Times New Roman" w:cs="Times New Roman"/>
              </w:rPr>
              <w:t>Main (SNNP as single)</w:t>
            </w:r>
          </w:p>
        </w:tc>
        <w:tc>
          <w:tcPr>
            <w:tcW w:w="0" w:type="auto"/>
          </w:tcPr>
          <w:p w14:paraId="48353808" w14:textId="77777777" w:rsidR="003F0E86" w:rsidRPr="0001496A" w:rsidRDefault="00000000" w:rsidP="0001496A">
            <w:pPr>
              <w:pStyle w:val="Compact"/>
              <w:spacing w:line="360" w:lineRule="auto"/>
              <w:jc w:val="both"/>
              <w:rPr>
                <w:rFonts w:ascii="Times New Roman" w:hAnsi="Times New Roman" w:cs="Times New Roman"/>
              </w:rPr>
            </w:pPr>
            <w:r w:rsidRPr="0001496A">
              <w:rPr>
                <w:rFonts w:ascii="Times New Roman" w:hAnsi="Times New Roman" w:cs="Times New Roman"/>
              </w:rPr>
              <w:t>SNNP</w:t>
            </w:r>
          </w:p>
        </w:tc>
        <w:tc>
          <w:tcPr>
            <w:tcW w:w="0" w:type="auto"/>
          </w:tcPr>
          <w:p w14:paraId="3CB35BFB" w14:textId="77777777" w:rsidR="003F0E86" w:rsidRPr="0001496A" w:rsidRDefault="00000000" w:rsidP="0001496A">
            <w:pPr>
              <w:pStyle w:val="Compact"/>
              <w:spacing w:line="360" w:lineRule="auto"/>
              <w:jc w:val="both"/>
              <w:rPr>
                <w:rFonts w:ascii="Times New Roman" w:hAnsi="Times New Roman" w:cs="Times New Roman"/>
              </w:rPr>
            </w:pPr>
            <w:r w:rsidRPr="0001496A">
              <w:rPr>
                <w:rFonts w:ascii="Times New Roman" w:hAnsi="Times New Roman" w:cs="Times New Roman"/>
              </w:rPr>
              <w:t>1992–2012</w:t>
            </w:r>
          </w:p>
        </w:tc>
        <w:tc>
          <w:tcPr>
            <w:tcW w:w="0" w:type="auto"/>
          </w:tcPr>
          <w:p w14:paraId="47DC7431" w14:textId="77777777" w:rsidR="003F0E86" w:rsidRPr="0001496A" w:rsidRDefault="00000000" w:rsidP="0001496A">
            <w:pPr>
              <w:pStyle w:val="Compact"/>
              <w:spacing w:line="360" w:lineRule="auto"/>
              <w:jc w:val="both"/>
              <w:rPr>
                <w:rFonts w:ascii="Times New Roman" w:hAnsi="Times New Roman" w:cs="Times New Roman"/>
              </w:rPr>
            </w:pPr>
            <w:r w:rsidRPr="0001496A">
              <w:rPr>
                <w:rFonts w:ascii="Times New Roman" w:hAnsi="Times New Roman" w:cs="Times New Roman"/>
              </w:rPr>
              <w:t>0.05</w:t>
            </w:r>
          </w:p>
        </w:tc>
      </w:tr>
      <w:tr w:rsidR="003F0E86" w:rsidRPr="0001496A" w14:paraId="5C60AA46" w14:textId="77777777">
        <w:tc>
          <w:tcPr>
            <w:tcW w:w="0" w:type="auto"/>
          </w:tcPr>
          <w:p w14:paraId="27EFC39C" w14:textId="77777777" w:rsidR="003F0E86" w:rsidRPr="0001496A" w:rsidRDefault="00000000" w:rsidP="0001496A">
            <w:pPr>
              <w:pStyle w:val="Compact"/>
              <w:spacing w:line="360" w:lineRule="auto"/>
              <w:jc w:val="both"/>
              <w:rPr>
                <w:rFonts w:ascii="Times New Roman" w:hAnsi="Times New Roman" w:cs="Times New Roman"/>
              </w:rPr>
            </w:pPr>
            <w:r w:rsidRPr="0001496A">
              <w:rPr>
                <w:rFonts w:ascii="Times New Roman" w:hAnsi="Times New Roman" w:cs="Times New Roman"/>
              </w:rPr>
              <w:t>Split (Sidama/SW)</w:t>
            </w:r>
          </w:p>
        </w:tc>
        <w:tc>
          <w:tcPr>
            <w:tcW w:w="0" w:type="auto"/>
          </w:tcPr>
          <w:p w14:paraId="342FF989" w14:textId="77777777" w:rsidR="003F0E86" w:rsidRPr="0001496A" w:rsidRDefault="00000000" w:rsidP="0001496A">
            <w:pPr>
              <w:pStyle w:val="Compact"/>
              <w:spacing w:line="360" w:lineRule="auto"/>
              <w:jc w:val="both"/>
              <w:rPr>
                <w:rFonts w:ascii="Times New Roman" w:hAnsi="Times New Roman" w:cs="Times New Roman"/>
              </w:rPr>
            </w:pPr>
            <w:r w:rsidRPr="0001496A">
              <w:rPr>
                <w:rFonts w:ascii="Times New Roman" w:hAnsi="Times New Roman" w:cs="Times New Roman"/>
              </w:rPr>
              <w:t>Sidama, SW Ethiopia</w:t>
            </w:r>
          </w:p>
        </w:tc>
        <w:tc>
          <w:tcPr>
            <w:tcW w:w="0" w:type="auto"/>
          </w:tcPr>
          <w:p w14:paraId="2F84C9A6" w14:textId="77777777" w:rsidR="003F0E86" w:rsidRPr="0001496A" w:rsidRDefault="00000000" w:rsidP="0001496A">
            <w:pPr>
              <w:pStyle w:val="Compact"/>
              <w:spacing w:line="360" w:lineRule="auto"/>
              <w:jc w:val="both"/>
              <w:rPr>
                <w:rFonts w:ascii="Times New Roman" w:hAnsi="Times New Roman" w:cs="Times New Roman"/>
              </w:rPr>
            </w:pPr>
            <w:r w:rsidRPr="0001496A">
              <w:rPr>
                <w:rFonts w:ascii="Times New Roman" w:hAnsi="Times New Roman" w:cs="Times New Roman"/>
              </w:rPr>
              <w:t>2012–2018</w:t>
            </w:r>
          </w:p>
        </w:tc>
        <w:tc>
          <w:tcPr>
            <w:tcW w:w="0" w:type="auto"/>
          </w:tcPr>
          <w:p w14:paraId="1438A6B8" w14:textId="77777777" w:rsidR="003F0E86" w:rsidRPr="0001496A" w:rsidRDefault="00000000" w:rsidP="0001496A">
            <w:pPr>
              <w:pStyle w:val="Compact"/>
              <w:spacing w:line="360" w:lineRule="auto"/>
              <w:jc w:val="both"/>
              <w:rPr>
                <w:rFonts w:ascii="Times New Roman" w:hAnsi="Times New Roman" w:cs="Times New Roman"/>
              </w:rPr>
            </w:pPr>
            <w:r w:rsidRPr="0001496A">
              <w:rPr>
                <w:rFonts w:ascii="Times New Roman" w:hAnsi="Times New Roman" w:cs="Times New Roman"/>
              </w:rPr>
              <w:t>0.03</w:t>
            </w:r>
          </w:p>
        </w:tc>
      </w:tr>
    </w:tbl>
    <w:p w14:paraId="03711993" w14:textId="77777777" w:rsidR="003F0E86" w:rsidRPr="0001496A" w:rsidRDefault="00000000" w:rsidP="0001496A">
      <w:pPr>
        <w:pStyle w:val="Heading2"/>
        <w:spacing w:line="360" w:lineRule="auto"/>
        <w:jc w:val="both"/>
        <w:rPr>
          <w:rFonts w:ascii="Times New Roman" w:hAnsi="Times New Roman" w:cs="Times New Roman"/>
        </w:rPr>
      </w:pPr>
      <w:bookmarkStart w:id="35" w:name="X6e0cb7ad95379fe1657ae739b8d52f96e82a846"/>
      <w:bookmarkEnd w:id="33"/>
      <w:bookmarkEnd w:id="34"/>
      <w:r w:rsidRPr="0001496A">
        <w:rPr>
          <w:rFonts w:ascii="Times New Roman" w:hAnsi="Times New Roman" w:cs="Times New Roman"/>
        </w:rPr>
        <w:t>A6. Power Analysis and Placebo Test Interpretation</w:t>
      </w:r>
    </w:p>
    <w:p w14:paraId="24EEBD39" w14:textId="77777777" w:rsidR="003F0E86" w:rsidRPr="0001496A" w:rsidRDefault="00000000" w:rsidP="0001496A">
      <w:pPr>
        <w:pStyle w:val="FirstParagraph"/>
        <w:spacing w:line="360" w:lineRule="auto"/>
        <w:jc w:val="both"/>
        <w:rPr>
          <w:rFonts w:ascii="Times New Roman" w:hAnsi="Times New Roman" w:cs="Times New Roman"/>
        </w:rPr>
      </w:pPr>
      <w:r w:rsidRPr="0001496A">
        <w:rPr>
          <w:rFonts w:ascii="Times New Roman" w:hAnsi="Times New Roman" w:cs="Times New Roman"/>
        </w:rPr>
        <w:t>Given the small number of treated units and limited treatment variation, placebo and simulation tests are inherently underpowered. Appendix Table A3 reports minimum detectable effects and power calculations. The inability to distinguish real from placebo effects is itself informative, highlighting the limits of current designs and underscoring the need for richer data or alternative identification strategies in future research.</w:t>
      </w:r>
    </w:p>
    <w:p w14:paraId="75DDFC9C" w14:textId="77777777" w:rsidR="003F0E86" w:rsidRPr="0001496A" w:rsidRDefault="00000000" w:rsidP="0001496A">
      <w:pPr>
        <w:pStyle w:val="Heading2"/>
        <w:spacing w:line="360" w:lineRule="auto"/>
        <w:jc w:val="both"/>
        <w:rPr>
          <w:rFonts w:ascii="Times New Roman" w:hAnsi="Times New Roman" w:cs="Times New Roman"/>
        </w:rPr>
      </w:pPr>
      <w:bookmarkStart w:id="36" w:name="X2579e04ceaab59826f0512c2b80ad599df381ae"/>
      <w:bookmarkEnd w:id="35"/>
      <w:r w:rsidRPr="0001496A">
        <w:rPr>
          <w:rFonts w:ascii="Times New Roman" w:hAnsi="Times New Roman" w:cs="Times New Roman"/>
        </w:rPr>
        <w:t>A6. Replication Files and Data Availability</w:t>
      </w:r>
    </w:p>
    <w:p w14:paraId="6030E2C2" w14:textId="77777777" w:rsidR="003F0E86" w:rsidRPr="0001496A" w:rsidRDefault="00000000" w:rsidP="0001496A">
      <w:pPr>
        <w:pStyle w:val="FirstParagraph"/>
        <w:spacing w:line="360" w:lineRule="auto"/>
        <w:jc w:val="both"/>
        <w:rPr>
          <w:rFonts w:ascii="Times New Roman" w:hAnsi="Times New Roman" w:cs="Times New Roman"/>
        </w:rPr>
      </w:pPr>
      <w:r w:rsidRPr="0001496A">
        <w:rPr>
          <w:rFonts w:ascii="Times New Roman" w:hAnsi="Times New Roman" w:cs="Times New Roman"/>
        </w:rPr>
        <w:t>All data, code, and processed outputs required to reproduce the analysis are archived in the project repository. Detailed instructions for replication, including data processing scripts and model estimation code, are provided in the README file. Public release details will be added at submission.</w:t>
      </w:r>
      <w:bookmarkEnd w:id="24"/>
      <w:bookmarkEnd w:id="36"/>
    </w:p>
    <w:sectPr w:rsidR="003F0E86" w:rsidRPr="0001496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2F440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CD05CA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6C9E83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051148081">
    <w:abstractNumId w:val="0"/>
  </w:num>
  <w:num w:numId="2" w16cid:durableId="7964126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91885222">
    <w:abstractNumId w:val="1"/>
  </w:num>
  <w:num w:numId="4" w16cid:durableId="2014603731">
    <w:abstractNumId w:val="1"/>
  </w:num>
  <w:num w:numId="5" w16cid:durableId="609240898">
    <w:abstractNumId w:val="1"/>
  </w:num>
  <w:num w:numId="6" w16cid:durableId="7191290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F0E86"/>
    <w:rsid w:val="0001496A"/>
    <w:rsid w:val="003F0E86"/>
    <w:rsid w:val="00535CF7"/>
    <w:rsid w:val="00F03F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23ED5"/>
  <w15:docId w15:val="{53C54201-F898-499B-B799-630A2D53A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TotalTime>
  <Pages>1</Pages>
  <Words>5793</Words>
  <Characters>33022</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Nighttime Lights, Regional Inequality, and Sample-Sensitive Evidence on Political Favoritism in Ethiopia</vt:lpstr>
    </vt:vector>
  </TitlesOfParts>
  <Company/>
  <LinksUpToDate>false</LinksUpToDate>
  <CharactersWithSpaces>38738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Nighttime Lights, Regional Inequality, and Sample-Sensitive Evidence on Political Favoritism in Ethiopia</dc:title>
  <dc:creator>Abrha Megos Meressa^{a,b,*}, Emiru Birhane^b, Abay Tafere Mengistu^c   ^aDepartment of Economics, College of Business and Economics, Mekelle University, Ethiopia ^bFaculty of Environmental Sciences and Natural Resource Management (MINA), Norwegian University of Life Sciences (NMBU), Norway ^cDepartment of Rural Development and Agricultural Extension, Mekelle University, Ethiopia Corresponding author: abrhamgs3@gmail.com</dc:creator>
  <cp:keywords/>
  <cp:lastModifiedBy>Abrha Megos Meressa</cp:lastModifiedBy>
  <cp:revision>3</cp:revision>
  <dcterms:created xsi:type="dcterms:W3CDTF">2026-03-18T02:51:00Z</dcterms:created>
  <dcterms:modified xsi:type="dcterms:W3CDTF">2026-03-18T05:16:00Z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re-examines the empirical foundations of regional favoritism in Ethiopia using harmonized nighttime lights (NTL) data and a transparent, fully replicable workflow. Leveraging a comprehensive panel of regional leadership transitions, the analysis shows that estimated favoritism effects are highly sensitive to model specification, treatment coding, and sample construction. This sensitivity is not a statistical artifact but a structural feature of NTL-based designs: the small number of treated units, evolving administrative boundaries, and the urban bias inherent in NTL data systematically affect inference. By dissecting the mechanisms underlying this sensitivity—such as the conflation of electrification with economic activity, the instability of regional definitions, and the limited variation in leadership changes—the paper shows that conventional approaches in the literature routinely overstate the robustness and interpretability of favoritism estimates. Contrary to prevailing narratives, the evidence indicates that NTL-based measures of regional favoritism are contingent on analytic choices and are prone to specification-driven bias. This work advances the field by providing a rigorous template for transparent sensitivity analysis, setting a new standard for empirical credibility in political economy research using remotely sensed data. All data, code, and outputs are archived for full replication.</vt:lpwstr>
  </property>
  <property fmtid="{D5CDD505-2E9C-101B-9397-08002B2CF9AE}" pid="3" name="date">
    <vt:lpwstr>2026-03-17</vt:lpwstr>
  </property>
</Properties>
</file>