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6381E" w14:textId="77777777" w:rsidR="009138E4" w:rsidRDefault="00300F0D">
      <w:pPr>
        <w:spacing w:after="509" w:line="259" w:lineRule="auto"/>
        <w:ind w:left="743" w:firstLine="0"/>
        <w:jc w:val="center"/>
      </w:pPr>
      <w:r>
        <w:rPr>
          <w:rFonts w:cs="Aptos"/>
          <w:b/>
        </w:rPr>
        <w:t xml:space="preserve">Project 2-Group 6 </w:t>
      </w:r>
    </w:p>
    <w:p w14:paraId="2D538761" w14:textId="77777777" w:rsidR="009138E4" w:rsidRDefault="00300F0D">
      <w:pPr>
        <w:pStyle w:val="Heading1"/>
        <w:ind w:left="716"/>
      </w:pPr>
      <w:r>
        <w:t>Introduction</w:t>
      </w:r>
      <w:r>
        <w:rPr>
          <w:b w:val="0"/>
        </w:rPr>
        <w:t xml:space="preserve"> </w:t>
      </w:r>
    </w:p>
    <w:p w14:paraId="787D5BB7" w14:textId="77777777" w:rsidR="009138E4" w:rsidRDefault="00300F0D">
      <w:pPr>
        <w:ind w:left="-15" w:firstLine="721"/>
      </w:pPr>
      <w:r>
        <w:t xml:space="preserve">This report analyzes data from the 2021 National Health Interview Survey (NHIS), a nationally representative dataset on health and demographic characteristics in the United States. The goal is to examine relationships among age, height, weight, sex, and educational attainment in order to identify patterns linking physical and social </w:t>
      </w:r>
    </w:p>
    <w:p w14:paraId="7C34869E" w14:textId="77777777" w:rsidR="009138E4" w:rsidRDefault="00300F0D">
      <w:pPr>
        <w:spacing w:after="509" w:line="259" w:lineRule="auto"/>
        <w:ind w:left="-5"/>
      </w:pPr>
      <w:r>
        <w:t xml:space="preserve">characteristics within the population. </w:t>
      </w:r>
    </w:p>
    <w:p w14:paraId="061D6771" w14:textId="77777777" w:rsidR="009138E4" w:rsidRDefault="00300F0D">
      <w:pPr>
        <w:pStyle w:val="Heading1"/>
        <w:ind w:left="716"/>
      </w:pPr>
      <w:r>
        <w:t>Methods</w:t>
      </w:r>
      <w:r>
        <w:rPr>
          <w:b w:val="0"/>
        </w:rPr>
        <w:t xml:space="preserve"> </w:t>
      </w:r>
    </w:p>
    <w:p w14:paraId="31162043" w14:textId="77777777" w:rsidR="009138E4" w:rsidRDefault="00300F0D">
      <w:pPr>
        <w:ind w:left="-15" w:firstLine="721"/>
      </w:pPr>
      <w:r>
        <w:t xml:space="preserve">The analysis was conducted using R, applying summary statistics and data visualizations to explore trends and relationships. Graphical tools such as histograms, bar plots, and scatterplots were used alongside basic statistical measures to provide both </w:t>
      </w:r>
    </w:p>
    <w:p w14:paraId="38E06562" w14:textId="77777777" w:rsidR="009138E4" w:rsidRDefault="00300F0D">
      <w:pPr>
        <w:spacing w:after="509" w:line="259" w:lineRule="auto"/>
        <w:ind w:left="-5"/>
      </w:pPr>
      <w:r>
        <w:t xml:space="preserve">general and detailed insights into the data. </w:t>
      </w:r>
    </w:p>
    <w:p w14:paraId="139E3F8A" w14:textId="77777777" w:rsidR="009138E4" w:rsidRDefault="00300F0D">
      <w:pPr>
        <w:pStyle w:val="Heading1"/>
        <w:ind w:left="716"/>
      </w:pPr>
      <w:r>
        <w:t>Results</w:t>
      </w:r>
      <w:r>
        <w:rPr>
          <w:b w:val="0"/>
        </w:rPr>
        <w:t xml:space="preserve"> </w:t>
      </w:r>
    </w:p>
    <w:p w14:paraId="38F849EE" w14:textId="77777777" w:rsidR="009138E4" w:rsidRDefault="00300F0D">
      <w:pPr>
        <w:spacing w:after="0"/>
        <w:ind w:left="0" w:firstLine="721"/>
      </w:pPr>
      <w:r>
        <w:t>The age distribution showed a higher concentration of individuals in middle-to-older age groups (50</w:t>
      </w:r>
      <w:r>
        <w:rPr>
          <w:rFonts w:cs="Aptos"/>
        </w:rPr>
        <w:t>–</w:t>
      </w:r>
      <w:r>
        <w:t xml:space="preserve">70), with a peak in the early seventies. Health status was generally positive, </w:t>
      </w:r>
      <w:r>
        <w:rPr>
          <w:rFonts w:cs="Aptos"/>
        </w:rPr>
        <w:t>with most participants reporting “very good” health, followed by “excellent,”</w:t>
      </w:r>
      <w:r>
        <w:t xml:space="preserve"> while fewer </w:t>
      </w:r>
      <w:r>
        <w:rPr>
          <w:rFonts w:cs="Aptos"/>
        </w:rPr>
        <w:t xml:space="preserve">reported “fair” or “poor” health. Similarly, quality of life ratings were largely favorable, with most individuals indicating they were “very satisfied” or “satisfied.” The sample also </w:t>
      </w:r>
      <w:r>
        <w:t xml:space="preserve">included more female participants than males. </w:t>
      </w:r>
    </w:p>
    <w:p w14:paraId="2838FD2A" w14:textId="77777777" w:rsidR="009138E4" w:rsidRDefault="00300F0D">
      <w:pPr>
        <w:ind w:left="-5"/>
      </w:pPr>
      <w:r>
        <w:lastRenderedPageBreak/>
        <w:t xml:space="preserve">A scatterplot examining height and weight revealed a consistent positive relationship, where taller individuals tended to have higher body weight. This pattern was observed across sex and education groups. Correlation analysis supported this finding, indicating a moderate positive association between height and weight. In contrast, age showed weaker </w:t>
      </w:r>
    </w:p>
    <w:p w14:paraId="2D54F599" w14:textId="77777777" w:rsidR="009138E4" w:rsidRDefault="00300F0D">
      <w:pPr>
        <w:spacing w:after="509" w:line="259" w:lineRule="auto"/>
        <w:ind w:left="-5"/>
      </w:pPr>
      <w:r>
        <w:t xml:space="preserve">relationships with both variables. </w:t>
      </w:r>
    </w:p>
    <w:p w14:paraId="2F5EB10B" w14:textId="77777777" w:rsidR="009138E4" w:rsidRDefault="00300F0D">
      <w:pPr>
        <w:pStyle w:val="Heading1"/>
        <w:ind w:left="716"/>
      </w:pPr>
      <w:r>
        <w:t>Discussion</w:t>
      </w:r>
      <w:r>
        <w:rPr>
          <w:b w:val="0"/>
        </w:rPr>
        <w:t xml:space="preserve"> </w:t>
      </w:r>
    </w:p>
    <w:p w14:paraId="5EBAD141" w14:textId="77777777" w:rsidR="009138E4" w:rsidRDefault="00300F0D">
      <w:pPr>
        <w:spacing w:after="239"/>
        <w:ind w:left="-15" w:firstLine="721"/>
      </w:pPr>
      <w:r>
        <w:t>The results reflect a generally healthy and satisfied older sample, which may contribute to the overall positive trends observed. However, the concentration of participants in older age groups and the higher proportion of females may limit generalizability. While the relationship between height and weight appeared stable across subgroups, the analysis is limited by the absence of additional factors such as diet, physical activity, and genetics. Future analyses could incorporate a wider range of variables to</w:t>
      </w:r>
      <w:r>
        <w:t xml:space="preserve"> better explain these relationships. Additionally, using longitudinal data could help determine how these patterns change over time rather than relying only on a single snapshot of the population. </w:t>
      </w:r>
    </w:p>
    <w:p w14:paraId="3FFA97C9" w14:textId="77777777" w:rsidR="009138E4" w:rsidRDefault="00300F0D">
      <w:pPr>
        <w:pStyle w:val="Heading1"/>
        <w:ind w:left="716"/>
      </w:pPr>
      <w:r>
        <w:t>Summary</w:t>
      </w:r>
      <w:r>
        <w:rPr>
          <w:b w:val="0"/>
        </w:rPr>
        <w:t xml:space="preserve"> </w:t>
      </w:r>
    </w:p>
    <w:p w14:paraId="0B9DC673" w14:textId="77777777" w:rsidR="009138E4" w:rsidRDefault="00300F0D">
      <w:pPr>
        <w:ind w:left="-15" w:firstLine="721"/>
      </w:pPr>
      <w:r>
        <w:t xml:space="preserve">Overall, the sample is largely composed of middle-to-older adults who report positive health and life satisfaction. The analysis highlights a clear positive relationship between height and weight, while demonstrating how statistical methods and visualizations can effectively reveal patterns in population-level data. </w:t>
      </w:r>
    </w:p>
    <w:p w14:paraId="3ED2E7BE" w14:textId="77777777" w:rsidR="009138E4" w:rsidRDefault="00300F0D">
      <w:pPr>
        <w:spacing w:after="0" w:line="259" w:lineRule="auto"/>
        <w:ind w:left="0" w:firstLine="0"/>
        <w:jc w:val="both"/>
      </w:pPr>
      <w:r>
        <w:lastRenderedPageBreak/>
        <w:t xml:space="preserve"> </w:t>
      </w:r>
    </w:p>
    <w:sectPr w:rsidR="009138E4">
      <w:footerReference w:type="even" r:id="rId6"/>
      <w:footerReference w:type="default" r:id="rId7"/>
      <w:footerReference w:type="first" r:id="rId8"/>
      <w:pgSz w:w="12240" w:h="15840"/>
      <w:pgMar w:top="1440" w:right="1456" w:bottom="1878" w:left="1441"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5F3F9" w14:textId="77777777" w:rsidR="00300F0D" w:rsidRDefault="00300F0D">
      <w:pPr>
        <w:spacing w:after="0" w:line="240" w:lineRule="auto"/>
      </w:pPr>
      <w:r>
        <w:separator/>
      </w:r>
    </w:p>
  </w:endnote>
  <w:endnote w:type="continuationSeparator" w:id="0">
    <w:p w14:paraId="1631C7F9" w14:textId="77777777" w:rsidR="00300F0D" w:rsidRDefault="00300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092A" w14:textId="77777777" w:rsidR="009138E4" w:rsidRDefault="00300F0D">
    <w:pPr>
      <w:tabs>
        <w:tab w:val="center" w:pos="4681"/>
      </w:tabs>
      <w:spacing w:after="0" w:line="259" w:lineRule="auto"/>
      <w:ind w:left="-5" w:firstLine="0"/>
    </w:pPr>
    <w:r>
      <w:t xml:space="preserve"> </w:t>
    </w:r>
    <w:r>
      <w:tab/>
    </w:r>
    <w:r>
      <w:fldChar w:fldCharType="begin"/>
    </w:r>
    <w:r>
      <w:instrText xml:space="preserve"> PAGE   \* MERGEFORMAT </w:instrText>
    </w:r>
    <w:r>
      <w:fldChar w:fldCharType="separate"/>
    </w:r>
    <w:r>
      <w:t>1</w:t>
    </w:r>
    <w:r>
      <w:fldChar w:fldCharType="end"/>
    </w:r>
    <w:r>
      <w:t xml:space="preserve"> </w:t>
    </w:r>
  </w:p>
  <w:p w14:paraId="376E5D82" w14:textId="77777777" w:rsidR="009138E4" w:rsidRDefault="00300F0D">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BD1E0" w14:textId="77777777" w:rsidR="009138E4" w:rsidRDefault="00300F0D">
    <w:pPr>
      <w:tabs>
        <w:tab w:val="center" w:pos="4681"/>
      </w:tabs>
      <w:spacing w:after="0" w:line="259" w:lineRule="auto"/>
      <w:ind w:left="-5" w:firstLine="0"/>
    </w:pPr>
    <w:r>
      <w:t xml:space="preserve"> </w:t>
    </w:r>
    <w:r>
      <w:tab/>
    </w:r>
    <w:r>
      <w:fldChar w:fldCharType="begin"/>
    </w:r>
    <w:r>
      <w:instrText xml:space="preserve"> PAGE   \* MERGEFORMAT </w:instrText>
    </w:r>
    <w:r>
      <w:fldChar w:fldCharType="separate"/>
    </w:r>
    <w:r>
      <w:t>1</w:t>
    </w:r>
    <w:r>
      <w:fldChar w:fldCharType="end"/>
    </w:r>
    <w:r>
      <w:t xml:space="preserve"> </w:t>
    </w:r>
  </w:p>
  <w:p w14:paraId="22BF3407" w14:textId="77777777" w:rsidR="009138E4" w:rsidRDefault="00300F0D">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A1DE" w14:textId="77777777" w:rsidR="009138E4" w:rsidRDefault="00300F0D">
    <w:pPr>
      <w:tabs>
        <w:tab w:val="center" w:pos="4681"/>
      </w:tabs>
      <w:spacing w:after="0" w:line="259" w:lineRule="auto"/>
      <w:ind w:left="-5" w:firstLine="0"/>
    </w:pPr>
    <w:r>
      <w:t xml:space="preserve"> </w:t>
    </w:r>
    <w:r>
      <w:tab/>
    </w:r>
    <w:r>
      <w:fldChar w:fldCharType="begin"/>
    </w:r>
    <w:r>
      <w:instrText xml:space="preserve"> PAGE   \* MERGEFORMAT </w:instrText>
    </w:r>
    <w:r>
      <w:fldChar w:fldCharType="separate"/>
    </w:r>
    <w:r>
      <w:t>1</w:t>
    </w:r>
    <w:r>
      <w:fldChar w:fldCharType="end"/>
    </w:r>
    <w:r>
      <w:t xml:space="preserve"> </w:t>
    </w:r>
  </w:p>
  <w:p w14:paraId="112E9ABE" w14:textId="77777777" w:rsidR="009138E4" w:rsidRDefault="00300F0D">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3243" w14:textId="77777777" w:rsidR="00300F0D" w:rsidRDefault="00300F0D">
      <w:pPr>
        <w:spacing w:after="0" w:line="240" w:lineRule="auto"/>
      </w:pPr>
      <w:r>
        <w:separator/>
      </w:r>
    </w:p>
  </w:footnote>
  <w:footnote w:type="continuationSeparator" w:id="0">
    <w:p w14:paraId="5C291D15" w14:textId="77777777" w:rsidR="00300F0D" w:rsidRDefault="00300F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8E4"/>
    <w:rsid w:val="00270FD7"/>
    <w:rsid w:val="00300F0D"/>
    <w:rsid w:val="00913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DA25C7"/>
  <w15:docId w15:val="{2318DB89-1A71-B341-96B3-F531203C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80" w:lineRule="auto"/>
      <w:ind w:left="10" w:hanging="10"/>
    </w:pPr>
    <w:rPr>
      <w:rFonts w:ascii="Aptos" w:eastAsia="Aptos" w:hAnsi="Aptos" w:cs="Times New Roman"/>
      <w:color w:val="000000"/>
      <w:lang w:val="en" w:eastAsia="en"/>
    </w:rPr>
  </w:style>
  <w:style w:type="paragraph" w:styleId="Heading1">
    <w:name w:val="heading 1"/>
    <w:next w:val="Normal"/>
    <w:link w:val="Heading1Char"/>
    <w:uiPriority w:val="9"/>
    <w:qFormat/>
    <w:pPr>
      <w:keepNext/>
      <w:keepLines/>
      <w:spacing w:after="483" w:line="288" w:lineRule="auto"/>
      <w:ind w:left="753" w:hanging="10"/>
      <w:outlineLvl w:val="0"/>
    </w:pPr>
    <w:rPr>
      <w:rFonts w:ascii="Aptos" w:eastAsia="Aptos" w:hAnsi="Aptos" w:cs="Aptos"/>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 Brianna</dc:creator>
  <cp:keywords/>
  <cp:lastModifiedBy>Zarate, Abril</cp:lastModifiedBy>
  <cp:revision>2</cp:revision>
  <dcterms:created xsi:type="dcterms:W3CDTF">2026-04-21T05:21:00Z</dcterms:created>
  <dcterms:modified xsi:type="dcterms:W3CDTF">2026-04-21T05:21:00Z</dcterms:modified>
</cp:coreProperties>
</file>