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1440" w:hanging="1440"/>
        <w:rPr/>
      </w:pPr>
      <w:r w:rsidDel="00000000" w:rsidR="00000000" w:rsidRPr="00000000">
        <w:rPr>
          <w:rtl w:val="0"/>
        </w:rPr>
        <w:t xml:space="preserve">STvent v 1.1</w:t>
      </w:r>
    </w:p>
    <w:p w:rsidR="00000000" w:rsidDel="00000000" w:rsidP="00000000" w:rsidRDefault="00000000" w:rsidRPr="00000000" w14:paraId="00000005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Historial de versiones del documento</w:t>
      </w:r>
    </w:p>
    <w:tbl>
      <w:tblPr>
        <w:tblStyle w:val="Table1"/>
        <w:tblW w:w="8928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"/>
        <w:gridCol w:w="2322"/>
        <w:gridCol w:w="3113"/>
        <w:gridCol w:w="2597"/>
        <w:tblGridChange w:id="0">
          <w:tblGrid>
            <w:gridCol w:w="896"/>
            <w:gridCol w:w="2322"/>
            <w:gridCol w:w="3113"/>
            <w:gridCol w:w="2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15/09/2023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documento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Diagrama de casos de uso del sistema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Paquetes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2.1.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[Nombre del paquete]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Diagrama de casos de uso del paquete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Especificaciones de 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6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2.1.3.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[Nro.]: [Nombre del caso de uso]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Mensajes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SRS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Matrices requisitos/casos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5.1.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funcionales/casos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5.2.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no funcionales por módulo/casos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smallCaps w:val="1"/>
              <w:color w:val="5a5a5a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[Diagrama de casos de uso de todo el sistema respetando UML.]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paquete del sistema generar la sección que se encuentra a continuación.]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04" w:hanging="510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>
          <w:b w:val="1"/>
          <w:color w:val="5a5a5a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paquete</w:t>
      </w:r>
    </w:p>
    <w:p w:rsidR="00000000" w:rsidDel="00000000" w:rsidP="00000000" w:rsidRDefault="00000000" w:rsidRPr="00000000" w14:paraId="00000023">
      <w:pPr>
        <w:spacing w:after="120" w:lineRule="auto"/>
        <w:rPr>
          <w:color w:val="0070c0"/>
        </w:rPr>
      </w:pPr>
      <w:bookmarkStart w:colFirst="0" w:colLast="0" w:name="_heading=h.3znysh7" w:id="3"/>
      <w:bookmarkEnd w:id="3"/>
      <w:r w:rsidDel="00000000" w:rsidR="00000000" w:rsidRPr="00000000">
        <w:rPr>
          <w:color w:val="0070c0"/>
        </w:rPr>
        <w:drawing>
          <wp:inline distB="0" distT="0" distL="0" distR="0">
            <wp:extent cx="5943600" cy="584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rPr>
          <w:color w:val="0070c0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/>
      </w:pPr>
      <w:bookmarkStart w:colFirst="0" w:colLast="0" w:name="_heading=h.2et92p0" w:id="5"/>
      <w:bookmarkEnd w:id="5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Especificaciones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caso de uso identificado en el diagrama de casos de uso de la sección anterior generar la sección que se encuentra a continuación.]</w:t>
      </w:r>
    </w:p>
    <w:p w:rsidR="00000000" w:rsidDel="00000000" w:rsidP="00000000" w:rsidRDefault="00000000" w:rsidRPr="00000000" w14:paraId="00000028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Realizar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2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3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Crear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3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5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Modificar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4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7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Modificar Jornada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5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9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Inhabilitar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6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A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Crear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7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C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Modificar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8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0E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Inhabilitar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9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0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Crear Ajustes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0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1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Modificar Ajustes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1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3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Generar Reporte de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2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58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Generar Reportes de Recaudación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3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7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Visualizar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4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8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3"/>
          <w:numId w:val="2"/>
        </w:numPr>
        <w:ind w:left="1728" w:hanging="648"/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Realizar Log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5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[Nro.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[Fecha en que se libera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[Descripción de lo realizado en la versión del CU]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[Integrantes del equipo de desarrollo que colaboraron en la versión del CU]</w:t>
            </w:r>
          </w:p>
        </w:tc>
      </w:tr>
    </w:tbl>
    <w:p w:rsidR="00000000" w:rsidDel="00000000" w:rsidP="00000000" w:rsidRDefault="00000000" w:rsidRPr="00000000" w14:paraId="000001A3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[Objetivo del caso de uso]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[Actores que interactúan con el comportamiento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[Estado del sistema antes de ejecutar 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  <w:r w:rsidDel="00000000" w:rsidR="00000000" w:rsidRPr="00000000">
        <w:rPr>
          <w:color w:val="0070c0"/>
          <w:rtl w:val="0"/>
        </w:rPr>
        <w:t xml:space="preserve">[Escenario alineado con el objetivo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spacing w:after="12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60" w:line="256" w:lineRule="auto"/>
        <w:ind w:left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dy6vkm" w:id="7"/>
      <w:bookmarkEnd w:id="7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Mensajes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[Mensajes de confirmación, advertencia y error que visualizará el usuario.]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SRS</w:t>
      </w:r>
    </w:p>
    <w:p w:rsidR="00000000" w:rsidDel="00000000" w:rsidP="00000000" w:rsidRDefault="00000000" w:rsidRPr="00000000" w14:paraId="000001B3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[Link a la versión de la SRS con la cual está alienado el presente documento.]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Matrices requisitos/casos de uso</w:t>
      </w:r>
    </w:p>
    <w:p w:rsidR="00000000" w:rsidDel="00000000" w:rsidP="00000000" w:rsidRDefault="00000000" w:rsidRPr="00000000" w14:paraId="000001B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2s8eyo1" w:id="10"/>
      <w:bookmarkEnd w:id="10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funcionales/casos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funcionales]</w:t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17dp8vu" w:id="11"/>
      <w:bookmarkEnd w:id="11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no funcionales por módulo/casos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no funcionales por módulo]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pict>
        <v:shape id="Imagen 2" style="width:1in;height:37.5pt;visibility:visible" alt="logo_upe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Provincia de Buenos Aires -</w:t>
    </w:r>
    <w:r w:rsidDel="00000000" w:rsidR="00000000" w:rsidRPr="00000000">
      <w:rPr>
        <w:color w:val="000000"/>
      </w:rPr>
      <w:pict>
        <v:shape id="WordPictureWatermark1" style="position:absolute;width:425.0pt;height:212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jpg"/>
        </v:shape>
      </w:pict>
    </w:r>
    <w:r w:rsidDel="00000000" w:rsidR="00000000" w:rsidRPr="00000000">
      <w:rPr>
        <w:color w:val="808080"/>
        <w:rtl w:val="0"/>
      </w:rPr>
      <w:t xml:space="preserve"> Universidad Provincial de Ezeiza</w:t>
    </w:r>
  </w:p>
  <w:p w:rsidR="00000000" w:rsidDel="00000000" w:rsidP="00000000" w:rsidRDefault="00000000" w:rsidRPr="00000000" w14:paraId="000001BB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Departamento de Desarrollo Tecnológico – Tecnicatura Universitaria en Desarrollo de Software</w:t>
    </w:r>
  </w:p>
  <w:p w:rsidR="00000000" w:rsidDel="00000000" w:rsidP="00000000" w:rsidRDefault="00000000" w:rsidRPr="00000000" w14:paraId="000001BC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86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304" w:hanging="51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8"/>
      <w:szCs w:val="48"/>
    </w:rPr>
  </w:style>
  <w:style w:type="paragraph" w:styleId="Normal" w:default="1">
    <w:name w:val="Normal"/>
    <w:qFormat w:val="1"/>
    <w:rsid w:val="005D55FA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B6140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64B71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64B7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E39D6"/>
    <w:pPr>
      <w:keepNext w:val="1"/>
      <w:spacing w:after="60" w:before="240"/>
      <w:outlineLvl w:val="3"/>
    </w:pPr>
    <w:rPr>
      <w:rFonts w:eastAsia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53DC"/>
    <w:pPr>
      <w:spacing w:after="0" w:line="240" w:lineRule="auto"/>
      <w:contextualSpacing w:val="1"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link w:val="Ttulo"/>
    <w:uiPriority w:val="99"/>
    <w:locked w:val="1"/>
    <w:rsid w:val="002F53DC"/>
    <w:rPr>
      <w:rFonts w:ascii="Calibri Light" w:cs="Times New Roman" w:hAnsi="Calibri Light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 w:val="1"/>
      <w:color w:val="5a5a5a"/>
      <w:sz w:val="28"/>
      <w:szCs w:val="28"/>
    </w:rPr>
  </w:style>
  <w:style w:type="character" w:styleId="SubttuloCar" w:customStyle="1">
    <w:name w:val="Subtítulo Car"/>
    <w:link w:val="Subttulo"/>
    <w:uiPriority w:val="99"/>
    <w:locked w:val="1"/>
    <w:rsid w:val="002F53DC"/>
    <w:rPr>
      <w:rFonts w:cs="Times New Roman" w:eastAsia="Times New Roman"/>
      <w:b w:val="1"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 w:val="1"/>
    <w:locked w:val="1"/>
    <w:rsid w:val="00C80AD4"/>
    <w:rPr>
      <w:rFonts w:cs="Times New Roman"/>
      <w:lang w:eastAsia="en-US" w:val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 w:val="1"/>
    <w:locked w:val="1"/>
    <w:rsid w:val="00C80AD4"/>
    <w:rPr>
      <w:rFonts w:cs="Times New Roman"/>
      <w:lang w:eastAsia="en-US" w:val="en-US"/>
    </w:rPr>
  </w:style>
  <w:style w:type="table" w:styleId="Tablaconcuadrcula">
    <w:name w:val="Table Grid"/>
    <w:basedOn w:val="Tablanormal"/>
    <w:uiPriority w:val="99"/>
    <w:locked w:val="1"/>
    <w:rsid w:val="007D3726"/>
    <w:rPr>
      <w:rFonts w:eastAsia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2" w:customStyle="1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 w:val="1"/>
    <w:uiPriority w:val="39"/>
    <w:locked w:val="1"/>
    <w:rsid w:val="00BE075E"/>
    <w:pPr>
      <w:spacing w:after="120" w:before="120"/>
    </w:pPr>
    <w:rPr>
      <w:b w:val="1"/>
      <w:bCs w:val="1"/>
      <w:caps w:val="1"/>
      <w:sz w:val="20"/>
      <w:szCs w:val="20"/>
    </w:rPr>
  </w:style>
  <w:style w:type="character" w:styleId="Ttulo1Car" w:customStyle="1">
    <w:name w:val="Título 1 Car"/>
    <w:link w:val="Ttulo1"/>
    <w:rsid w:val="00BB6140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 w:val="en-U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BB6140"/>
    <w:pPr>
      <w:keepLines w:val="1"/>
      <w:spacing w:after="0"/>
      <w:outlineLvl w:val="9"/>
    </w:pPr>
    <w:rPr>
      <w:b w:val="0"/>
      <w:bCs w:val="0"/>
      <w:color w:val="2e74b5"/>
      <w:kern w:val="0"/>
      <w:lang w:eastAsia="es-AR" w:val="es-AR"/>
    </w:rPr>
  </w:style>
  <w:style w:type="paragraph" w:styleId="TDC2">
    <w:name w:val="toc 2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22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440"/>
    </w:pPr>
    <w:rPr>
      <w:i w:val="1"/>
      <w:iCs w:val="1"/>
      <w:sz w:val="20"/>
      <w:szCs w:val="20"/>
    </w:rPr>
  </w:style>
  <w:style w:type="paragraph" w:styleId="PrimeraLinea" w:customStyle="1">
    <w:name w:val="PrimeraLinea"/>
    <w:basedOn w:val="Subttulo"/>
    <w:link w:val="PrimeraLineaCar"/>
    <w:qFormat w:val="1"/>
    <w:rsid w:val="00970707"/>
    <w:pPr>
      <w:tabs>
        <w:tab w:val="num" w:pos="720"/>
      </w:tabs>
      <w:ind w:left="720" w:hanging="720"/>
    </w:pPr>
  </w:style>
  <w:style w:type="paragraph" w:styleId="TerceraLinea" w:customStyle="1">
    <w:name w:val="TerceraLinea"/>
    <w:basedOn w:val="Subttulo"/>
    <w:link w:val="TerceraLineaCar"/>
    <w:qFormat w:val="1"/>
    <w:rsid w:val="00970707"/>
    <w:pPr>
      <w:tabs>
        <w:tab w:val="num" w:pos="2160"/>
      </w:tabs>
      <w:ind w:left="2160" w:hanging="720"/>
    </w:pPr>
  </w:style>
  <w:style w:type="character" w:styleId="PrimeraLineaCar" w:customStyle="1">
    <w:name w:val="PrimeraLinea Car"/>
    <w:link w:val="PrimeraLinea"/>
    <w:rsid w:val="00970707"/>
    <w:rPr>
      <w:b w:val="1"/>
      <w:color w:val="5a5a5a"/>
      <w:sz w:val="28"/>
      <w:szCs w:val="28"/>
      <w:lang w:eastAsia="en-US"/>
    </w:rPr>
  </w:style>
  <w:style w:type="paragraph" w:styleId="SegundaLinea" w:customStyle="1">
    <w:name w:val="SegundaLinea"/>
    <w:basedOn w:val="Subttulo"/>
    <w:link w:val="SegundaLineaCar"/>
    <w:qFormat w:val="1"/>
    <w:rsid w:val="00970707"/>
    <w:pPr>
      <w:tabs>
        <w:tab w:val="num" w:pos="720"/>
      </w:tabs>
      <w:ind w:left="720" w:hanging="720"/>
    </w:pPr>
  </w:style>
  <w:style w:type="character" w:styleId="TerceraLineaCar" w:customStyle="1">
    <w:name w:val="TerceraLinea Car"/>
    <w:link w:val="TerceraLinea"/>
    <w:rsid w:val="00970707"/>
    <w:rPr>
      <w:b w:val="1"/>
      <w:color w:val="5a5a5a"/>
      <w:sz w:val="28"/>
      <w:szCs w:val="28"/>
      <w:lang w:eastAsia="en-US"/>
    </w:rPr>
  </w:style>
  <w:style w:type="character" w:styleId="SegundaLineaCar" w:customStyle="1">
    <w:name w:val="SegundaLinea Car"/>
    <w:link w:val="SegundaLinea"/>
    <w:rsid w:val="00970707"/>
    <w:rPr>
      <w:b w:val="1"/>
      <w:color w:val="5a5a5a"/>
      <w:sz w:val="28"/>
      <w:szCs w:val="28"/>
      <w:lang w:eastAsia="en-US" w:val="en-US"/>
    </w:rPr>
  </w:style>
  <w:style w:type="character" w:styleId="Ttulo2Car" w:customStyle="1">
    <w:name w:val="Título 2 Car"/>
    <w:link w:val="Ttulo2"/>
    <w:semiHidden w:val="1"/>
    <w:rsid w:val="00A64B71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 w:val="en-US"/>
    </w:rPr>
  </w:style>
  <w:style w:type="character" w:styleId="Ttulo3Car" w:customStyle="1">
    <w:name w:val="Título 3 Car"/>
    <w:link w:val="Ttulo3"/>
    <w:semiHidden w:val="1"/>
    <w:rsid w:val="00A64B71"/>
    <w:rPr>
      <w:rFonts w:ascii="Cambria" w:cs="Times New Roman" w:eastAsia="Times New Roman" w:hAnsi="Cambria"/>
      <w:b w:val="1"/>
      <w:bCs w:val="1"/>
      <w:sz w:val="26"/>
      <w:szCs w:val="26"/>
      <w:lang w:eastAsia="en-US" w:val="en-US"/>
    </w:rPr>
  </w:style>
  <w:style w:type="paragraph" w:styleId="TDC4">
    <w:name w:val="toc 4"/>
    <w:basedOn w:val="Normal"/>
    <w:next w:val="Normal"/>
    <w:autoRedefine w:val="1"/>
    <w:uiPriority w:val="39"/>
    <w:locked w:val="1"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locked w:val="1"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locked w:val="1"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locked w:val="1"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locked w:val="1"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locked w:val="1"/>
    <w:rsid w:val="00A64B71"/>
    <w:pPr>
      <w:spacing w:after="0"/>
      <w:ind w:left="1760"/>
    </w:pPr>
    <w:rPr>
      <w:sz w:val="18"/>
      <w:szCs w:val="18"/>
    </w:rPr>
  </w:style>
  <w:style w:type="paragraph" w:styleId="CuartaLinea" w:customStyle="1">
    <w:name w:val="CuartaLinea"/>
    <w:basedOn w:val="TerceraLinea"/>
    <w:next w:val="Normal"/>
    <w:qFormat w:val="1"/>
    <w:rsid w:val="00D05576"/>
    <w:rPr>
      <w:lang w:val="es-AR"/>
    </w:rPr>
  </w:style>
  <w:style w:type="character" w:styleId="Textoennegrita">
    <w:name w:val="Strong"/>
    <w:qFormat w:val="1"/>
    <w:locked w:val="1"/>
    <w:rsid w:val="00EE39D6"/>
    <w:rPr>
      <w:b w:val="1"/>
      <w:bCs w:val="1"/>
    </w:rPr>
  </w:style>
  <w:style w:type="character" w:styleId="Ttulo4Car" w:customStyle="1">
    <w:name w:val="Título 4 Car"/>
    <w:link w:val="Ttulo4"/>
    <w:semiHidden w:val="1"/>
    <w:rsid w:val="00EE39D6"/>
    <w:rPr>
      <w:rFonts w:ascii="Calibri" w:cs="Times New Roman" w:eastAsia="Times New Roman" w:hAnsi="Calibri"/>
      <w:b w:val="1"/>
      <w:bCs w:val="1"/>
      <w:sz w:val="28"/>
      <w:szCs w:val="28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FD6D8B"/>
    <w:pPr>
      <w:ind w:left="708"/>
    </w:p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7282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72822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/>
    <w:rPr>
      <w:b w:val="1"/>
      <w:color w:val="5a5a5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hSxBQMAguW8qAJE7K+AunBGvQ==">CgMxLjAyCGguZ2pkZ3hzMgloLjMwajB6bGwyCWguMWZvYjl0ZTIJaC4zem55c2g3MgloLjNyZGNyam4yCWguMmV0OTJwMDIIaC50eWpjd3QyCGgudHlqY3d0MghoLnR5amN3dDIIaC50eWpjd3QyCGgudHlqY3d0MghoLnR5amN3dDIIaC50eWpjd3QyCGgudHlqY3d0MghoLnR5amN3dDIIaC50eWpjd3QyCGgudHlqY3d0MghoLnR5amN3dDIIaC50eWpjd3QyCGgudHlqY3d0MgloLjNkeTZ2a20yCWguMXQzaDVzZjIJaC40ZDM0b2c4MgloLjJzOGV5bzEyCWguMTdkcDh2dTgAciExQW5iakFsdjJnS0h3RWw5T0E5S1Y1bzY4R3VWd0FhU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2014-09-07T23:31:00Z</dcterms:created>
  <dc:creator>Luna-Bazet</dc:creator>
</cp:coreProperties>
</file>