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1 ) 50 points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ecrire une expression reguliere qui valide 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nafoot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chatfoot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chienfoot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hyffoot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foodly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fooleryp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jawfoot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mafoo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nonfood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padfoot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prefool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et qui refuse 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Atlas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Aymoro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Iberic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Mahran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Ormazd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Silipan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altared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chandoo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crenel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crooked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fardo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palazzi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sixfold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tarrock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regex de 3 char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exo 2 ) 100 points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faire une regexp qui check les soustractions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qui valide 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xxxxxxx - xx = xxxxx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xxxx - x = xxx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xxxxxxxx - xxxxx = xxx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xx - x = x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et refuse 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xxxxxxxxxxxxx - xxx = x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xxxxxxx - xxxxxxxx = xx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xxxxxxx - xxxxx = xxxxxx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xx - x = xxxxxx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