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keramo-build-бизнес-план"/>
    <w:p>
      <w:pPr>
        <w:pStyle w:val="Heading1"/>
      </w:pPr>
      <w:r>
        <w:t xml:space="preserve">📊 KERAMO BUILD | Бизнес-план</w:t>
      </w:r>
    </w:p>
    <w:p>
      <w:pPr>
        <w:pStyle w:val="BlockText"/>
      </w:pPr>
      <w:r>
        <w:rPr>
          <w:b/>
          <w:bCs/>
        </w:rPr>
        <w:t xml:space="preserve">Инвестиции:</w:t>
      </w:r>
      <w:r>
        <w:t xml:space="preserve"> </w:t>
      </w:r>
      <w:r>
        <w:t xml:space="preserve">18-20 млн ₸ |</w:t>
      </w:r>
      <w:r>
        <w:t xml:space="preserve"> </w:t>
      </w:r>
      <w:r>
        <w:rPr>
          <w:b/>
          <w:bCs/>
        </w:rPr>
        <w:t xml:space="preserve">Окупаемость:</w:t>
      </w:r>
      <w:r>
        <w:t xml:space="preserve"> </w:t>
      </w:r>
      <w:r>
        <w:t xml:space="preserve">6 месяцев</w:t>
      </w:r>
      <w:r>
        <w:br/>
      </w:r>
      <w:r>
        <w:rPr>
          <w:b/>
          <w:bCs/>
        </w:rPr>
        <w:t xml:space="preserve">Дата:</w:t>
      </w:r>
      <w:r>
        <w:t xml:space="preserve"> </w:t>
      </w:r>
      <w:r>
        <w:t xml:space="preserve">Февраль 2026 |</w:t>
      </w:r>
      <w:r>
        <w:t xml:space="preserve"> </w:t>
      </w:r>
      <w:r>
        <w:rPr>
          <w:b/>
          <w:bCs/>
        </w:rPr>
        <w:t xml:space="preserve">Локация:</w:t>
      </w:r>
      <w:r>
        <w:t xml:space="preserve"> </w:t>
      </w:r>
      <w:r>
        <w:t xml:space="preserve">Казахстан</w:t>
      </w:r>
    </w:p>
    <w:p>
      <w:r>
        <w:pict>
          <v:rect style="width:0;height:1.5pt" o:hralign="center" o:hrstd="t" o:hr="t"/>
        </w:pict>
      </w:r>
    </w:p>
    <w:bookmarkStart w:id="21" w:name="структура-документов"/>
    <w:p>
      <w:pPr>
        <w:pStyle w:val="Heading2"/>
      </w:pPr>
      <w:r>
        <w:t xml:space="preserve">📁 Структура документов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01_business_model.md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Бизнес-модель и концепция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02_production.md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Производство и оборудование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03_sales.md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Продажи и воронка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04_marketing.md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Маркетинг: Instagram, TikTok, SMM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05_team.md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Команда и штатное расписание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06_legal_taxes.md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Юридическая часть и налоги 2026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07_capex.md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Капитальные затраты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08_opex.md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Операционные затраты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09_unit_economics.md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Unit-экономика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10_financial_forecast.md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Финансовый прогноз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11_investment_model.md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Модель возврата инвестиций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12_market_analysis_astana.md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Анализ рынка Астаны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ключевые-цифры"/>
    <w:p>
      <w:pPr>
        <w:pStyle w:val="Heading2"/>
      </w:pPr>
      <w:r>
        <w:t xml:space="preserve">💰 Ключевые цифры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CAPEX</w:t>
            </w:r>
          </w:p>
        </w:tc>
        <w:tc>
          <w:tcPr/>
          <w:p>
            <w:pPr>
              <w:pStyle w:val="Compact"/>
            </w:pPr>
            <w:r>
              <w:t xml:space="preserve">9,500,000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OPEX/мес</w:t>
            </w:r>
          </w:p>
        </w:tc>
        <w:tc>
          <w:tcPr/>
          <w:p>
            <w:pPr>
              <w:pStyle w:val="Compact"/>
            </w:pPr>
            <w:r>
              <w:t xml:space="preserve">4,600,000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Требуемые инвестиции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17-20 млн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7 человек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Помещение</w:t>
            </w:r>
          </w:p>
        </w:tc>
        <w:tc>
          <w:tcPr/>
          <w:p>
            <w:pPr>
              <w:pStyle w:val="Compact"/>
            </w:pPr>
            <w:r>
              <w:t xml:space="preserve">50 м² (шоурум + производство)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Точка безубыточности</w:t>
            </w:r>
          </w:p>
        </w:tc>
        <w:tc>
          <w:tcPr/>
          <w:p>
            <w:pPr>
              <w:pStyle w:val="Compact"/>
            </w:pPr>
            <w:r>
              <w:t xml:space="preserve">Месяц 5-6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команда-сводка"/>
    <w:p>
      <w:pPr>
        <w:pStyle w:val="Heading2"/>
      </w:pPr>
      <w:r>
        <w:t xml:space="preserve">👤 Команда (сводка)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Кол-во</w:t>
            </w:r>
          </w:p>
        </w:tc>
        <w:tc>
          <w:tcPr/>
          <w:p>
            <w:pPr>
              <w:pStyle w:val="Compact"/>
            </w:pPr>
            <w:r>
              <w:t xml:space="preserve">Оклад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Собственник/Директор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750,000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Менеджер по продажам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280,000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Мастер производства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350,000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Резчик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280,000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Монтажник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300,000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SMM + Мобилограф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300,000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Бухгалтер (аутсорс)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100,000 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дорожная-карта"/>
    <w:p>
      <w:pPr>
        <w:pStyle w:val="Heading2"/>
      </w:pPr>
      <w:r>
        <w:t xml:space="preserve">📈 Дорожная карта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Месяц</w:t>
            </w:r>
          </w:p>
        </w:tc>
        <w:tc>
          <w:tcPr/>
          <w:p>
            <w:pPr>
              <w:pStyle w:val="Compact"/>
            </w:pPr>
            <w:r>
              <w:t xml:space="preserve">Этап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Запуск, первые заказы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p>
            <w:pPr>
              <w:pStyle w:val="Compact"/>
            </w:pPr>
            <w:r>
              <w:t xml:space="preserve">Рост до 15 заказов/мес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4-5</w:t>
            </w:r>
          </w:p>
        </w:tc>
        <w:tc>
          <w:tcPr/>
          <w:p>
            <w:pPr>
              <w:pStyle w:val="Compact"/>
            </w:pPr>
            <w:r>
              <w:t xml:space="preserve">Рост до 25 заказов/мес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Операционный ноль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7-12</w:t>
            </w:r>
          </w:p>
        </w:tc>
        <w:tc>
          <w:tcPr/>
          <w:p>
            <w:pPr>
              <w:pStyle w:val="Compact"/>
            </w:pPr>
            <w:r>
              <w:t xml:space="preserve">Генерация прибыли</w:t>
            </w:r>
          </w:p>
        </w:tc>
      </w:tr>
    </w:tbl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01_business_model.md" TargetMode="External" /><Relationship Type="http://schemas.openxmlformats.org/officeDocument/2006/relationships/hyperlink" Id="rId10" Target="./02_production.md" TargetMode="External" /><Relationship Type="http://schemas.openxmlformats.org/officeDocument/2006/relationships/hyperlink" Id="rId11" Target="./03_sales.md" TargetMode="External" /><Relationship Type="http://schemas.openxmlformats.org/officeDocument/2006/relationships/hyperlink" Id="rId12" Target="./04_marketing.md" TargetMode="External" /><Relationship Type="http://schemas.openxmlformats.org/officeDocument/2006/relationships/hyperlink" Id="rId13" Target="./05_team.md" TargetMode="External" /><Relationship Type="http://schemas.openxmlformats.org/officeDocument/2006/relationships/hyperlink" Id="rId14" Target="./06_legal_taxes.md" TargetMode="External" /><Relationship Type="http://schemas.openxmlformats.org/officeDocument/2006/relationships/hyperlink" Id="rId15" Target="./07_capex.md" TargetMode="External" /><Relationship Type="http://schemas.openxmlformats.org/officeDocument/2006/relationships/hyperlink" Id="rId16" Target="./08_opex.md" TargetMode="External" /><Relationship Type="http://schemas.openxmlformats.org/officeDocument/2006/relationships/hyperlink" Id="rId17" Target="./09_unit_economics.md" TargetMode="External" /><Relationship Type="http://schemas.openxmlformats.org/officeDocument/2006/relationships/hyperlink" Id="rId18" Target="./10_financial_forecast.md" TargetMode="External" /><Relationship Type="http://schemas.openxmlformats.org/officeDocument/2006/relationships/hyperlink" Id="rId19" Target="./11_investment_model.md" TargetMode="External" /><Relationship Type="http://schemas.openxmlformats.org/officeDocument/2006/relationships/hyperlink" Id="rId20" Target="./12_market_analysis_astana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01_business_model.md" TargetMode="External" /><Relationship Type="http://schemas.openxmlformats.org/officeDocument/2006/relationships/hyperlink" Id="rId10" Target="./02_production.md" TargetMode="External" /><Relationship Type="http://schemas.openxmlformats.org/officeDocument/2006/relationships/hyperlink" Id="rId11" Target="./03_sales.md" TargetMode="External" /><Relationship Type="http://schemas.openxmlformats.org/officeDocument/2006/relationships/hyperlink" Id="rId12" Target="./04_marketing.md" TargetMode="External" /><Relationship Type="http://schemas.openxmlformats.org/officeDocument/2006/relationships/hyperlink" Id="rId13" Target="./05_team.md" TargetMode="External" /><Relationship Type="http://schemas.openxmlformats.org/officeDocument/2006/relationships/hyperlink" Id="rId14" Target="./06_legal_taxes.md" TargetMode="External" /><Relationship Type="http://schemas.openxmlformats.org/officeDocument/2006/relationships/hyperlink" Id="rId15" Target="./07_capex.md" TargetMode="External" /><Relationship Type="http://schemas.openxmlformats.org/officeDocument/2006/relationships/hyperlink" Id="rId16" Target="./08_opex.md" TargetMode="External" /><Relationship Type="http://schemas.openxmlformats.org/officeDocument/2006/relationships/hyperlink" Id="rId17" Target="./09_unit_economics.md" TargetMode="External" /><Relationship Type="http://schemas.openxmlformats.org/officeDocument/2006/relationships/hyperlink" Id="rId18" Target="./10_financial_forecast.md" TargetMode="External" /><Relationship Type="http://schemas.openxmlformats.org/officeDocument/2006/relationships/hyperlink" Id="rId19" Target="./11_investment_model.md" TargetMode="External" /><Relationship Type="http://schemas.openxmlformats.org/officeDocument/2006/relationships/hyperlink" Id="rId20" Target="./12_market_analysis_astana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2026-02-07T11:02:05Z</dcterms:created>
  <dcterms:modified xsi:type="dcterms:W3CDTF">2026-02-07T11:02:05Z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