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блок-9-unit-экономика"/>
    <w:p>
      <w:pPr>
        <w:pStyle w:val="Heading1"/>
      </w:pPr>
      <w:r>
        <w:t xml:space="preserve">📈 БЛОК 9: UNIT-ЭКОНОМИКА</w:t>
      </w:r>
    </w:p>
    <w:bookmarkStart w:id="12" w:name="типовой-заказ-ванная-комната-10-м²"/>
    <w:p>
      <w:pPr>
        <w:pStyle w:val="Heading2"/>
      </w:pPr>
      <w:r>
        <w:t xml:space="preserve">Типовой заказ: Ванная комната (10 м²)</w:t>
      </w:r>
    </w:p>
    <w:bookmarkStart w:id="9" w:name="структура-выручки"/>
    <w:p>
      <w:pPr>
        <w:pStyle w:val="Heading3"/>
      </w:pPr>
      <w:r>
        <w:t xml:space="preserve">Структура выручки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Позиция</w:t>
            </w:r>
          </w:p>
        </w:tc>
        <w:tc>
          <w:tcPr/>
          <w:p>
            <w:pPr>
              <w:pStyle w:val="Compact"/>
            </w:pPr>
            <w:r>
              <w:t xml:space="preserve">Расчет</w:t>
            </w:r>
          </w:p>
        </w:tc>
        <w:tc>
          <w:tcPr/>
          <w:p>
            <w:pPr>
              <w:pStyle w:val="Compact"/>
            </w:pPr>
            <w:r>
              <w:t xml:space="preserve">Выручка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Керамогранит</w:t>
            </w:r>
          </w:p>
        </w:tc>
        <w:tc>
          <w:tcPr/>
          <w:p>
            <w:pPr>
              <w:pStyle w:val="Compact"/>
            </w:pPr>
            <w:r>
              <w:t xml:space="preserve">10 м² × 10,000 ₸</w:t>
            </w:r>
          </w:p>
        </w:tc>
        <w:tc>
          <w:tcPr/>
          <w:p>
            <w:pPr>
              <w:pStyle w:val="Compact"/>
            </w:pPr>
            <w:r>
              <w:t xml:space="preserve">100,000 ₸</w:t>
            </w:r>
          </w:p>
        </w:tc>
      </w:tr>
      <w:tr>
        <w:tc>
          <w:tcPr/>
          <w:p>
            <w:pPr>
              <w:pStyle w:val="Compact"/>
            </w:pPr>
            <w:r>
              <w:t xml:space="preserve">Нарезка</w:t>
            </w:r>
          </w:p>
        </w:tc>
        <w:tc>
          <w:tcPr/>
          <w:p>
            <w:pPr>
              <w:pStyle w:val="Compact"/>
            </w:pPr>
            <w:r>
              <w:t xml:space="preserve">10 м² × 2,500 ₸</w:t>
            </w:r>
          </w:p>
        </w:tc>
        <w:tc>
          <w:tcPr/>
          <w:p>
            <w:pPr>
              <w:pStyle w:val="Compact"/>
            </w:pPr>
            <w:r>
              <w:t xml:space="preserve">25,000 ₸</w:t>
            </w:r>
          </w:p>
        </w:tc>
      </w:tr>
      <w:tr>
        <w:tc>
          <w:tcPr/>
          <w:p>
            <w:pPr>
              <w:pStyle w:val="Compact"/>
            </w:pPr>
            <w:r>
              <w:t xml:space="preserve">Доставка</w:t>
            </w:r>
          </w:p>
        </w:tc>
        <w:tc>
          <w:tcPr/>
          <w:p>
            <w:pPr>
              <w:pStyle w:val="Compact"/>
            </w:pPr>
            <w:r>
              <w:t xml:space="preserve">фикс</w:t>
            </w:r>
          </w:p>
        </w:tc>
        <w:tc>
          <w:tcPr/>
          <w:p>
            <w:pPr>
              <w:pStyle w:val="Compact"/>
            </w:pPr>
            <w:r>
              <w:t xml:space="preserve">20,000 ₸</w:t>
            </w:r>
          </w:p>
        </w:tc>
      </w:tr>
      <w:tr>
        <w:tc>
          <w:tcPr/>
          <w:p>
            <w:pPr>
              <w:pStyle w:val="Compact"/>
            </w:pPr>
            <w:r>
              <w:t xml:space="preserve">Монтаж</w:t>
            </w:r>
          </w:p>
        </w:tc>
        <w:tc>
          <w:tcPr/>
          <w:p>
            <w:pPr>
              <w:pStyle w:val="Compact"/>
            </w:pPr>
            <w:r>
              <w:t xml:space="preserve">10 м² × 8,000 ₸</w:t>
            </w:r>
          </w:p>
        </w:tc>
        <w:tc>
          <w:tcPr/>
          <w:p>
            <w:pPr>
              <w:pStyle w:val="Compact"/>
            </w:pPr>
            <w:r>
              <w:t xml:space="preserve">80,000 ₸</w:t>
            </w:r>
          </w:p>
        </w:tc>
      </w:tr>
      <w:tr>
        <w:tc>
          <w:tcPr/>
          <w:p>
            <w:pPr>
              <w:pStyle w:val="Compact"/>
            </w:pPr>
            <w:r>
              <w:t xml:space="preserve">Клей, затирка</w:t>
            </w:r>
          </w:p>
        </w:tc>
        <w:tc>
          <w:tcPr/>
          <w:p>
            <w:pPr>
              <w:pStyle w:val="Compact"/>
            </w:pPr>
            <w:r>
              <w:t xml:space="preserve">фикс</w:t>
            </w:r>
          </w:p>
        </w:tc>
        <w:tc>
          <w:tcPr/>
          <w:p>
            <w:pPr>
              <w:pStyle w:val="Compact"/>
            </w:pPr>
            <w:r>
              <w:t xml:space="preserve">15,000 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ИТОГО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240,000 ₸</w:t>
            </w:r>
          </w:p>
        </w:tc>
      </w:tr>
    </w:tbl>
    <w:bookmarkEnd w:id="9"/>
    <w:bookmarkStart w:id="10" w:name="структура-себестоимости"/>
    <w:p>
      <w:pPr>
        <w:pStyle w:val="Heading3"/>
      </w:pPr>
      <w:r>
        <w:t xml:space="preserve">Структура себестоимости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Позиция</w:t>
            </w:r>
          </w:p>
        </w:tc>
        <w:tc>
          <w:tcPr/>
          <w:p>
            <w:pPr>
              <w:pStyle w:val="Compact"/>
            </w:pPr>
            <w:r>
              <w:t xml:space="preserve">Расчет</w:t>
            </w:r>
          </w:p>
        </w:tc>
        <w:tc>
          <w:tcPr/>
          <w:p>
            <w:pPr>
              <w:pStyle w:val="Compact"/>
            </w:pPr>
            <w:r>
              <w:t xml:space="preserve">Затраты</w:t>
            </w:r>
          </w:p>
        </w:tc>
      </w:tr>
      <w:tr>
        <w:tc>
          <w:tcPr/>
          <w:p>
            <w:pPr>
              <w:pStyle w:val="Compact"/>
            </w:pPr>
            <w:r>
              <w:t xml:space="preserve">Керамогранит (закуп)</w:t>
            </w:r>
          </w:p>
        </w:tc>
        <w:tc>
          <w:tcPr/>
          <w:p>
            <w:pPr>
              <w:pStyle w:val="Compact"/>
            </w:pPr>
            <w:r>
              <w:t xml:space="preserve">10 м² × 4,500 ₸</w:t>
            </w:r>
          </w:p>
        </w:tc>
        <w:tc>
          <w:tcPr/>
          <w:p>
            <w:pPr>
              <w:pStyle w:val="Compact"/>
            </w:pPr>
            <w:r>
              <w:t xml:space="preserve">45,000 ₸</w:t>
            </w:r>
          </w:p>
        </w:tc>
      </w:tr>
      <w:tr>
        <w:tc>
          <w:tcPr/>
          <w:p>
            <w:pPr>
              <w:pStyle w:val="Compact"/>
            </w:pPr>
            <w:r>
              <w:t xml:space="preserve">Диски, расходники</w:t>
            </w:r>
          </w:p>
        </w:tc>
        <w:tc>
          <w:tcPr/>
          <w:p>
            <w:pPr>
              <w:pStyle w:val="Compact"/>
            </w:pPr>
            <w:r>
              <w:t xml:space="preserve">фикс</w:t>
            </w:r>
          </w:p>
        </w:tc>
        <w:tc>
          <w:tcPr/>
          <w:p>
            <w:pPr>
              <w:pStyle w:val="Compact"/>
            </w:pPr>
            <w:r>
              <w:t xml:space="preserve">5,000 ₸</w:t>
            </w:r>
          </w:p>
        </w:tc>
      </w:tr>
      <w:tr>
        <w:tc>
          <w:tcPr/>
          <w:p>
            <w:pPr>
              <w:pStyle w:val="Compact"/>
            </w:pPr>
            <w:r>
              <w:t xml:space="preserve">Топливо</w:t>
            </w:r>
          </w:p>
        </w:tc>
        <w:tc>
          <w:tcPr/>
          <w:p>
            <w:pPr>
              <w:pStyle w:val="Compact"/>
            </w:pPr>
            <w:r>
              <w:t xml:space="preserve">фикс</w:t>
            </w:r>
          </w:p>
        </w:tc>
        <w:tc>
          <w:tcPr/>
          <w:p>
            <w:pPr>
              <w:pStyle w:val="Compact"/>
            </w:pPr>
            <w:r>
              <w:t xml:space="preserve">6,000 ₸</w:t>
            </w:r>
          </w:p>
        </w:tc>
      </w:tr>
      <w:tr>
        <w:tc>
          <w:tcPr/>
          <w:p>
            <w:pPr>
              <w:pStyle w:val="Compact"/>
            </w:pPr>
            <w:r>
              <w:t xml:space="preserve">ЗП монтажников (сдельно)</w:t>
            </w:r>
          </w:p>
        </w:tc>
        <w:tc>
          <w:tcPr/>
          <w:p>
            <w:pPr>
              <w:pStyle w:val="Compact"/>
            </w:pPr>
            <w:r>
              <w:t xml:space="preserve">фикс</w:t>
            </w:r>
          </w:p>
        </w:tc>
        <w:tc>
          <w:tcPr/>
          <w:p>
            <w:pPr>
              <w:pStyle w:val="Compact"/>
            </w:pPr>
            <w:r>
              <w:t xml:space="preserve">30,000 ₸</w:t>
            </w:r>
          </w:p>
        </w:tc>
      </w:tr>
      <w:tr>
        <w:tc>
          <w:tcPr/>
          <w:p>
            <w:pPr>
              <w:pStyle w:val="Compact"/>
            </w:pPr>
            <w:r>
              <w:t xml:space="preserve">Клей, затирка (закуп)</w:t>
            </w:r>
          </w:p>
        </w:tc>
        <w:tc>
          <w:tcPr/>
          <w:p>
            <w:pPr>
              <w:pStyle w:val="Compact"/>
            </w:pPr>
            <w:r>
              <w:t xml:space="preserve">фикс</w:t>
            </w:r>
          </w:p>
        </w:tc>
        <w:tc>
          <w:tcPr/>
          <w:p>
            <w:pPr>
              <w:pStyle w:val="Compact"/>
            </w:pPr>
            <w:r>
              <w:t xml:space="preserve">9,000 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ИТОГО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95,000 ₸</w:t>
            </w:r>
          </w:p>
        </w:tc>
      </w:tr>
    </w:tbl>
    <w:bookmarkEnd w:id="10"/>
    <w:bookmarkStart w:id="11" w:name="маржинальность"/>
    <w:p>
      <w:pPr>
        <w:pStyle w:val="Heading3"/>
      </w:pPr>
      <w:r>
        <w:t xml:space="preserve">Маржинальность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Показатель</w:t>
            </w:r>
          </w:p>
        </w:tc>
        <w:tc>
          <w:tcPr/>
          <w:p>
            <w:pPr>
              <w:pStyle w:val="Compact"/>
            </w:pPr>
            <w:r>
              <w:t xml:space="preserve">Значение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Выручка</w:t>
            </w:r>
          </w:p>
        </w:tc>
        <w:tc>
          <w:tcPr/>
          <w:p>
            <w:pPr>
              <w:pStyle w:val="Compact"/>
            </w:pPr>
            <w:r>
              <w:t xml:space="preserve">240,000 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Себестоимость</w:t>
            </w:r>
          </w:p>
        </w:tc>
        <w:tc>
          <w:tcPr/>
          <w:p>
            <w:pPr>
              <w:pStyle w:val="Compact"/>
            </w:pPr>
            <w:r>
              <w:t xml:space="preserve">95,000 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Валовая прибыль</w:t>
            </w:r>
          </w:p>
        </w:tc>
        <w:tc>
          <w:tcPr/>
          <w:p>
            <w:pPr>
              <w:pStyle w:val="Compact"/>
            </w:pPr>
            <w:r>
              <w:t xml:space="preserve">145,000 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Маржа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60%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"/>
    <w:bookmarkEnd w:id="12"/>
    <w:bookmarkStart w:id="13" w:name="средние-показатели-по-типам-заказов"/>
    <w:p>
      <w:pPr>
        <w:pStyle w:val="Heading2"/>
      </w:pPr>
      <w:r>
        <w:t xml:space="preserve">Средние показатели по типам заказов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Тип заказа</w:t>
            </w:r>
          </w:p>
        </w:tc>
        <w:tc>
          <w:tcPr/>
          <w:p>
            <w:pPr>
              <w:pStyle w:val="Compact"/>
            </w:pPr>
            <w:r>
              <w:t xml:space="preserve">Площадь</w:t>
            </w:r>
          </w:p>
        </w:tc>
        <w:tc>
          <w:tcPr/>
          <w:p>
            <w:pPr>
              <w:pStyle w:val="Compact"/>
            </w:pPr>
            <w:r>
              <w:t xml:space="preserve">Выручка</w:t>
            </w:r>
          </w:p>
        </w:tc>
        <w:tc>
          <w:tcPr/>
          <w:p>
            <w:pPr>
              <w:pStyle w:val="Compact"/>
            </w:pPr>
            <w:r>
              <w:t xml:space="preserve">Себестоимость</w:t>
            </w:r>
          </w:p>
        </w:tc>
        <w:tc>
          <w:tcPr/>
          <w:p>
            <w:pPr>
              <w:pStyle w:val="Compact"/>
            </w:pPr>
            <w:r>
              <w:t xml:space="preserve">Маржа</w:t>
            </w:r>
          </w:p>
        </w:tc>
        <w:tc>
          <w:tcPr/>
          <w:p>
            <w:pPr>
              <w:pStyle w:val="Compact"/>
            </w:pPr>
            <w:r>
              <w:t xml:space="preserve">Маржа %</w:t>
            </w:r>
          </w:p>
        </w:tc>
      </w:tr>
      <w:tr>
        <w:tc>
          <w:tcPr/>
          <w:p>
            <w:pPr>
              <w:pStyle w:val="Compact"/>
            </w:pPr>
            <w:r>
              <w:t xml:space="preserve">Кухонный фартук</w:t>
            </w:r>
          </w:p>
        </w:tc>
        <w:tc>
          <w:tcPr/>
          <w:p>
            <w:pPr>
              <w:pStyle w:val="Compact"/>
            </w:pPr>
            <w:r>
              <w:t xml:space="preserve">4 м²</w:t>
            </w:r>
          </w:p>
        </w:tc>
        <w:tc>
          <w:tcPr/>
          <w:p>
            <w:pPr>
              <w:pStyle w:val="Compact"/>
            </w:pPr>
            <w:r>
              <w:t xml:space="preserve">120,000 ₸</w:t>
            </w:r>
          </w:p>
        </w:tc>
        <w:tc>
          <w:tcPr/>
          <w:p>
            <w:pPr>
              <w:pStyle w:val="Compact"/>
            </w:pPr>
            <w:r>
              <w:t xml:space="preserve">48,000 ₸</w:t>
            </w:r>
          </w:p>
        </w:tc>
        <w:tc>
          <w:tcPr/>
          <w:p>
            <w:pPr>
              <w:pStyle w:val="Compact"/>
            </w:pPr>
            <w:r>
              <w:t xml:space="preserve">72,000 ₸</w:t>
            </w:r>
          </w:p>
        </w:tc>
        <w:tc>
          <w:tcPr/>
          <w:p>
            <w:pPr>
              <w:pStyle w:val="Compact"/>
            </w:pPr>
            <w:r>
              <w:t xml:space="preserve">60%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Ванная комната</w:t>
            </w:r>
          </w:p>
        </w:tc>
        <w:tc>
          <w:tcPr/>
          <w:p>
            <w:pPr>
              <w:pStyle w:val="Compact"/>
            </w:pPr>
            <w:r>
              <w:t xml:space="preserve">10 м²</w:t>
            </w:r>
          </w:p>
        </w:tc>
        <w:tc>
          <w:tcPr/>
          <w:p>
            <w:pPr>
              <w:pStyle w:val="Compact"/>
            </w:pPr>
            <w:r>
              <w:t xml:space="preserve">280,000 ₸</w:t>
            </w:r>
          </w:p>
        </w:tc>
        <w:tc>
          <w:tcPr/>
          <w:p>
            <w:pPr>
              <w:pStyle w:val="Compact"/>
            </w:pPr>
            <w:r>
              <w:t xml:space="preserve">112,000 ₸</w:t>
            </w:r>
          </w:p>
        </w:tc>
        <w:tc>
          <w:tcPr/>
          <w:p>
            <w:pPr>
              <w:pStyle w:val="Compact"/>
            </w:pPr>
            <w:r>
              <w:t xml:space="preserve">168,000 ₸</w:t>
            </w:r>
          </w:p>
        </w:tc>
        <w:tc>
          <w:tcPr/>
          <w:p>
            <w:pPr>
              <w:pStyle w:val="Compact"/>
            </w:pPr>
            <w:r>
              <w:t xml:space="preserve">60%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Пол (комната)</w:t>
            </w:r>
          </w:p>
        </w:tc>
        <w:tc>
          <w:tcPr/>
          <w:p>
            <w:pPr>
              <w:pStyle w:val="Compact"/>
            </w:pPr>
            <w:r>
              <w:t xml:space="preserve">20 м²</w:t>
            </w:r>
          </w:p>
        </w:tc>
        <w:tc>
          <w:tcPr/>
          <w:p>
            <w:pPr>
              <w:pStyle w:val="Compact"/>
            </w:pPr>
            <w:r>
              <w:t xml:space="preserve">480,000 ₸</w:t>
            </w:r>
          </w:p>
        </w:tc>
        <w:tc>
          <w:tcPr/>
          <w:p>
            <w:pPr>
              <w:pStyle w:val="Compact"/>
            </w:pPr>
            <w:r>
              <w:t xml:space="preserve">192,000 ₸</w:t>
            </w:r>
          </w:p>
        </w:tc>
        <w:tc>
          <w:tcPr/>
          <w:p>
            <w:pPr>
              <w:pStyle w:val="Compact"/>
            </w:pPr>
            <w:r>
              <w:t xml:space="preserve">288,000 ₸</w:t>
            </w:r>
          </w:p>
        </w:tc>
        <w:tc>
          <w:tcPr/>
          <w:p>
            <w:pPr>
              <w:pStyle w:val="Compact"/>
            </w:pPr>
            <w:r>
              <w:t xml:space="preserve">60%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Пол (квартира)</w:t>
            </w:r>
          </w:p>
        </w:tc>
        <w:tc>
          <w:tcPr/>
          <w:p>
            <w:pPr>
              <w:pStyle w:val="Compact"/>
            </w:pPr>
            <w:r>
              <w:t xml:space="preserve">50 м²</w:t>
            </w:r>
          </w:p>
        </w:tc>
        <w:tc>
          <w:tcPr/>
          <w:p>
            <w:pPr>
              <w:pStyle w:val="Compact"/>
            </w:pPr>
            <w:r>
              <w:t xml:space="preserve">1,100,000 ₸</w:t>
            </w:r>
          </w:p>
        </w:tc>
        <w:tc>
          <w:tcPr/>
          <w:p>
            <w:pPr>
              <w:pStyle w:val="Compact"/>
            </w:pPr>
            <w:r>
              <w:t xml:space="preserve">440,000 ₸</w:t>
            </w:r>
          </w:p>
        </w:tc>
        <w:tc>
          <w:tcPr/>
          <w:p>
            <w:pPr>
              <w:pStyle w:val="Compact"/>
            </w:pPr>
            <w:r>
              <w:t xml:space="preserve">660,000 ₸</w:t>
            </w:r>
          </w:p>
        </w:tc>
        <w:tc>
          <w:tcPr/>
          <w:p>
            <w:pPr>
              <w:pStyle w:val="Compact"/>
            </w:pPr>
            <w:r>
              <w:t xml:space="preserve">60%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"/>
    <w:bookmarkStart w:id="14" w:name="средний-чек"/>
    <w:p>
      <w:pPr>
        <w:pStyle w:val="Heading2"/>
      </w:pPr>
      <w:r>
        <w:t xml:space="preserve">Средний чек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Тип заказа</w:t>
            </w:r>
          </w:p>
        </w:tc>
        <w:tc>
          <w:tcPr/>
          <w:p>
            <w:pPr>
              <w:pStyle w:val="Compact"/>
            </w:pPr>
            <w:r>
              <w:t xml:space="preserve">Доля</w:t>
            </w:r>
          </w:p>
        </w:tc>
        <w:tc>
          <w:tcPr/>
          <w:p>
            <w:pPr>
              <w:pStyle w:val="Compact"/>
            </w:pPr>
            <w:r>
              <w:t xml:space="preserve">Ср. чек</w:t>
            </w:r>
          </w:p>
        </w:tc>
        <w:tc>
          <w:tcPr/>
          <w:p>
            <w:pPr>
              <w:pStyle w:val="Compact"/>
            </w:pPr>
            <w:r>
              <w:t xml:space="preserve">Взвешенный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Фартук</w:t>
            </w:r>
          </w:p>
        </w:tc>
        <w:tc>
          <w:tcPr/>
          <w:p>
            <w:pPr>
              <w:pStyle w:val="Compact"/>
            </w:pPr>
            <w:r>
              <w:t xml:space="preserve">35%</w:t>
            </w:r>
          </w:p>
        </w:tc>
        <w:tc>
          <w:tcPr/>
          <w:p>
            <w:pPr>
              <w:pStyle w:val="Compact"/>
            </w:pPr>
            <w:r>
              <w:t xml:space="preserve">150,000 ₸</w:t>
            </w:r>
          </w:p>
        </w:tc>
        <w:tc>
          <w:tcPr/>
          <w:p>
            <w:pPr>
              <w:pStyle w:val="Compact"/>
            </w:pPr>
            <w:r>
              <w:t xml:space="preserve">52,500 ₸</w:t>
            </w:r>
          </w:p>
        </w:tc>
      </w:tr>
      <w:tr>
        <w:tc>
          <w:tcPr/>
          <w:p>
            <w:pPr>
              <w:pStyle w:val="Compact"/>
            </w:pPr>
            <w:r>
              <w:t xml:space="preserve">Ванная</w:t>
            </w:r>
          </w:p>
        </w:tc>
        <w:tc>
          <w:tcPr/>
          <w:p>
            <w:pPr>
              <w:pStyle w:val="Compact"/>
            </w:pPr>
            <w:r>
              <w:t xml:space="preserve">40%</w:t>
            </w:r>
          </w:p>
        </w:tc>
        <w:tc>
          <w:tcPr/>
          <w:p>
            <w:pPr>
              <w:pStyle w:val="Compact"/>
            </w:pPr>
            <w:r>
              <w:t xml:space="preserve">350,000 ₸</w:t>
            </w:r>
          </w:p>
        </w:tc>
        <w:tc>
          <w:tcPr/>
          <w:p>
            <w:pPr>
              <w:pStyle w:val="Compact"/>
            </w:pPr>
            <w:r>
              <w:t xml:space="preserve">140,000 ₸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Пол комнаты</w:t>
            </w:r>
          </w:p>
        </w:tc>
        <w:tc>
          <w:tcPr/>
          <w:p>
            <w:pPr>
              <w:pStyle w:val="Compact"/>
            </w:pPr>
            <w:r>
              <w:t xml:space="preserve">20%</w:t>
            </w:r>
          </w:p>
        </w:tc>
        <w:tc>
          <w:tcPr/>
          <w:p>
            <w:pPr>
              <w:pStyle w:val="Compact"/>
            </w:pPr>
            <w:r>
              <w:t xml:space="preserve">500,000 ₸</w:t>
            </w:r>
          </w:p>
        </w:tc>
        <w:tc>
          <w:tcPr/>
          <w:p>
            <w:pPr>
              <w:pStyle w:val="Compact"/>
            </w:pPr>
            <w:r>
              <w:t xml:space="preserve">100,000 ₸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Прочее</w:t>
            </w:r>
          </w:p>
        </w:tc>
        <w:tc>
          <w:tcPr/>
          <w:p>
            <w:pPr>
              <w:pStyle w:val="Compact"/>
            </w:pPr>
            <w:r>
              <w:t xml:space="preserve">5%</w:t>
            </w:r>
          </w:p>
        </w:tc>
        <w:tc>
          <w:tcPr/>
          <w:p>
            <w:pPr>
              <w:pStyle w:val="Compact"/>
            </w:pPr>
            <w:r>
              <w:t xml:space="preserve">120,000 ₸</w:t>
            </w:r>
          </w:p>
        </w:tc>
        <w:tc>
          <w:tcPr/>
          <w:p>
            <w:pPr>
              <w:pStyle w:val="Compact"/>
            </w:pPr>
            <w:r>
              <w:t xml:space="preserve">6,000 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Средний чек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~300,000 ₸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"/>
    <w:bookmarkStart w:id="15" w:name="точка-безубыточности"/>
    <w:p>
      <w:pPr>
        <w:pStyle w:val="Heading2"/>
      </w:pPr>
      <w:r>
        <w:t xml:space="preserve">Точка безубыточности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Показатель</w:t>
            </w:r>
          </w:p>
        </w:tc>
        <w:tc>
          <w:tcPr/>
          <w:p>
            <w:pPr>
              <w:pStyle w:val="Compact"/>
            </w:pPr>
            <w:r>
              <w:t xml:space="preserve">Значение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OPEX/мес</w:t>
            </w:r>
          </w:p>
        </w:tc>
        <w:tc>
          <w:tcPr/>
          <w:p>
            <w:pPr>
              <w:pStyle w:val="Compact"/>
            </w:pPr>
            <w:r>
              <w:t xml:space="preserve">4,600,000 ₸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Средний чек</w:t>
            </w:r>
          </w:p>
        </w:tc>
        <w:tc>
          <w:tcPr/>
          <w:p>
            <w:pPr>
              <w:pStyle w:val="Compact"/>
            </w:pPr>
            <w:r>
              <w:t xml:space="preserve">300,000 ₸</w:t>
            </w:r>
          </w:p>
        </w:tc>
      </w:tr>
      <w:tr>
        <w:tc>
          <w:tcPr/>
          <w:p>
            <w:pPr>
              <w:pStyle w:val="Compact"/>
            </w:pPr>
            <w:r>
              <w:t xml:space="preserve">Маржа заказа (50%)*</w:t>
            </w:r>
          </w:p>
        </w:tc>
        <w:tc>
          <w:tcPr/>
          <w:p>
            <w:pPr>
              <w:pStyle w:val="Compact"/>
            </w:pPr>
            <w:r>
              <w:t xml:space="preserve">150,000 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Заказов для безубыточности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~31 заказ/мес</w:t>
            </w:r>
          </w:p>
        </w:tc>
      </w:tr>
    </w:tbl>
    <w:p>
      <w:pPr>
        <w:pStyle w:val="BlockText"/>
      </w:pPr>
      <w:r>
        <w:t xml:space="preserve">*50% — консервативная оценка с учетом переменных затрат</w:t>
      </w:r>
    </w:p>
    <w:p>
      <w:r>
        <w:pict>
          <v:rect style="width:0;height:1.5pt" o:hralign="center" o:hrstd="t" o:hr="t"/>
        </w:pict>
      </w:r>
    </w:p>
    <w:bookmarkEnd w:id="15"/>
    <w:bookmarkStart w:id="16" w:name="unit-экономика-маркетинга"/>
    <w:p>
      <w:pPr>
        <w:pStyle w:val="Heading2"/>
      </w:pPr>
      <w:r>
        <w:t xml:space="preserve">Unit-экономика маркетинга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Показатель</w:t>
            </w:r>
          </w:p>
        </w:tc>
        <w:tc>
          <w:tcPr/>
          <w:p>
            <w:pPr>
              <w:pStyle w:val="Compact"/>
            </w:pPr>
            <w:r>
              <w:t xml:space="preserve">Значение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Бюджет таргета</w:t>
            </w:r>
          </w:p>
        </w:tc>
        <w:tc>
          <w:tcPr/>
          <w:p>
            <w:pPr>
              <w:pStyle w:val="Compact"/>
            </w:pPr>
            <w:r>
              <w:t xml:space="preserve">250,000 ₸/мес</w:t>
            </w:r>
          </w:p>
        </w:tc>
      </w:tr>
      <w:tr>
        <w:tc>
          <w:tcPr/>
          <w:p>
            <w:pPr>
              <w:pStyle w:val="Compact"/>
            </w:pPr>
            <w:r>
              <w:t xml:space="preserve">Лиды из Instagram</w:t>
            </w:r>
          </w:p>
        </w:tc>
        <w:tc>
          <w:tcPr/>
          <w:p>
            <w:pPr>
              <w:pStyle w:val="Compact"/>
            </w:pPr>
            <w:r>
              <w:t xml:space="preserve">40</w:t>
            </w:r>
          </w:p>
        </w:tc>
      </w:tr>
      <w:tr>
        <w:tc>
          <w:tcPr/>
          <w:p>
            <w:pPr>
              <w:pStyle w:val="Compact"/>
            </w:pPr>
            <w:r>
              <w:t xml:space="preserve">Лиды из TikTok (органика)</w:t>
            </w:r>
          </w:p>
        </w:tc>
        <w:tc>
          <w:tcPr/>
          <w:p>
            <w:pPr>
              <w:pStyle w:val="Compact"/>
            </w:pPr>
            <w:r>
              <w:t xml:space="preserve">15</w:t>
            </w:r>
          </w:p>
        </w:tc>
      </w:tr>
      <w:tr>
        <w:tc>
          <w:tcPr/>
          <w:p>
            <w:pPr>
              <w:pStyle w:val="Compact"/>
            </w:pPr>
            <w:r>
              <w:t xml:space="preserve">Лиды из сарафана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Всего лидов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60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CAC (платные)</w:t>
            </w:r>
          </w:p>
        </w:tc>
        <w:tc>
          <w:tcPr/>
          <w:p>
            <w:pPr>
              <w:pStyle w:val="Compact"/>
            </w:pPr>
            <w:r>
              <w:t xml:space="preserve">6,250 ₸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CAC (общий)</w:t>
            </w:r>
          </w:p>
        </w:tc>
        <w:tc>
          <w:tcPr/>
          <w:p>
            <w:pPr>
              <w:pStyle w:val="Compact"/>
            </w:pPr>
            <w:r>
              <w:t xml:space="preserve">4,167 ₸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6"/>
    <w:bookmarkStart w:id="17" w:name="cac-vs-ltv"/>
    <w:p>
      <w:pPr>
        <w:pStyle w:val="Heading2"/>
      </w:pPr>
      <w:r>
        <w:t xml:space="preserve">CAC vs LTV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Метрика</w:t>
            </w:r>
          </w:p>
        </w:tc>
        <w:tc>
          <w:tcPr/>
          <w:p>
            <w:pPr>
              <w:pStyle w:val="Compact"/>
            </w:pPr>
            <w:r>
              <w:t xml:space="preserve">Расчет</w:t>
            </w:r>
          </w:p>
        </w:tc>
        <w:tc>
          <w:tcPr/>
          <w:p>
            <w:pPr>
              <w:pStyle w:val="Compact"/>
            </w:pPr>
            <w:r>
              <w:t xml:space="preserve">Значение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CAC</w:t>
            </w:r>
          </w:p>
        </w:tc>
        <w:tc>
          <w:tcPr/>
          <w:p>
            <w:pPr>
              <w:pStyle w:val="Compact"/>
            </w:pPr>
            <w:r>
              <w:t xml:space="preserve">250,000 / 60</w:t>
            </w:r>
          </w:p>
        </w:tc>
        <w:tc>
          <w:tcPr/>
          <w:p>
            <w:pPr>
              <w:pStyle w:val="Compact"/>
            </w:pPr>
            <w:r>
              <w:t xml:space="preserve">4,167 ₸</w:t>
            </w:r>
          </w:p>
        </w:tc>
      </w:tr>
      <w:tr>
        <w:tc>
          <w:tcPr/>
          <w:p>
            <w:pPr>
              <w:pStyle w:val="Compact"/>
            </w:pPr>
            <w:r>
              <w:t xml:space="preserve">Конверсия лид→заказ</w:t>
            </w:r>
          </w:p>
        </w:tc>
        <w:tc>
          <w:tcPr/>
          <w:p>
            <w:pPr>
              <w:pStyle w:val="Compact"/>
            </w:pPr>
            <w:r>
              <w:t xml:space="preserve">26%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Стоимость клиента</w:t>
            </w:r>
          </w:p>
        </w:tc>
        <w:tc>
          <w:tcPr/>
          <w:p>
            <w:pPr>
              <w:pStyle w:val="Compact"/>
            </w:pPr>
            <w:r>
              <w:t xml:space="preserve">4,167 / 26%</w:t>
            </w:r>
          </w:p>
        </w:tc>
        <w:tc>
          <w:tcPr/>
          <w:p>
            <w:pPr>
              <w:pStyle w:val="Compact"/>
            </w:pPr>
            <w:r>
              <w:t xml:space="preserve">16,000 ₸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Средний чек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300,000 ₸</w:t>
            </w:r>
          </w:p>
        </w:tc>
      </w:tr>
      <w:tr>
        <w:tc>
          <w:tcPr/>
          <w:p>
            <w:pPr>
              <w:pStyle w:val="Compact"/>
            </w:pPr>
            <w:r>
              <w:t xml:space="preserve">Маржа с заказа</w:t>
            </w:r>
          </w:p>
        </w:tc>
        <w:tc>
          <w:tcPr/>
          <w:p>
            <w:pPr>
              <w:pStyle w:val="Compact"/>
            </w:pPr>
            <w:r>
              <w:t xml:space="preserve">50%</w:t>
            </w:r>
          </w:p>
        </w:tc>
        <w:tc>
          <w:tcPr/>
          <w:p>
            <w:pPr>
              <w:pStyle w:val="Compact"/>
            </w:pPr>
            <w:r>
              <w:t xml:space="preserve">150,000 ₸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Повторные покупки</w:t>
            </w:r>
          </w:p>
        </w:tc>
        <w:tc>
          <w:tcPr/>
          <w:p>
            <w:pPr>
              <w:pStyle w:val="Compact"/>
            </w:pPr>
            <w:r>
              <w:t xml:space="preserve">20%</w:t>
            </w:r>
          </w:p>
        </w:tc>
        <w:tc>
          <w:tcPr/>
          <w:p>
            <w:pPr>
              <w:pStyle w:val="Compact"/>
            </w:pPr>
            <w:r>
              <w:t xml:space="preserve">+30,000 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LTV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180,000 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LTV / CAC</w:t>
            </w:r>
          </w:p>
        </w:tc>
        <w:tc>
          <w:tcPr/>
          <w:p>
            <w:pPr>
              <w:pStyle w:val="Compact"/>
            </w:pPr>
            <w:r>
              <w:t xml:space="preserve">180,000 / 16,000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11x</w:t>
            </w:r>
            <w:r>
              <w:t xml:space="preserve"> </w:t>
            </w:r>
            <w:r>
              <w:t xml:space="preserve">✅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7"/>
    <w:bookmarkStart w:id="19" w:name="месячная-unit-экономика-план"/>
    <w:p>
      <w:pPr>
        <w:pStyle w:val="Heading2"/>
      </w:pPr>
      <w:r>
        <w:t xml:space="preserve">Месячная unit-экономика (план)</w:t>
      </w:r>
    </w:p>
    <w:bookmarkStart w:id="18" w:name="месяц-6-целевой"/>
    <w:p>
      <w:pPr>
        <w:pStyle w:val="Heading3"/>
      </w:pPr>
      <w:r>
        <w:t xml:space="preserve">Месяц 6 (целевой)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Показатель</w:t>
            </w:r>
          </w:p>
        </w:tc>
        <w:tc>
          <w:tcPr/>
          <w:p>
            <w:pPr>
              <w:pStyle w:val="Compact"/>
            </w:pPr>
            <w:r>
              <w:t xml:space="preserve">Значение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Лиды</w:t>
            </w:r>
          </w:p>
        </w:tc>
        <w:tc>
          <w:tcPr/>
          <w:p>
            <w:pPr>
              <w:pStyle w:val="Compact"/>
            </w:pPr>
            <w:r>
              <w:t xml:space="preserve">70</w:t>
            </w:r>
          </w:p>
        </w:tc>
      </w:tr>
      <w:tr>
        <w:tc>
          <w:tcPr/>
          <w:p>
            <w:pPr>
              <w:pStyle w:val="Compact"/>
            </w:pPr>
            <w:r>
              <w:t xml:space="preserve">Заказы</w:t>
            </w:r>
          </w:p>
        </w:tc>
        <w:tc>
          <w:tcPr/>
          <w:p>
            <w:pPr>
              <w:pStyle w:val="Compact"/>
            </w:pPr>
            <w:r>
              <w:t xml:space="preserve">32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Средний чек</w:t>
            </w:r>
          </w:p>
        </w:tc>
        <w:tc>
          <w:tcPr/>
          <w:p>
            <w:pPr>
              <w:pStyle w:val="Compact"/>
            </w:pPr>
            <w:r>
              <w:t xml:space="preserve">320,000 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Выручка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10,240,000 ₸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Переменные затраты (40%)</w:t>
            </w:r>
          </w:p>
        </w:tc>
        <w:tc>
          <w:tcPr/>
          <w:p>
            <w:pPr>
              <w:pStyle w:val="Compact"/>
            </w:pPr>
            <w:r>
              <w:t xml:space="preserve">4,096,000 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Валовая прибыль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6,144,000 ₸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OPEX</w:t>
            </w:r>
          </w:p>
        </w:tc>
        <w:tc>
          <w:tcPr/>
          <w:p>
            <w:pPr>
              <w:pStyle w:val="Compact"/>
            </w:pPr>
            <w:r>
              <w:t xml:space="preserve">4,600,000 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Чистая прибыль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1,544,000 ₸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8"/>
    <w:bookmarkEnd w:id="19"/>
    <w:bookmarkStart w:id="20" w:name="scaling-unit-масштабирование"/>
    <w:p>
      <w:pPr>
        <w:pStyle w:val="Heading2"/>
      </w:pPr>
      <w:r>
        <w:t xml:space="preserve">Scaling unit (масштабирование)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Параметр</w:t>
            </w:r>
          </w:p>
        </w:tc>
        <w:tc>
          <w:tcPr/>
          <w:p>
            <w:pPr>
              <w:pStyle w:val="Compact"/>
            </w:pPr>
            <w:r>
              <w:t xml:space="preserve">1 unit</w:t>
            </w:r>
          </w:p>
        </w:tc>
        <w:tc>
          <w:tcPr/>
          <w:p>
            <w:pPr>
              <w:pStyle w:val="Compact"/>
            </w:pPr>
            <w:r>
              <w:t xml:space="preserve">2 units</w:t>
            </w:r>
          </w:p>
        </w:tc>
        <w:tc>
          <w:tcPr/>
          <w:p>
            <w:pPr>
              <w:pStyle w:val="Compact"/>
            </w:pPr>
            <w:r>
              <w:t xml:space="preserve">3 units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Заказы/мес</w:t>
            </w:r>
          </w:p>
        </w:tc>
        <w:tc>
          <w:tcPr/>
          <w:p>
            <w:pPr>
              <w:pStyle w:val="Compact"/>
            </w:pPr>
            <w:r>
              <w:t xml:space="preserve">30</w:t>
            </w:r>
          </w:p>
        </w:tc>
        <w:tc>
          <w:tcPr/>
          <w:p>
            <w:pPr>
              <w:pStyle w:val="Compact"/>
            </w:pPr>
            <w:r>
              <w:t xml:space="preserve">60</w:t>
            </w:r>
          </w:p>
        </w:tc>
        <w:tc>
          <w:tcPr/>
          <w:p>
            <w:pPr>
              <w:pStyle w:val="Compact"/>
            </w:pPr>
            <w:r>
              <w:t xml:space="preserve">90</w:t>
            </w:r>
          </w:p>
        </w:tc>
      </w:tr>
      <w:tr>
        <w:tc>
          <w:tcPr/>
          <w:p>
            <w:pPr>
              <w:pStyle w:val="Compact"/>
            </w:pPr>
            <w:r>
              <w:t xml:space="preserve">Выручка</w:t>
            </w:r>
          </w:p>
        </w:tc>
        <w:tc>
          <w:tcPr/>
          <w:p>
            <w:pPr>
              <w:pStyle w:val="Compact"/>
            </w:pPr>
            <w:r>
              <w:t xml:space="preserve">9 млн</w:t>
            </w:r>
          </w:p>
        </w:tc>
        <w:tc>
          <w:tcPr/>
          <w:p>
            <w:pPr>
              <w:pStyle w:val="Compact"/>
            </w:pPr>
            <w:r>
              <w:t xml:space="preserve">18 млн</w:t>
            </w:r>
          </w:p>
        </w:tc>
        <w:tc>
          <w:tcPr/>
          <w:p>
            <w:pPr>
              <w:pStyle w:val="Compact"/>
            </w:pPr>
            <w:r>
              <w:t xml:space="preserve">27 млн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OPEX</w:t>
            </w:r>
          </w:p>
        </w:tc>
        <w:tc>
          <w:tcPr/>
          <w:p>
            <w:pPr>
              <w:pStyle w:val="Compact"/>
            </w:pPr>
            <w:r>
              <w:t xml:space="preserve">4.6 млн</w:t>
            </w:r>
          </w:p>
        </w:tc>
        <w:tc>
          <w:tcPr/>
          <w:p>
            <w:pPr>
              <w:pStyle w:val="Compact"/>
            </w:pPr>
            <w:r>
              <w:t xml:space="preserve">8 млн</w:t>
            </w:r>
          </w:p>
        </w:tc>
        <w:tc>
          <w:tcPr/>
          <w:p>
            <w:pPr>
              <w:pStyle w:val="Compact"/>
            </w:pPr>
            <w:r>
              <w:t xml:space="preserve">11 млн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Прибыль</w:t>
            </w:r>
          </w:p>
        </w:tc>
        <w:tc>
          <w:tcPr/>
          <w:p>
            <w:pPr>
              <w:pStyle w:val="Compact"/>
            </w:pPr>
            <w:r>
              <w:t xml:space="preserve">1 млн</w:t>
            </w:r>
          </w:p>
        </w:tc>
        <w:tc>
          <w:tcPr/>
          <w:p>
            <w:pPr>
              <w:pStyle w:val="Compact"/>
            </w:pPr>
            <w:r>
              <w:t xml:space="preserve">3 млн</w:t>
            </w:r>
          </w:p>
        </w:tc>
        <w:tc>
          <w:tcPr/>
          <w:p>
            <w:pPr>
              <w:pStyle w:val="Compact"/>
            </w:pPr>
            <w:r>
              <w:t xml:space="preserve">5 млн</w:t>
            </w:r>
          </w:p>
        </w:tc>
      </w:tr>
    </w:tbl>
    <w:bookmarkEnd w:id="20"/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2026-02-07T11:02:06Z</dcterms:created>
  <dcterms:modified xsi:type="dcterms:W3CDTF">2026-02-07T11:02:06Z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