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блок-10-финансовый-прогноз"/>
    <w:p>
      <w:pPr>
        <w:pStyle w:val="Heading1"/>
      </w:pPr>
      <w:r>
        <w:t xml:space="preserve">📅 БЛОК 10: ФИНАНСОВЫЙ ПРОГНОЗ</w:t>
      </w:r>
    </w:p>
    <w:bookmarkStart w:id="9" w:name="pl-прогноз-на-6-месяцев"/>
    <w:p>
      <w:pPr>
        <w:pStyle w:val="Heading2"/>
      </w:pPr>
      <w:r>
        <w:t xml:space="preserve">P&amp;L прогноз на 6 месяцев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7"/>
        <w:gridCol w:w="763"/>
        <w:gridCol w:w="858"/>
        <w:gridCol w:w="1335"/>
        <w:gridCol w:w="1335"/>
        <w:gridCol w:w="572"/>
        <w:gridCol w:w="1431"/>
        <w:gridCol w:w="9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Заказы</w:t>
            </w:r>
          </w:p>
        </w:tc>
        <w:tc>
          <w:tcPr/>
          <w:p>
            <w:pPr>
              <w:pStyle w:val="Compac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Перем. затр.</w:t>
            </w:r>
          </w:p>
        </w:tc>
        <w:tc>
          <w:tcPr/>
          <w:p>
            <w:pPr>
              <w:pStyle w:val="Compact"/>
            </w:pPr>
            <w:r>
              <w:t xml:space="preserve">Вал. прибыль</w:t>
            </w:r>
          </w:p>
        </w:tc>
        <w:tc>
          <w:tcPr/>
          <w:p>
            <w:pPr>
              <w:pStyle w:val="Compact"/>
            </w:pPr>
            <w:r>
              <w:t xml:space="preserve">OPEX</w:t>
            </w:r>
          </w:p>
        </w:tc>
        <w:tc>
          <w:tcPr/>
          <w:p>
            <w:pPr>
              <w:pStyle w:val="Compact"/>
            </w:pPr>
            <w:r>
              <w:t xml:space="preserve">Чист. прибыль</w:t>
            </w:r>
          </w:p>
        </w:tc>
        <w:tc>
          <w:tcPr/>
          <w:p>
            <w:pPr>
              <w:pStyle w:val="Compact"/>
            </w:pPr>
            <w:r>
              <w:t xml:space="preserve">Накопит.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2,800,000</w:t>
            </w:r>
          </w:p>
        </w:tc>
        <w:tc>
          <w:tcPr/>
          <w:p>
            <w:pPr>
              <w:pStyle w:val="Compact"/>
            </w:pPr>
            <w:r>
              <w:t xml:space="preserve">1,120,000</w:t>
            </w:r>
          </w:p>
        </w:tc>
        <w:tc>
          <w:tcPr/>
          <w:p>
            <w:pPr>
              <w:pStyle w:val="Compact"/>
            </w:pPr>
            <w:r>
              <w:t xml:space="preserve">1,680,000</w:t>
            </w:r>
          </w:p>
        </w:tc>
        <w:tc>
          <w:tcPr/>
          <w:p>
            <w:pPr>
              <w:pStyle w:val="Compact"/>
            </w:pPr>
            <w:r>
              <w:t xml:space="preserve">4,600,000</w:t>
            </w:r>
          </w:p>
        </w:tc>
        <w:tc>
          <w:tcPr/>
          <w:p>
            <w:pPr>
              <w:pStyle w:val="Compact"/>
            </w:pPr>
            <w:r>
              <w:t xml:space="preserve">-2,920,000</w:t>
            </w:r>
          </w:p>
        </w:tc>
        <w:tc>
          <w:tcPr/>
          <w:p>
            <w:pPr>
              <w:pStyle w:val="Compact"/>
            </w:pPr>
            <w:r>
              <w:t xml:space="preserve">-2,920,000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4,800,000</w:t>
            </w:r>
          </w:p>
        </w:tc>
        <w:tc>
          <w:tcPr/>
          <w:p>
            <w:pPr>
              <w:pStyle w:val="Compact"/>
            </w:pPr>
            <w:r>
              <w:t xml:space="preserve">1,920,000</w:t>
            </w:r>
          </w:p>
        </w:tc>
        <w:tc>
          <w:tcPr/>
          <w:p>
            <w:pPr>
              <w:pStyle w:val="Compact"/>
            </w:pPr>
            <w:r>
              <w:t xml:space="preserve">2,880,000</w:t>
            </w:r>
          </w:p>
        </w:tc>
        <w:tc>
          <w:tcPr/>
          <w:p>
            <w:pPr>
              <w:pStyle w:val="Compact"/>
            </w:pPr>
            <w:r>
              <w:t xml:space="preserve">4,600,000</w:t>
            </w:r>
          </w:p>
        </w:tc>
        <w:tc>
          <w:tcPr/>
          <w:p>
            <w:pPr>
              <w:pStyle w:val="Compact"/>
            </w:pPr>
            <w:r>
              <w:t xml:space="preserve">-1,720,000</w:t>
            </w:r>
          </w:p>
        </w:tc>
        <w:tc>
          <w:tcPr/>
          <w:p>
            <w:pPr>
              <w:pStyle w:val="Compact"/>
            </w:pPr>
            <w:r>
              <w:t xml:space="preserve">-4,640,000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6,600,000</w:t>
            </w:r>
          </w:p>
        </w:tc>
        <w:tc>
          <w:tcPr/>
          <w:p>
            <w:pPr>
              <w:pStyle w:val="Compact"/>
            </w:pPr>
            <w:r>
              <w:t xml:space="preserve">2,640,000</w:t>
            </w:r>
          </w:p>
        </w:tc>
        <w:tc>
          <w:tcPr/>
          <w:p>
            <w:pPr>
              <w:pStyle w:val="Compact"/>
            </w:pPr>
            <w:r>
              <w:t xml:space="preserve">3,960,000</w:t>
            </w:r>
          </w:p>
        </w:tc>
        <w:tc>
          <w:tcPr/>
          <w:p>
            <w:pPr>
              <w:pStyle w:val="Compact"/>
            </w:pPr>
            <w:r>
              <w:t xml:space="preserve">4,600,000</w:t>
            </w:r>
          </w:p>
        </w:tc>
        <w:tc>
          <w:tcPr/>
          <w:p>
            <w:pPr>
              <w:pStyle w:val="Compact"/>
            </w:pPr>
            <w:r>
              <w:t xml:space="preserve">-640,000</w:t>
            </w:r>
          </w:p>
        </w:tc>
        <w:tc>
          <w:tcPr/>
          <w:p>
            <w:pPr>
              <w:pStyle w:val="Compact"/>
            </w:pPr>
            <w:r>
              <w:t xml:space="preserve">-5,280,000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8,060,000</w:t>
            </w:r>
          </w:p>
        </w:tc>
        <w:tc>
          <w:tcPr/>
          <w:p>
            <w:pPr>
              <w:pStyle w:val="Compact"/>
            </w:pPr>
            <w:r>
              <w:t xml:space="preserve">3,224,000</w:t>
            </w:r>
          </w:p>
        </w:tc>
        <w:tc>
          <w:tcPr/>
          <w:p>
            <w:pPr>
              <w:pStyle w:val="Compact"/>
            </w:pPr>
            <w:r>
              <w:t xml:space="preserve">4,836,000</w:t>
            </w:r>
          </w:p>
        </w:tc>
        <w:tc>
          <w:tcPr/>
          <w:p>
            <w:pPr>
              <w:pStyle w:val="Compact"/>
            </w:pPr>
            <w:r>
              <w:t xml:space="preserve">4,700,000</w:t>
            </w:r>
          </w:p>
        </w:tc>
        <w:tc>
          <w:tcPr/>
          <w:p>
            <w:pPr>
              <w:pStyle w:val="Compact"/>
            </w:pPr>
            <w:r>
              <w:t xml:space="preserve">+136,000</w:t>
            </w:r>
          </w:p>
        </w:tc>
        <w:tc>
          <w:tcPr/>
          <w:p>
            <w:pPr>
              <w:pStyle w:val="Compact"/>
            </w:pPr>
            <w:r>
              <w:t xml:space="preserve">-5,144,000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9,300,000</w:t>
            </w:r>
          </w:p>
        </w:tc>
        <w:tc>
          <w:tcPr/>
          <w:p>
            <w:pPr>
              <w:pStyle w:val="Compact"/>
            </w:pPr>
            <w:r>
              <w:t xml:space="preserve">3,720,000</w:t>
            </w:r>
          </w:p>
        </w:tc>
        <w:tc>
          <w:tcPr/>
          <w:p>
            <w:pPr>
              <w:pStyle w:val="Compact"/>
            </w:pPr>
            <w:r>
              <w:t xml:space="preserve">5,580,000</w:t>
            </w:r>
          </w:p>
        </w:tc>
        <w:tc>
          <w:tcPr/>
          <w:p>
            <w:pPr>
              <w:pStyle w:val="Compact"/>
            </w:pPr>
            <w:r>
              <w:t xml:space="preserve">4,700,000</w:t>
            </w:r>
          </w:p>
        </w:tc>
        <w:tc>
          <w:tcPr/>
          <w:p>
            <w:pPr>
              <w:pStyle w:val="Compact"/>
            </w:pPr>
            <w:r>
              <w:t xml:space="preserve">+880,000</w:t>
            </w:r>
          </w:p>
        </w:tc>
        <w:tc>
          <w:tcPr/>
          <w:p>
            <w:pPr>
              <w:pStyle w:val="Compact"/>
            </w:pPr>
            <w:r>
              <w:t xml:space="preserve">-4,264,000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10,540,000</w:t>
            </w:r>
          </w:p>
        </w:tc>
        <w:tc>
          <w:tcPr/>
          <w:p>
            <w:pPr>
              <w:pStyle w:val="Compact"/>
            </w:pPr>
            <w:r>
              <w:t xml:space="preserve">4,216,000</w:t>
            </w:r>
          </w:p>
        </w:tc>
        <w:tc>
          <w:tcPr/>
          <w:p>
            <w:pPr>
              <w:pStyle w:val="Compact"/>
            </w:pPr>
            <w:r>
              <w:t xml:space="preserve">6,324,000</w:t>
            </w:r>
          </w:p>
        </w:tc>
        <w:tc>
          <w:tcPr/>
          <w:p>
            <w:pPr>
              <w:pStyle w:val="Compact"/>
            </w:pPr>
            <w:r>
              <w:t xml:space="preserve">4,800,000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+1,524,000</w:t>
            </w:r>
          </w:p>
        </w:tc>
        <w:tc>
          <w:tcPr/>
          <w:p>
            <w:pPr>
              <w:pStyle w:val="Compact"/>
            </w:pPr>
            <w:r>
              <w:t xml:space="preserve">-2,740,000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l-прогноз-месяцы-7-12"/>
    <w:p>
      <w:pPr>
        <w:pStyle w:val="Heading2"/>
      </w:pPr>
      <w:r>
        <w:t xml:space="preserve">P&amp;L прогноз месяцы 7-12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7"/>
        <w:gridCol w:w="763"/>
        <w:gridCol w:w="858"/>
        <w:gridCol w:w="1335"/>
        <w:gridCol w:w="1335"/>
        <w:gridCol w:w="572"/>
        <w:gridCol w:w="1431"/>
        <w:gridCol w:w="9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Заказы</w:t>
            </w:r>
          </w:p>
        </w:tc>
        <w:tc>
          <w:tcPr/>
          <w:p>
            <w:pPr>
              <w:pStyle w:val="Compac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Перем. затр.</w:t>
            </w:r>
          </w:p>
        </w:tc>
        <w:tc>
          <w:tcPr/>
          <w:p>
            <w:pPr>
              <w:pStyle w:val="Compact"/>
            </w:pPr>
            <w:r>
              <w:t xml:space="preserve">Вал. прибыль</w:t>
            </w:r>
          </w:p>
        </w:tc>
        <w:tc>
          <w:tcPr/>
          <w:p>
            <w:pPr>
              <w:pStyle w:val="Compact"/>
            </w:pPr>
            <w:r>
              <w:t xml:space="preserve">OPEX</w:t>
            </w:r>
          </w:p>
        </w:tc>
        <w:tc>
          <w:tcPr/>
          <w:p>
            <w:pPr>
              <w:pStyle w:val="Compact"/>
            </w:pPr>
            <w:r>
              <w:t xml:space="preserve">Чист. прибыль</w:t>
            </w:r>
          </w:p>
        </w:tc>
        <w:tc>
          <w:tcPr/>
          <w:p>
            <w:pPr>
              <w:pStyle w:val="Compact"/>
            </w:pPr>
            <w:r>
              <w:t xml:space="preserve">Накопит.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11,160,000</w:t>
            </w:r>
          </w:p>
        </w:tc>
        <w:tc>
          <w:tcPr/>
          <w:p>
            <w:pPr>
              <w:pStyle w:val="Compact"/>
            </w:pPr>
            <w:r>
              <w:t xml:space="preserve">4,464,000</w:t>
            </w:r>
          </w:p>
        </w:tc>
        <w:tc>
          <w:tcPr/>
          <w:p>
            <w:pPr>
              <w:pStyle w:val="Compact"/>
            </w:pPr>
            <w:r>
              <w:t xml:space="preserve">6,696,000</w:t>
            </w:r>
          </w:p>
        </w:tc>
        <w:tc>
          <w:tcPr/>
          <w:p>
            <w:pPr>
              <w:pStyle w:val="Compact"/>
            </w:pPr>
            <w:r>
              <w:t xml:space="preserve">4,800,000</w:t>
            </w:r>
          </w:p>
        </w:tc>
        <w:tc>
          <w:tcPr/>
          <w:p>
            <w:pPr>
              <w:pStyle w:val="Compact"/>
            </w:pPr>
            <w:r>
              <w:t xml:space="preserve">+1,896,000</w:t>
            </w:r>
          </w:p>
        </w:tc>
        <w:tc>
          <w:tcPr/>
          <w:p>
            <w:pPr>
              <w:pStyle w:val="Compact"/>
            </w:pPr>
            <w:r>
              <w:t xml:space="preserve">-844,000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11,780,000</w:t>
            </w:r>
          </w:p>
        </w:tc>
        <w:tc>
          <w:tcPr/>
          <w:p>
            <w:pPr>
              <w:pStyle w:val="Compact"/>
            </w:pPr>
            <w:r>
              <w:t xml:space="preserve">4,712,000</w:t>
            </w:r>
          </w:p>
        </w:tc>
        <w:tc>
          <w:tcPr/>
          <w:p>
            <w:pPr>
              <w:pStyle w:val="Compact"/>
            </w:pPr>
            <w:r>
              <w:t xml:space="preserve">7,068,000</w:t>
            </w:r>
          </w:p>
        </w:tc>
        <w:tc>
          <w:tcPr/>
          <w:p>
            <w:pPr>
              <w:pStyle w:val="Compact"/>
            </w:pPr>
            <w:r>
              <w:t xml:space="preserve">4,900,000</w:t>
            </w:r>
          </w:p>
        </w:tc>
        <w:tc>
          <w:tcPr/>
          <w:p>
            <w:pPr>
              <w:pStyle w:val="Compact"/>
            </w:pPr>
            <w:r>
              <w:t xml:space="preserve">+2,168,000</w:t>
            </w:r>
          </w:p>
        </w:tc>
        <w:tc>
          <w:tcPr/>
          <w:p>
            <w:pPr>
              <w:pStyle w:val="Compact"/>
            </w:pPr>
            <w:r>
              <w:t xml:space="preserve">+1,324,000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12,400,000</w:t>
            </w:r>
          </w:p>
        </w:tc>
        <w:tc>
          <w:tcPr/>
          <w:p>
            <w:pPr>
              <w:pStyle w:val="Compact"/>
            </w:pPr>
            <w:r>
              <w:t xml:space="preserve">4,960,000</w:t>
            </w:r>
          </w:p>
        </w:tc>
        <w:tc>
          <w:tcPr/>
          <w:p>
            <w:pPr>
              <w:pStyle w:val="Compact"/>
            </w:pPr>
            <w:r>
              <w:t xml:space="preserve">7,440,000</w:t>
            </w:r>
          </w:p>
        </w:tc>
        <w:tc>
          <w:tcPr/>
          <w:p>
            <w:pPr>
              <w:pStyle w:val="Compact"/>
            </w:pPr>
            <w:r>
              <w:t xml:space="preserve">4,900,000</w:t>
            </w:r>
          </w:p>
        </w:tc>
        <w:tc>
          <w:tcPr/>
          <w:p>
            <w:pPr>
              <w:pStyle w:val="Compact"/>
            </w:pPr>
            <w:r>
              <w:t xml:space="preserve">+2,540,000</w:t>
            </w:r>
          </w:p>
        </w:tc>
        <w:tc>
          <w:tcPr/>
          <w:p>
            <w:pPr>
              <w:pStyle w:val="Compact"/>
            </w:pPr>
            <w:r>
              <w:t xml:space="preserve">+3,864,000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13,020,000</w:t>
            </w:r>
          </w:p>
        </w:tc>
        <w:tc>
          <w:tcPr/>
          <w:p>
            <w:pPr>
              <w:pStyle w:val="Compact"/>
            </w:pPr>
            <w:r>
              <w:t xml:space="preserve">5,208,000</w:t>
            </w:r>
          </w:p>
        </w:tc>
        <w:tc>
          <w:tcPr/>
          <w:p>
            <w:pPr>
              <w:pStyle w:val="Compact"/>
            </w:pPr>
            <w:r>
              <w:t xml:space="preserve">7,812,000</w:t>
            </w:r>
          </w:p>
        </w:tc>
        <w:tc>
          <w:tcPr/>
          <w:p>
            <w:pPr>
              <w:pStyle w:val="Compact"/>
            </w:pPr>
            <w:r>
              <w:t xml:space="preserve">5,000,000</w:t>
            </w:r>
          </w:p>
        </w:tc>
        <w:tc>
          <w:tcPr/>
          <w:p>
            <w:pPr>
              <w:pStyle w:val="Compact"/>
            </w:pPr>
            <w:r>
              <w:t xml:space="preserve">+2,812,000</w:t>
            </w:r>
          </w:p>
        </w:tc>
        <w:tc>
          <w:tcPr/>
          <w:p>
            <w:pPr>
              <w:pStyle w:val="Compact"/>
            </w:pPr>
            <w:r>
              <w:t xml:space="preserve">+6,676,000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13,640,000</w:t>
            </w:r>
          </w:p>
        </w:tc>
        <w:tc>
          <w:tcPr/>
          <w:p>
            <w:pPr>
              <w:pStyle w:val="Compact"/>
            </w:pPr>
            <w:r>
              <w:t xml:space="preserve">5,456,000</w:t>
            </w:r>
          </w:p>
        </w:tc>
        <w:tc>
          <w:tcPr/>
          <w:p>
            <w:pPr>
              <w:pStyle w:val="Compact"/>
            </w:pPr>
            <w:r>
              <w:t xml:space="preserve">8,184,000</w:t>
            </w:r>
          </w:p>
        </w:tc>
        <w:tc>
          <w:tcPr/>
          <w:p>
            <w:pPr>
              <w:pStyle w:val="Compact"/>
            </w:pPr>
            <w:r>
              <w:t xml:space="preserve">5,000,000</w:t>
            </w:r>
          </w:p>
        </w:tc>
        <w:tc>
          <w:tcPr/>
          <w:p>
            <w:pPr>
              <w:pStyle w:val="Compact"/>
            </w:pPr>
            <w:r>
              <w:t xml:space="preserve">+3,184,000</w:t>
            </w:r>
          </w:p>
        </w:tc>
        <w:tc>
          <w:tcPr/>
          <w:p>
            <w:pPr>
              <w:pStyle w:val="Compact"/>
            </w:pPr>
            <w:r>
              <w:t xml:space="preserve">+9,860,000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14,260,000</w:t>
            </w:r>
          </w:p>
        </w:tc>
        <w:tc>
          <w:tcPr/>
          <w:p>
            <w:pPr>
              <w:pStyle w:val="Compact"/>
            </w:pPr>
            <w:r>
              <w:t xml:space="preserve">5,704,000</w:t>
            </w:r>
          </w:p>
        </w:tc>
        <w:tc>
          <w:tcPr/>
          <w:p>
            <w:pPr>
              <w:pStyle w:val="Compact"/>
            </w:pPr>
            <w:r>
              <w:t xml:space="preserve">8,556,000</w:t>
            </w:r>
          </w:p>
        </w:tc>
        <w:tc>
          <w:tcPr/>
          <w:p>
            <w:pPr>
              <w:pStyle w:val="Compact"/>
            </w:pPr>
            <w:r>
              <w:t xml:space="preserve">5,100,000</w:t>
            </w:r>
          </w:p>
        </w:tc>
        <w:tc>
          <w:tcPr/>
          <w:p>
            <w:pPr>
              <w:pStyle w:val="Compact"/>
            </w:pPr>
            <w:r>
              <w:t xml:space="preserve">+3,456,000</w:t>
            </w:r>
          </w:p>
        </w:tc>
        <w:tc>
          <w:tcPr/>
          <w:p>
            <w:pPr>
              <w:pStyle w:val="Compact"/>
            </w:pPr>
            <w:r>
              <w:t xml:space="preserve">+13,316,000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ключевые-вехи"/>
    <w:p>
      <w:pPr>
        <w:pStyle w:val="Heading2"/>
      </w:pPr>
      <w:r>
        <w:t xml:space="preserve">Ключевые вехи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Первые заказы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заказов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Выход в операционный плюс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+136,000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Операционный ноль (накопленный)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+1,324,000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Стабильная прибыль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1.5+ млн ₸/мес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Годовая прибыль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~13 млн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выручка-по-месяцам-график"/>
    <w:p>
      <w:pPr>
        <w:pStyle w:val="Heading2"/>
      </w:pPr>
      <w:r>
        <w:t xml:space="preserve">Выручка по месяцам (график)</w:t>
      </w:r>
    </w:p>
    <w:p>
      <w:pPr>
        <w:pStyle w:val="SourceCode"/>
      </w:pPr>
      <w:r>
        <w:rPr>
          <w:rStyle w:val="VerbatimChar"/>
        </w:rPr>
        <w:t xml:space="preserve">Месяц  Выручка (млн ₸)</w:t>
      </w:r>
      <w:r>
        <w:br/>
      </w:r>
      <w:r>
        <w:rPr>
          <w:rStyle w:val="VerbatimChar"/>
        </w:rPr>
        <w:t xml:space="preserve">  1    ██ 2.8</w:t>
      </w:r>
      <w:r>
        <w:br/>
      </w:r>
      <w:r>
        <w:rPr>
          <w:rStyle w:val="VerbatimChar"/>
        </w:rPr>
        <w:t xml:space="preserve">  2    ████ 4.8</w:t>
      </w:r>
      <w:r>
        <w:br/>
      </w:r>
      <w:r>
        <w:rPr>
          <w:rStyle w:val="VerbatimChar"/>
        </w:rPr>
        <w:t xml:space="preserve">  3    ██████ 6.6</w:t>
      </w:r>
      <w:r>
        <w:br/>
      </w:r>
      <w:r>
        <w:rPr>
          <w:rStyle w:val="VerbatimChar"/>
        </w:rPr>
        <w:t xml:space="preserve">  4    ████████ 8.0</w:t>
      </w:r>
      <w:r>
        <w:br/>
      </w:r>
      <w:r>
        <w:rPr>
          <w:rStyle w:val="VerbatimChar"/>
        </w:rPr>
        <w:t xml:space="preserve">  5    █████████ 9.3</w:t>
      </w:r>
      <w:r>
        <w:br/>
      </w:r>
      <w:r>
        <w:rPr>
          <w:rStyle w:val="VerbatimChar"/>
        </w:rPr>
        <w:t xml:space="preserve">  6    ██████████ 10.5</w:t>
      </w:r>
      <w:r>
        <w:br/>
      </w:r>
      <w:r>
        <w:rPr>
          <w:rStyle w:val="VerbatimChar"/>
        </w:rPr>
        <w:t xml:space="preserve">  7    ███████████ 11.2</w:t>
      </w:r>
      <w:r>
        <w:br/>
      </w:r>
      <w:r>
        <w:rPr>
          <w:rStyle w:val="VerbatimChar"/>
        </w:rPr>
        <w:t xml:space="preserve">  8    ████████████ 11.8</w:t>
      </w:r>
      <w:r>
        <w:br/>
      </w:r>
      <w:r>
        <w:rPr>
          <w:rStyle w:val="VerbatimChar"/>
        </w:rPr>
        <w:t xml:space="preserve">  9    ████████████ 12.4</w:t>
      </w:r>
      <w:r>
        <w:br/>
      </w:r>
      <w:r>
        <w:rPr>
          <w:rStyle w:val="VerbatimChar"/>
        </w:rPr>
        <w:t xml:space="preserve"> 10    █████████████ 13.0</w:t>
      </w:r>
      <w:r>
        <w:br/>
      </w:r>
      <w:r>
        <w:rPr>
          <w:rStyle w:val="VerbatimChar"/>
        </w:rPr>
        <w:t xml:space="preserve"> 11    █████████████ 13.6</w:t>
      </w:r>
      <w:r>
        <w:br/>
      </w:r>
      <w:r>
        <w:rPr>
          <w:rStyle w:val="VerbatimChar"/>
        </w:rPr>
        <w:t xml:space="preserve"> 12    ██████████████ 14.3</w:t>
      </w:r>
    </w:p>
    <w:p>
      <w:r>
        <w:pict>
          <v:rect style="width:0;height:1.5pt" o:hralign="center" o:hrstd="t" o:hr="t"/>
        </w:pict>
      </w:r>
    </w:p>
    <w:bookmarkEnd w:id="12"/>
    <w:bookmarkStart w:id="13" w:name="прибыль-по-месяцам-график"/>
    <w:p>
      <w:pPr>
        <w:pStyle w:val="Heading2"/>
      </w:pPr>
      <w:r>
        <w:t xml:space="preserve">Прибыль по месяцам (график)</w:t>
      </w:r>
    </w:p>
    <w:p>
      <w:pPr>
        <w:pStyle w:val="SourceCode"/>
      </w:pPr>
      <w:r>
        <w:rPr>
          <w:rStyle w:val="VerbatimChar"/>
        </w:rPr>
        <w:t xml:space="preserve">Месяц  Прибыль (тыс ₸)</w:t>
      </w:r>
      <w:r>
        <w:br/>
      </w:r>
      <w:r>
        <w:rPr>
          <w:rStyle w:val="VerbatimChar"/>
        </w:rPr>
        <w:t xml:space="preserve">  1    ████████████████ -2,920</w:t>
      </w:r>
      <w:r>
        <w:br/>
      </w:r>
      <w:r>
        <w:rPr>
          <w:rStyle w:val="VerbatimChar"/>
        </w:rPr>
        <w:t xml:space="preserve">  2    ██████████ -1,720</w:t>
      </w:r>
      <w:r>
        <w:br/>
      </w:r>
      <w:r>
        <w:rPr>
          <w:rStyle w:val="VerbatimChar"/>
        </w:rPr>
        <w:t xml:space="preserve">  3    ████ -640</w:t>
      </w:r>
      <w:r>
        <w:br/>
      </w:r>
      <w:r>
        <w:rPr>
          <w:rStyle w:val="VerbatimChar"/>
        </w:rPr>
        <w:t xml:space="preserve">  4    █ +136</w:t>
      </w:r>
      <w:r>
        <w:br/>
      </w:r>
      <w:r>
        <w:rPr>
          <w:rStyle w:val="VerbatimChar"/>
        </w:rPr>
        <w:t xml:space="preserve">  5    ████ +880</w:t>
      </w:r>
      <w:r>
        <w:br/>
      </w:r>
      <w:r>
        <w:rPr>
          <w:rStyle w:val="VerbatimChar"/>
        </w:rPr>
        <w:t xml:space="preserve">  6    ████████ +1,524</w:t>
      </w:r>
      <w:r>
        <w:br/>
      </w:r>
      <w:r>
        <w:rPr>
          <w:rStyle w:val="VerbatimChar"/>
        </w:rPr>
        <w:t xml:space="preserve">  7    ██████████ +1,896</w:t>
      </w:r>
      <w:r>
        <w:br/>
      </w:r>
      <w:r>
        <w:rPr>
          <w:rStyle w:val="VerbatimChar"/>
        </w:rPr>
        <w:t xml:space="preserve">  8    ███████████ +2,168</w:t>
      </w:r>
      <w:r>
        <w:br/>
      </w:r>
      <w:r>
        <w:rPr>
          <w:rStyle w:val="VerbatimChar"/>
        </w:rPr>
        <w:t xml:space="preserve">  9    █████████████ +2,540</w:t>
      </w:r>
      <w:r>
        <w:br/>
      </w:r>
      <w:r>
        <w:rPr>
          <w:rStyle w:val="VerbatimChar"/>
        </w:rPr>
        <w:t xml:space="preserve"> 10    ██████████████ +2,812</w:t>
      </w:r>
      <w:r>
        <w:br/>
      </w:r>
      <w:r>
        <w:rPr>
          <w:rStyle w:val="VerbatimChar"/>
        </w:rPr>
        <w:t xml:space="preserve"> 11    ████████████████ +3,184</w:t>
      </w:r>
      <w:r>
        <w:br/>
      </w:r>
      <w:r>
        <w:rPr>
          <w:rStyle w:val="VerbatimChar"/>
        </w:rPr>
        <w:t xml:space="preserve"> 12    █████████████████ +3,456</w:t>
      </w:r>
      <w:r>
        <w:br/>
      </w:r>
      <w:r>
        <w:rPr>
          <w:rStyle w:val="VerbatimChar"/>
        </w:rPr>
        <w:t xml:space="preserve">       ─────────────────────────</w:t>
      </w:r>
      <w:r>
        <w:br/>
      </w:r>
      <w:r>
        <w:rPr>
          <w:rStyle w:val="VerbatimChar"/>
        </w:rPr>
        <w:t xml:space="preserve">       -3M         0         +3M</w:t>
      </w:r>
    </w:p>
    <w:p>
      <w:r>
        <w:pict>
          <v:rect style="width:0;height:1.5pt" o:hralign="center" o:hrstd="t" o:hr="t"/>
        </w:pict>
      </w:r>
    </w:p>
    <w:bookmarkEnd w:id="13"/>
    <w:bookmarkStart w:id="14" w:name="годовые-показатели"/>
    <w:p>
      <w:pPr>
        <w:pStyle w:val="Heading2"/>
      </w:pPr>
      <w:r>
        <w:t xml:space="preserve">Годовые показатели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Выручка (год)</w:t>
            </w:r>
          </w:p>
        </w:tc>
        <w:tc>
          <w:tcPr/>
          <w:p>
            <w:pPr>
              <w:pStyle w:val="Compact"/>
            </w:pPr>
            <w:r>
              <w:t xml:space="preserve">~118,000,000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Валовая прибыль</w:t>
            </w:r>
          </w:p>
        </w:tc>
        <w:tc>
          <w:tcPr/>
          <w:p>
            <w:pPr>
              <w:pStyle w:val="Compact"/>
            </w:pPr>
            <w:r>
              <w:t xml:space="preserve">~70,000,000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 (год)</w:t>
            </w:r>
          </w:p>
        </w:tc>
        <w:tc>
          <w:tcPr/>
          <w:p>
            <w:pPr>
              <w:pStyle w:val="Compact"/>
            </w:pPr>
            <w:r>
              <w:t xml:space="preserve">~57,000,000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Чистая прибыль (год)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~13,300,000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Рентабельность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допущения"/>
    <w:p>
      <w:pPr>
        <w:pStyle w:val="Heading2"/>
      </w:pPr>
      <w:r>
        <w:t xml:space="preserve">Допущения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310,000 ₸ (растет со временем)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Маржинальность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заказов</w:t>
            </w:r>
          </w:p>
        </w:tc>
        <w:tc>
          <w:tcPr/>
          <w:p>
            <w:pPr>
              <w:pStyle w:val="Compact"/>
            </w:pPr>
            <w:r>
              <w:t xml:space="preserve">+4-6/мес первые 6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Стабилизация</w:t>
            </w:r>
          </w:p>
        </w:tc>
        <w:tc>
          <w:tcPr/>
          <w:p>
            <w:pPr>
              <w:pStyle w:val="Compact"/>
            </w:pPr>
            <w:r>
              <w:t xml:space="preserve">40-50 заказов/мес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OPEX рост</w:t>
            </w:r>
          </w:p>
        </w:tc>
        <w:tc>
          <w:tcPr/>
          <w:p>
            <w:pPr>
              <w:pStyle w:val="Compact"/>
            </w:pPr>
            <w:r>
              <w:t xml:space="preserve">+100-200 тыс/мес (бонусы, рост расходов)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сезонность"/>
    <w:p>
      <w:pPr>
        <w:pStyle w:val="Heading2"/>
      </w:pPr>
      <w:r>
        <w:t xml:space="preserve">Сезонность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Квартал</w:t>
            </w:r>
          </w:p>
        </w:tc>
        <w:tc>
          <w:tcPr/>
          <w:p>
            <w:pPr>
              <w:pStyle w:val="Compact"/>
            </w:pPr>
            <w:r>
              <w:t xml:space="preserve">Индекс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(янв-мар)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Низкий сезон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(апр-июн)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Высокий сезон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(июл-сен)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Средний+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(окт-дек)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Средний-</w:t>
            </w:r>
          </w:p>
        </w:tc>
      </w:tr>
    </w:tbl>
    <w:p>
      <w:pPr>
        <w:pStyle w:val="BlockText"/>
      </w:pPr>
      <w:r>
        <w:t xml:space="preserve">Прогноз составлен без учета сезонности для упрощения. В реальности Q2 и Q3 могут быть выше.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2026-02-07T11:02:06Z</dcterms:created>
  <dcterms:modified xsi:type="dcterms:W3CDTF">2026-02-07T11:02:06Z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