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блок-11-модель-возврата-инвестиций"/>
    <w:p>
      <w:pPr>
        <w:pStyle w:val="Heading1"/>
      </w:pPr>
      <w:r>
        <w:t xml:space="preserve">💼 БЛОК 11: МОДЕЛЬ ВОЗВРАТА ИНВЕСТИЦИЙ</w:t>
      </w:r>
    </w:p>
    <w:bookmarkStart w:id="9" w:name="требуемые-инвестиции"/>
    <w:p>
      <w:pPr>
        <w:pStyle w:val="Heading2"/>
      </w:pPr>
      <w:r>
        <w:t xml:space="preserve">Требуемые инвестиции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9,500,000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Покрытие убытков (мес 1-3)</w:t>
            </w:r>
          </w:p>
        </w:tc>
        <w:tc>
          <w:tcPr/>
          <w:p>
            <w:pPr>
              <w:pStyle w:val="Compact"/>
            </w:pPr>
            <w:r>
              <w:t xml:space="preserve">5,280,000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безопасности (15%)</w:t>
            </w:r>
          </w:p>
        </w:tc>
        <w:tc>
          <w:tcPr/>
          <w:p>
            <w:pPr>
              <w:pStyle w:val="Compact"/>
            </w:pPr>
            <w:r>
              <w:t xml:space="preserve">2,220,000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~17,000,000 ₸</w:t>
            </w:r>
          </w:p>
        </w:tc>
      </w:tr>
    </w:tbl>
    <w:p>
      <w:pPr>
        <w:pStyle w:val="BlockText"/>
      </w:pPr>
      <w:r>
        <w:t xml:space="preserve">Рекомендуемая сумма инвестиций:</w:t>
      </w:r>
      <w:r>
        <w:t xml:space="preserve"> </w:t>
      </w:r>
      <w:r>
        <w:rPr>
          <w:b/>
          <w:bCs/>
        </w:rPr>
        <w:t xml:space="preserve">17-20 млн ₸</w:t>
      </w:r>
    </w:p>
    <w:p>
      <w:r>
        <w:pict>
          <v:rect style="width:0;height:1.5pt" o:hralign="center" o:hrstd="t" o:hr="t"/>
        </w:pict>
      </w:r>
    </w:p>
    <w:bookmarkEnd w:id="9"/>
    <w:bookmarkStart w:id="10" w:name="структура-сделки"/>
    <w:p>
      <w:pPr>
        <w:pStyle w:val="Heading2"/>
      </w:pPr>
      <w:r>
        <w:t xml:space="preserve">Структура сделки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</w:pPr>
            <w:r>
              <w:t xml:space="preserve">Вклад</w:t>
            </w:r>
          </w:p>
        </w:tc>
        <w:tc>
          <w:tcPr/>
          <w:p>
            <w:pPr>
              <w:pStyle w:val="Compact"/>
            </w:pPr>
            <w:r>
              <w:t xml:space="preserve">Доля после возврата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Инвестор</w:t>
            </w:r>
          </w:p>
        </w:tc>
        <w:tc>
          <w:tcPr/>
          <w:p>
            <w:pPr>
              <w:pStyle w:val="Compact"/>
            </w:pPr>
            <w:r>
              <w:t xml:space="preserve">17-20 млн ₸ (деньги)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Собственник</w:t>
            </w:r>
          </w:p>
        </w:tc>
        <w:tc>
          <w:tcPr/>
          <w:p>
            <w:pPr>
              <w:pStyle w:val="Compact"/>
            </w:pPr>
            <w:r>
              <w:t xml:space="preserve">Управление, экспертиза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этапы-возврата"/>
    <w:p>
      <w:pPr>
        <w:pStyle w:val="Heading2"/>
      </w:pPr>
      <w:r>
        <w:t xml:space="preserve">Этапы возврата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TIMELINE                                    │</w:t>
      </w:r>
      <w:r>
        <w:br/>
      </w:r>
      <w:r>
        <w:rPr>
          <w:rStyle w:val="VerbatimChar"/>
        </w:rPr>
        <w:t xml:space="preserve">├──────────┬──────────┬──────────┬──────────┬────────────────────┤</w:t>
      </w:r>
      <w:r>
        <w:br/>
      </w:r>
      <w:r>
        <w:rPr>
          <w:rStyle w:val="VerbatimChar"/>
        </w:rPr>
        <w:t xml:space="preserve">│  Мес 1-3 │  Мес 4-6 │ Мес 7-12 │ Мес 13+  │     После          │</w:t>
      </w:r>
      <w:r>
        <w:br/>
      </w:r>
      <w:r>
        <w:rPr>
          <w:rStyle w:val="VerbatimChar"/>
        </w:rPr>
        <w:t xml:space="preserve">│ Убыток   │ Выход в  │ Возврат  │ Возврат  │    возврата        │</w:t>
      </w:r>
      <w:r>
        <w:br/>
      </w:r>
      <w:r>
        <w:rPr>
          <w:rStyle w:val="VerbatimChar"/>
        </w:rPr>
        <w:t xml:space="preserve">│          │   плюс   │ 100%     │ 100%     │    30/70           │</w:t>
      </w:r>
      <w:r>
        <w:br/>
      </w:r>
      <w:r>
        <w:rPr>
          <w:rStyle w:val="VerbatimChar"/>
        </w:rPr>
        <w:t xml:space="preserve">│ -5.3 млн │ +1.5 млн │ +16 млн  │ остаток  │  дивиденды         │</w:t>
      </w:r>
      <w:r>
        <w:br/>
      </w:r>
      <w:r>
        <w:rPr>
          <w:rStyle w:val="VerbatimChar"/>
        </w:rPr>
        <w:t xml:space="preserve">└──────────┴──────────┴──────────┴──────────┴────────────────────┘</w:t>
      </w:r>
    </w:p>
    <w:bookmarkStart w:id="11" w:name="этап-1-инвестиционный-месяцы-1-3"/>
    <w:p>
      <w:pPr>
        <w:pStyle w:val="Heading3"/>
      </w:pPr>
      <w:r>
        <w:t xml:space="preserve">Этап 1: Инвестиционный (месяцы 1-3)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Операционный результат</w:t>
            </w:r>
          </w:p>
        </w:tc>
        <w:tc>
          <w:tcPr/>
          <w:p>
            <w:pPr>
              <w:pStyle w:val="Compact"/>
            </w:pPr>
            <w:r>
              <w:t xml:space="preserve">-5,280,000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Финансирование</w:t>
            </w:r>
          </w:p>
        </w:tc>
        <w:tc>
          <w:tcPr/>
          <w:p>
            <w:pPr>
              <w:pStyle w:val="Compact"/>
            </w:pPr>
            <w:r>
              <w:t xml:space="preserve">Из инвестиций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Дивиденды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1"/>
    <w:bookmarkStart w:id="12" w:name="этап-2-выход-в-плюс-месяцы-4-6"/>
    <w:p>
      <w:pPr>
        <w:pStyle w:val="Heading3"/>
      </w:pPr>
      <w:r>
        <w:t xml:space="preserve">Этап 2: Выход в плюс (месяцы 4-6)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Операционный результат</w:t>
            </w:r>
          </w:p>
        </w:tc>
        <w:tc>
          <w:tcPr/>
          <w:p>
            <w:pPr>
              <w:pStyle w:val="Compact"/>
            </w:pPr>
            <w:r>
              <w:t xml:space="preserve">+2,540,000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Направление прибыли</w:t>
            </w:r>
          </w:p>
        </w:tc>
        <w:tc>
          <w:tcPr/>
          <w:p>
            <w:pPr>
              <w:pStyle w:val="Compact"/>
            </w:pPr>
            <w:r>
              <w:t xml:space="preserve">100% инвестору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Накопленный возврат</w:t>
            </w:r>
          </w:p>
        </w:tc>
        <w:tc>
          <w:tcPr/>
          <w:p>
            <w:pPr>
              <w:pStyle w:val="Compact"/>
            </w:pPr>
            <w:r>
              <w:t xml:space="preserve">2,540,000 ₸</w:t>
            </w:r>
          </w:p>
        </w:tc>
      </w:tr>
    </w:tbl>
    <w:bookmarkEnd w:id="12"/>
    <w:bookmarkStart w:id="13" w:name="этап-3-активный-возврат-месяцы-7-12"/>
    <w:p>
      <w:pPr>
        <w:pStyle w:val="Heading3"/>
      </w:pPr>
      <w:r>
        <w:t xml:space="preserve">Этап 3: Активный возврат (месяцы 7-12)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Операционный результат</w:t>
            </w:r>
          </w:p>
        </w:tc>
        <w:tc>
          <w:tcPr/>
          <w:p>
            <w:pPr>
              <w:pStyle w:val="Compact"/>
            </w:pPr>
            <w:r>
              <w:t xml:space="preserve">+16,056,000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Направление прибыли</w:t>
            </w:r>
          </w:p>
        </w:tc>
        <w:tc>
          <w:tcPr/>
          <w:p>
            <w:pPr>
              <w:pStyle w:val="Compact"/>
            </w:pPr>
            <w:r>
              <w:t xml:space="preserve">100% инвестору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Накопленный возврат</w:t>
            </w:r>
          </w:p>
        </w:tc>
        <w:tc>
          <w:tcPr/>
          <w:p>
            <w:pPr>
              <w:pStyle w:val="Compact"/>
            </w:pPr>
            <w:r>
              <w:t xml:space="preserve">18,596,000 ₸</w:t>
            </w:r>
          </w:p>
        </w:tc>
      </w:tr>
    </w:tbl>
    <w:bookmarkEnd w:id="13"/>
    <w:bookmarkStart w:id="14" w:name="этап-4-дивиденды-после-возврата"/>
    <w:p>
      <w:pPr>
        <w:pStyle w:val="Heading3"/>
      </w:pPr>
      <w:r>
        <w:t xml:space="preserve">Этап 4: Дивиденды (после возврата)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Инвестор (30%)</w:t>
            </w:r>
          </w:p>
        </w:tc>
        <w:tc>
          <w:tcPr/>
          <w:p>
            <w:pPr>
              <w:pStyle w:val="Compact"/>
            </w:pPr>
            <w:r>
              <w:t xml:space="preserve">Собственник (70%)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 прибыли 3 млн/мес</w:t>
            </w:r>
          </w:p>
        </w:tc>
        <w:tc>
          <w:tcPr/>
          <w:p>
            <w:pPr>
              <w:pStyle w:val="Compact"/>
            </w:pPr>
            <w:r>
              <w:t xml:space="preserve">900,000 ₸</w:t>
            </w:r>
          </w:p>
        </w:tc>
        <w:tc>
          <w:tcPr/>
          <w:p>
            <w:pPr>
              <w:pStyle w:val="Compact"/>
            </w:pPr>
            <w:r>
              <w:t xml:space="preserve">2,100,000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график-возврата-инвестиций"/>
    <w:p>
      <w:pPr>
        <w:pStyle w:val="Heading2"/>
      </w:pPr>
      <w:r>
        <w:t xml:space="preserve">График возврата инвестиций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Прибыль</w:t>
            </w:r>
          </w:p>
        </w:tc>
        <w:tc>
          <w:tcPr/>
          <w:p>
            <w:pPr>
              <w:pStyle w:val="Compact"/>
            </w:pPr>
            <w:r>
              <w:t xml:space="preserve">Возврат</w:t>
            </w:r>
          </w:p>
        </w:tc>
        <w:tc>
          <w:tcPr/>
          <w:p>
            <w:pPr>
              <w:pStyle w:val="Compact"/>
            </w:pPr>
            <w:r>
              <w:t xml:space="preserve">Остаток долга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t xml:space="preserve">-5,280,000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17,000,000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+136,000</w:t>
            </w:r>
          </w:p>
        </w:tc>
        <w:tc>
          <w:tcPr/>
          <w:p>
            <w:pPr>
              <w:pStyle w:val="Compact"/>
            </w:pPr>
            <w:r>
              <w:t xml:space="preserve">136,000</w:t>
            </w:r>
          </w:p>
        </w:tc>
        <w:tc>
          <w:tcPr/>
          <w:p>
            <w:pPr>
              <w:pStyle w:val="Compact"/>
            </w:pPr>
            <w:r>
              <w:t xml:space="preserve">16,864,000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+880,000</w:t>
            </w:r>
          </w:p>
        </w:tc>
        <w:tc>
          <w:tcPr/>
          <w:p>
            <w:pPr>
              <w:pStyle w:val="Compact"/>
            </w:pPr>
            <w:r>
              <w:t xml:space="preserve">880,000</w:t>
            </w:r>
          </w:p>
        </w:tc>
        <w:tc>
          <w:tcPr/>
          <w:p>
            <w:pPr>
              <w:pStyle w:val="Compact"/>
            </w:pPr>
            <w:r>
              <w:t xml:space="preserve">15,984,000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+1,524,000</w:t>
            </w:r>
          </w:p>
        </w:tc>
        <w:tc>
          <w:tcPr/>
          <w:p>
            <w:pPr>
              <w:pStyle w:val="Compact"/>
            </w:pPr>
            <w:r>
              <w:t xml:space="preserve">1,524,000</w:t>
            </w:r>
          </w:p>
        </w:tc>
        <w:tc>
          <w:tcPr/>
          <w:p>
            <w:pPr>
              <w:pStyle w:val="Compact"/>
            </w:pPr>
            <w:r>
              <w:t xml:space="preserve">14,460,000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+1,896,000</w:t>
            </w:r>
          </w:p>
        </w:tc>
        <w:tc>
          <w:tcPr/>
          <w:p>
            <w:pPr>
              <w:pStyle w:val="Compact"/>
            </w:pPr>
            <w:r>
              <w:t xml:space="preserve">1,896,000</w:t>
            </w:r>
          </w:p>
        </w:tc>
        <w:tc>
          <w:tcPr/>
          <w:p>
            <w:pPr>
              <w:pStyle w:val="Compact"/>
            </w:pPr>
            <w:r>
              <w:t xml:space="preserve">12,564,000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+2,168,000</w:t>
            </w:r>
          </w:p>
        </w:tc>
        <w:tc>
          <w:tcPr/>
          <w:p>
            <w:pPr>
              <w:pStyle w:val="Compact"/>
            </w:pPr>
            <w:r>
              <w:t xml:space="preserve">2,168,000</w:t>
            </w:r>
          </w:p>
        </w:tc>
        <w:tc>
          <w:tcPr/>
          <w:p>
            <w:pPr>
              <w:pStyle w:val="Compact"/>
            </w:pPr>
            <w:r>
              <w:t xml:space="preserve">10,396,000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+2,540,000</w:t>
            </w:r>
          </w:p>
        </w:tc>
        <w:tc>
          <w:tcPr/>
          <w:p>
            <w:pPr>
              <w:pStyle w:val="Compact"/>
            </w:pPr>
            <w:r>
              <w:t xml:space="preserve">2,540,000</w:t>
            </w:r>
          </w:p>
        </w:tc>
        <w:tc>
          <w:tcPr/>
          <w:p>
            <w:pPr>
              <w:pStyle w:val="Compact"/>
            </w:pPr>
            <w:r>
              <w:t xml:space="preserve">7,856,000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+2,812,000</w:t>
            </w:r>
          </w:p>
        </w:tc>
        <w:tc>
          <w:tcPr/>
          <w:p>
            <w:pPr>
              <w:pStyle w:val="Compact"/>
            </w:pPr>
            <w:r>
              <w:t xml:space="preserve">2,812,000</w:t>
            </w:r>
          </w:p>
        </w:tc>
        <w:tc>
          <w:tcPr/>
          <w:p>
            <w:pPr>
              <w:pStyle w:val="Compact"/>
            </w:pPr>
            <w:r>
              <w:t xml:space="preserve">5,044,000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+3,184,000</w:t>
            </w:r>
          </w:p>
        </w:tc>
        <w:tc>
          <w:tcPr/>
          <w:p>
            <w:pPr>
              <w:pStyle w:val="Compact"/>
            </w:pPr>
            <w:r>
              <w:t xml:space="preserve">3,184,000</w:t>
            </w:r>
          </w:p>
        </w:tc>
        <w:tc>
          <w:tcPr/>
          <w:p>
            <w:pPr>
              <w:pStyle w:val="Compact"/>
            </w:pPr>
            <w:r>
              <w:t xml:space="preserve">1,860,000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+3,456,000</w:t>
            </w:r>
          </w:p>
        </w:tc>
        <w:tc>
          <w:tcPr/>
          <w:p>
            <w:pPr>
              <w:pStyle w:val="Compact"/>
            </w:pPr>
            <w:r>
              <w:t xml:space="preserve">1,860,000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Полный возврат: 12 месяцев</w:t>
      </w:r>
    </w:p>
    <w:p>
      <w:r>
        <w:pict>
          <v:rect style="width:0;height:1.5pt" o:hralign="center" o:hrstd="t" o:hr="t"/>
        </w:pict>
      </w:r>
    </w:p>
    <w:bookmarkEnd w:id="16"/>
    <w:bookmarkStart w:id="17" w:name="после-возврата-месяц-13"/>
    <w:p>
      <w:pPr>
        <w:pStyle w:val="Heading2"/>
      </w:pPr>
      <w:r>
        <w:t xml:space="preserve">После возврата (месяц 13+)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Прибыль</w:t>
            </w:r>
          </w:p>
        </w:tc>
        <w:tc>
          <w:tcPr/>
          <w:p>
            <w:pPr>
              <w:pStyle w:val="Compact"/>
            </w:pPr>
            <w:r>
              <w:t xml:space="preserve">Инвестор (30%)</w:t>
            </w:r>
          </w:p>
        </w:tc>
        <w:tc>
          <w:tcPr/>
          <w:p>
            <w:pPr>
              <w:pStyle w:val="Compact"/>
            </w:pPr>
            <w:r>
              <w:t xml:space="preserve">Собственник (70%)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3,500,000</w:t>
            </w:r>
          </w:p>
        </w:tc>
        <w:tc>
          <w:tcPr/>
          <w:p>
            <w:pPr>
              <w:pStyle w:val="Compact"/>
            </w:pPr>
            <w:r>
              <w:t xml:space="preserve">1,050,000</w:t>
            </w:r>
          </w:p>
        </w:tc>
        <w:tc>
          <w:tcPr/>
          <w:p>
            <w:pPr>
              <w:pStyle w:val="Compact"/>
            </w:pPr>
            <w:r>
              <w:t xml:space="preserve">2,450,000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3,600,000</w:t>
            </w:r>
          </w:p>
        </w:tc>
        <w:tc>
          <w:tcPr/>
          <w:p>
            <w:pPr>
              <w:pStyle w:val="Compact"/>
            </w:pPr>
            <w:r>
              <w:t xml:space="preserve">1,080,000</w:t>
            </w:r>
          </w:p>
        </w:tc>
        <w:tc>
          <w:tcPr/>
          <w:p>
            <w:pPr>
              <w:pStyle w:val="Compact"/>
            </w:pPr>
            <w:r>
              <w:t xml:space="preserve">2,520,000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3,700,000</w:t>
            </w:r>
          </w:p>
        </w:tc>
        <w:tc>
          <w:tcPr/>
          <w:p>
            <w:pPr>
              <w:pStyle w:val="Compact"/>
            </w:pPr>
            <w:r>
              <w:t xml:space="preserve">1,110,000</w:t>
            </w:r>
          </w:p>
        </w:tc>
        <w:tc>
          <w:tcPr/>
          <w:p>
            <w:pPr>
              <w:pStyle w:val="Compact"/>
            </w:pPr>
            <w:r>
              <w:t xml:space="preserve">2,590,000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/>
          <w:bCs/>
        </w:rPr>
        <w:t xml:space="preserve">Годовой доход инвестора (после возврата): ~13 млн ₸</w:t>
      </w:r>
      <w:r>
        <w:t xml:space="preserve"> </w:t>
      </w:r>
      <w:r>
        <w:rPr>
          <w:b/>
          <w:bCs/>
        </w:rPr>
        <w:t xml:space="preserve">Годовой доход собственника: ~30 млн ₸</w:t>
      </w:r>
    </w:p>
    <w:p>
      <w:r>
        <w:pict>
          <v:rect style="width:0;height:1.5pt" o:hralign="center" o:hrstd="t" o:hr="t"/>
        </w:pict>
      </w:r>
    </w:p>
    <w:bookmarkEnd w:id="17"/>
    <w:bookmarkStart w:id="18" w:name="roi-инвестора"/>
    <w:p>
      <w:pPr>
        <w:pStyle w:val="Heading2"/>
      </w:pPr>
      <w:r>
        <w:t xml:space="preserve">ROI инвестора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Инвестиции</w:t>
            </w:r>
          </w:p>
        </w:tc>
        <w:tc>
          <w:tcPr/>
          <w:p>
            <w:pPr>
              <w:pStyle w:val="Compact"/>
            </w:pPr>
            <w:r>
              <w:t xml:space="preserve">17,000,000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Возврат</w:t>
            </w:r>
          </w:p>
        </w:tc>
        <w:tc>
          <w:tcPr/>
          <w:p>
            <w:pPr>
              <w:pStyle w:val="Compact"/>
            </w:pPr>
            <w:r>
              <w:t xml:space="preserve">17,000,000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возврата</w:t>
            </w:r>
          </w:p>
        </w:tc>
        <w:tc>
          <w:tcPr/>
          <w:p>
            <w:pPr>
              <w:pStyle w:val="Compact"/>
            </w:pPr>
            <w:r>
              <w:t xml:space="preserve">12 месяцев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Дивиденды (год 2)</w:t>
            </w:r>
          </w:p>
        </w:tc>
        <w:tc>
          <w:tcPr/>
          <w:p>
            <w:pPr>
              <w:pStyle w:val="Compact"/>
            </w:pPr>
            <w:r>
              <w:t xml:space="preserve">~13,000,000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 (год 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защита-инвестора"/>
    <w:p>
      <w:pPr>
        <w:pStyle w:val="Heading2"/>
      </w:pPr>
      <w:r>
        <w:t xml:space="preserve">Защита инвестора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Договор займа</w:t>
            </w:r>
          </w:p>
        </w:tc>
        <w:tc>
          <w:tcPr/>
          <w:p>
            <w:pPr>
              <w:pStyle w:val="Compact"/>
            </w:pPr>
            <w:r>
              <w:t xml:space="preserve">Официальное оформление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Залог</w:t>
            </w:r>
          </w:p>
        </w:tc>
        <w:tc>
          <w:tcPr/>
          <w:p>
            <w:pPr>
              <w:pStyle w:val="Compact"/>
            </w:pPr>
            <w:r>
              <w:t xml:space="preserve">Оборудование, товарные остатки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Отчетность</w:t>
            </w:r>
          </w:p>
        </w:tc>
        <w:tc>
          <w:tcPr/>
          <w:p>
            <w:pPr>
              <w:pStyle w:val="Compact"/>
            </w:pPr>
            <w:r>
              <w:t xml:space="preserve">Еженедельные финансовые отчеты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Контроль</w:t>
            </w:r>
          </w:p>
        </w:tc>
        <w:tc>
          <w:tcPr/>
          <w:p>
            <w:pPr>
              <w:pStyle w:val="Compact"/>
            </w:pPr>
            <w:r>
              <w:t xml:space="preserve">Доступ к банку, 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100% прибыли до возврата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выход-инвестора-опционально"/>
    <w:p>
      <w:pPr>
        <w:pStyle w:val="Heading2"/>
      </w:pPr>
      <w:r>
        <w:t xml:space="preserve">Выход инвестора (опционально)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Продажа доли</w:t>
            </w:r>
          </w:p>
        </w:tc>
        <w:tc>
          <w:tcPr/>
          <w:p>
            <w:pPr>
              <w:pStyle w:val="Compact"/>
            </w:pPr>
            <w:r>
              <w:t xml:space="preserve">По договоренности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Выкуп собственником</w:t>
            </w:r>
          </w:p>
        </w:tc>
        <w:tc>
          <w:tcPr/>
          <w:p>
            <w:pPr>
              <w:pStyle w:val="Compact"/>
            </w:pPr>
            <w:r>
              <w:t xml:space="preserve">После 3 лет, чек = 3× годовая прибыль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Продажа бизнеса</w:t>
            </w:r>
          </w:p>
        </w:tc>
        <w:tc>
          <w:tcPr/>
          <w:p>
            <w:pPr>
              <w:pStyle w:val="Compact"/>
            </w:pPr>
            <w:r>
              <w:t xml:space="preserve">Split 30/70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резюме-для-инвестора"/>
    <w:p>
      <w:pPr>
        <w:pStyle w:val="Heading2"/>
      </w:pPr>
      <w:r>
        <w:t xml:space="preserve">Резюме для инвестора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Инвестиции</w:t>
            </w:r>
          </w:p>
        </w:tc>
        <w:tc>
          <w:tcPr/>
          <w:p>
            <w:pPr>
              <w:pStyle w:val="Compact"/>
            </w:pPr>
            <w:r>
              <w:t xml:space="preserve">17-20 млн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Возврат 100%</w:t>
            </w:r>
          </w:p>
        </w:tc>
        <w:tc>
          <w:tcPr/>
          <w:p>
            <w:pPr>
              <w:pStyle w:val="Compact"/>
            </w:pPr>
            <w:r>
              <w:t xml:space="preserve">12 месяцев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Дивиденды</w:t>
            </w:r>
          </w:p>
        </w:tc>
        <w:tc>
          <w:tcPr/>
          <w:p>
            <w:pPr>
              <w:pStyle w:val="Compact"/>
            </w:pPr>
            <w:r>
              <w:t xml:space="preserve">30% от чистой прибыли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Годовой доход</w:t>
            </w:r>
          </w:p>
        </w:tc>
        <w:tc>
          <w:tcPr/>
          <w:p>
            <w:pPr>
              <w:pStyle w:val="Compact"/>
            </w:pPr>
            <w:r>
              <w:t xml:space="preserve">~13 млн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 (год 2)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Риски</w:t>
            </w:r>
          </w:p>
        </w:tc>
        <w:tc>
          <w:tcPr/>
          <w:p>
            <w:pPr>
              <w:pStyle w:val="Compact"/>
            </w:pPr>
            <w:r>
              <w:t xml:space="preserve">Средние (см. раздел рисков)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2026-02-07T11:02:06Z</dcterms:created>
  <dcterms:modified xsi:type="dcterms:W3CDTF">2026-02-07T11:02:06Z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