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ofia Sans" w:cs="Sofia Sans" w:eastAsia="Sofia Sans" w:hAnsi="Sofia Sans"/>
          <w:b/>
          <w:bCs/>
          <w:color w:val="691AB8"/>
          <w:spacing w:val="28"/>
          <w:sz w:val="22"/>
          <w:szCs w:val="22"/>
        </w:rPr>
        <w:t xml:space="preserve">KONEKTI  ·  INTERNAL</w:t>
      </w:r>
    </w:p>
    <w:p>
      <w:pPr>
        <w:pBdr>
          <w:bottom w:val="single" w:color="691AB8" w:sz="12" w:space="6"/>
        </w:pBdr>
        <w:spacing w:after="200"/>
      </w:pPr>
      <w:r>
        <w:rPr>
          <w:rFonts w:ascii="Work Sans" w:cs="Work Sans" w:eastAsia="Work Sans" w:hAnsi="Work Sans"/>
          <w:i/>
          <w:iCs/>
          <w:color w:val="6E6F98"/>
          <w:sz w:val="18"/>
          <w:szCs w:val="18"/>
        </w:rPr>
        <w:t xml:space="preserve">Not for circulation outside Konekti</w:t>
      </w:r>
    </w:p>
    <w:p>
      <w:pPr>
        <w:spacing w:after="60"/>
      </w:pPr>
      <w:r>
        <w:rPr>
          <w:rFonts w:ascii="Sofia Sans" w:cs="Sofia Sans" w:eastAsia="Sofia Sans" w:hAnsi="Sofia Sans"/>
          <w:b/>
          <w:bCs/>
          <w:color w:val="031441"/>
          <w:sz w:val="40"/>
          <w:szCs w:val="40"/>
        </w:rPr>
        <w:t xml:space="preserve">Innova Market Insights</w:t>
      </w:r>
    </w:p>
    <w:p>
      <w:pPr>
        <w:spacing w:after="200"/>
      </w:pPr>
      <w:r>
        <w:rPr>
          <w:rFonts w:ascii="Work Sans" w:cs="Work Sans" w:eastAsia="Work Sans" w:hAnsi="Work Sans"/>
          <w:color w:val="691AB8"/>
          <w:sz w:val="26"/>
          <w:szCs w:val="26"/>
        </w:rPr>
        <w:t xml:space="preserve">Value &amp; pricing research brief</w:t>
      </w:r>
    </w:p>
    <w:p>
      <w:pPr>
        <w:spacing w:after="80" w:line="276"/>
      </w:pPr>
      <w:r>
        <w:rPr>
          <w:rFonts w:ascii="Work Sans" w:cs="Work Sans" w:eastAsia="Work Sans" w:hAnsi="Work Sans"/>
          <w:b/>
          <w:bCs/>
          <w:i w:val="false"/>
          <w:iCs w:val="false"/>
          <w:color w:val="031441"/>
          <w:sz w:val="21"/>
          <w:szCs w:val="21"/>
        </w:rPr>
        <w:t xml:space="preserve">Purpose: </w:t>
      </w:r>
      <w:r>
        <w:rPr>
          <w:rFonts w:ascii="Work Sans" w:cs="Work Sans" w:eastAsia="Work Sans" w:hAnsi="Work Sans"/>
          <w:b w:val="false"/>
          <w:bCs w:val="false"/>
          <w:i w:val="false"/>
          <w:iCs w:val="false"/>
          <w:color w:val="354250"/>
          <w:sz w:val="21"/>
          <w:szCs w:val="21"/>
        </w:rPr>
        <w:t xml:space="preserve">estimate the cost avoided and value unlocked by a Konekti engagement, so we can set defensible price points for the work with Innova. Prepared for Adam &amp; Lotte ahead of pricing the work packages. Dated 5 June 2026.</w:t>
      </w:r>
    </w:p>
    <w:tbl>
      <w:tblPr>
        <w:tblW w:type="dxa" w:w="9360"/>
        <w:tblBorders>
          <w:top w:val="single" w:color="F2E7FE" w:sz="1"/>
          <w:left w:val="single" w:color="691AB8" w:sz="18"/>
          <w:bottom w:val="single" w:color="F2E7FE" w:sz="1"/>
          <w:right w:val="single" w:color="F2E7FE" w:sz="1"/>
          <w:insideH w:val="none"/>
          <w:insideV w:val="none"/>
        </w:tblBorders>
      </w:tblPr>
      <w:tblGrid>
        <w:gridCol w:w="9360"/>
      </w:tblGrid>
      <w:tr>
        <w:tc>
          <w:tcPr>
            <w:tcW w:type="dxa" w:w="9360"/>
            <w:shd w:fill="F2E7FE" w:val="clear"/>
            <w:tcMar>
              <w:top w:type="dxa" w:w="110"/>
              <w:left w:type="dxa" w:w="200"/>
              <w:bottom w:type="dxa" w:w="110"/>
              <w:right w:type="dxa" w:w="160"/>
            </w:tcMar>
          </w:tcPr>
          <w:p>
            <w:pPr>
              <w:spacing w:after="60"/>
            </w:pPr>
            <w:r>
              <w:rPr>
                <w:rFonts w:ascii="Sofia Sans" w:cs="Sofia Sans" w:eastAsia="Sofia Sans" w:hAnsi="Sofia Sans"/>
                <w:b/>
                <w:bCs/>
                <w:color w:val="691AB8"/>
                <w:sz w:val="21"/>
                <w:szCs w:val="21"/>
              </w:rPr>
              <w:t xml:space="preserve">How to read this brief</w:t>
            </w:r>
          </w:p>
          <w:p>
            <w:pPr>
              <w:spacing w:after="0" w:line="276"/>
            </w:pPr>
            <w:r>
              <w:rPr>
                <w:rFonts w:ascii="Work Sans" w:cs="Work Sans" w:eastAsia="Work Sans" w:hAnsi="Work Sans"/>
                <w:b w:val="false"/>
                <w:bCs w:val="false"/>
                <w:i w:val="false"/>
                <w:iCs w:val="false"/>
                <w:color w:val="354250"/>
                <w:sz w:val="21"/>
                <w:szCs w:val="21"/>
              </w:rPr>
              <w:t xml:space="preserve">Figures are flagged by how solid they are: </w:t>
            </w:r>
            <w:r>
              <w:rPr>
                <w:rFonts w:ascii="Work Sans" w:cs="Work Sans" w:eastAsia="Work Sans" w:hAnsi="Work Sans"/>
                <w:b/>
                <w:bCs/>
                <w:i w:val="false"/>
                <w:iCs w:val="false"/>
                <w:color w:val="691AB8"/>
                <w:sz w:val="21"/>
                <w:szCs w:val="21"/>
              </w:rPr>
              <w:t xml:space="preserve">[SOURCED]</w:t>
            </w:r>
            <w:r>
              <w:rPr>
                <w:rFonts w:ascii="Work Sans" w:cs="Work Sans" w:eastAsia="Work Sans" w:hAnsi="Work Sans"/>
                <w:b w:val="false"/>
                <w:bCs w:val="false"/>
                <w:i w:val="false"/>
                <w:iCs w:val="false"/>
                <w:color w:val="354250"/>
                <w:sz w:val="21"/>
                <w:szCs w:val="21"/>
              </w:rPr>
              <w:t xml:space="preserve"> = a real external figure with a citation; </w:t>
            </w:r>
            <w:r>
              <w:rPr>
                <w:rFonts w:ascii="Work Sans" w:cs="Work Sans" w:eastAsia="Work Sans" w:hAnsi="Work Sans"/>
                <w:b/>
                <w:bCs/>
                <w:i w:val="false"/>
                <w:iCs w:val="false"/>
                <w:color w:val="691AB8"/>
                <w:sz w:val="21"/>
                <w:szCs w:val="21"/>
              </w:rPr>
              <w:t xml:space="preserve">[EST]</w:t>
            </w:r>
            <w:r>
              <w:rPr>
                <w:rFonts w:ascii="Work Sans" w:cs="Work Sans" w:eastAsia="Work Sans" w:hAnsi="Work Sans"/>
                <w:b w:val="false"/>
                <w:bCs w:val="false"/>
                <w:i w:val="false"/>
                <w:iCs w:val="false"/>
                <w:color w:val="354250"/>
                <w:sz w:val="21"/>
                <w:szCs w:val="21"/>
              </w:rPr>
              <w:t xml:space="preserve"> = third-party estimate (e.g. revenue trackers); </w:t>
            </w:r>
            <w:r>
              <w:rPr>
                <w:rFonts w:ascii="Work Sans" w:cs="Work Sans" w:eastAsia="Work Sans" w:hAnsi="Work Sans"/>
                <w:b/>
                <w:bCs/>
                <w:i w:val="false"/>
                <w:iCs w:val="false"/>
                <w:color w:val="691AB8"/>
                <w:sz w:val="21"/>
                <w:szCs w:val="21"/>
              </w:rPr>
              <w:t xml:space="preserve">[ASSUMPTION]</w:t>
            </w:r>
            <w:r>
              <w:rPr>
                <w:rFonts w:ascii="Work Sans" w:cs="Work Sans" w:eastAsia="Work Sans" w:hAnsi="Work Sans"/>
                <w:b w:val="false"/>
                <w:bCs w:val="false"/>
                <w:i w:val="false"/>
                <w:iCs w:val="false"/>
                <w:color w:val="354250"/>
                <w:sz w:val="21"/>
                <w:szCs w:val="21"/>
              </w:rPr>
              <w:t xml:space="preserve"> = our own modelled judgement. Innova's own pricing is not public, so ACV is anchored to </w:t>
            </w:r>
            <w:r>
              <w:rPr>
                <w:rFonts w:ascii="Work Sans" w:cs="Work Sans" w:eastAsia="Work Sans" w:hAnsi="Work Sans"/>
                <w:b/>
                <w:bCs/>
                <w:i w:val="false"/>
                <w:iCs w:val="false"/>
                <w:color w:val="031441"/>
                <w:sz w:val="21"/>
                <w:szCs w:val="21"/>
              </w:rPr>
              <w:t xml:space="preserve">sourced competitor benchmarks</w:t>
            </w:r>
            <w:r>
              <w:rPr>
                <w:rFonts w:ascii="Work Sans" w:cs="Work Sans" w:eastAsia="Work Sans" w:hAnsi="Work Sans"/>
                <w:b w:val="false"/>
                <w:bCs w:val="false"/>
                <w:i w:val="false"/>
                <w:iCs w:val="false"/>
                <w:color w:val="354250"/>
                <w:sz w:val="21"/>
                <w:szCs w:val="21"/>
              </w:rPr>
              <w:t xml:space="preserve">, not to internal instinct. The commercial questions in the scope document are designed to replace the soft figures with Innova's real numbers. Treat the ranges as a frame for the internal pricing conversation, not as facts to quote to the client.</w:t>
            </w:r>
          </w:p>
        </w:tc>
      </w:tr>
    </w:tbl>
    <w:p>
      <w:pPr>
        <w:pStyle w:val="Heading1"/>
        <w:spacing w:after="120" w:before="240"/>
      </w:pPr>
      <w:r>
        <w:rPr>
          <w:rFonts w:ascii="Sofia Sans" w:cs="Sofia Sans" w:eastAsia="Sofia Sans" w:hAnsi="Sofia Sans"/>
          <w:b/>
          <w:bCs/>
          <w:color w:val="031441"/>
          <w:sz w:val="34"/>
          <w:szCs w:val="34"/>
        </w:rPr>
        <w:t xml:space="preserve">1. 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Attribute</w:t>
            </w:r>
          </w:p>
        </w:tc>
        <w:tc>
          <w:tcPr>
            <w:tcW w:type="dxa" w:w="606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What we found</w:t>
            </w:r>
          </w:p>
        </w:tc>
      </w:tr>
      <w:tr>
        <w:trPr>
          <w:tblHeader w:val="false"/>
        </w:trPr>
        <w:tc>
          <w:tcPr>
            <w:tcW w:type="dxa" w:w="3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Business</w:t>
            </w:r>
          </w:p>
        </w:tc>
        <w:tc>
          <w:tcPr>
            <w:tcW w:type="dxa" w:w="60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Global market-intelligence firm for food, beverage, beauty, personal care, packaging. Tracks new-product launches in 90+ countries; sells subscriptions + custom reports.</w:t>
            </w:r>
          </w:p>
        </w:tc>
      </w:tr>
      <w:tr>
        <w:trPr>
          <w:tblHeader w:val="false"/>
        </w:trPr>
        <w:tc>
          <w:tcPr>
            <w:tcW w:type="dxa" w:w="3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HQ / footprint</w:t>
            </w:r>
          </w:p>
        </w:tc>
        <w:tc>
          <w:tcPr>
            <w:tcW w:type="dxa" w:w="60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Arnhem, NL. Founded 1994. 10+ offices worldwide (Chicago, Mexico City, Tokyo, Shanghai, São Paulo, Sydney, Chennai, Jakarta, Seoul).</w:t>
            </w:r>
          </w:p>
        </w:tc>
      </w:tr>
      <w:tr>
        <w:trPr>
          <w:tblHeader w:val="false"/>
        </w:trPr>
        <w:tc>
          <w:tcPr>
            <w:tcW w:type="dxa" w:w="3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Leadership</w:t>
            </w:r>
          </w:p>
        </w:tc>
        <w:tc>
          <w:tcPr>
            <w:tcW w:type="dxa" w:w="60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CEO Patrick Mannion; Co-founder &amp; Global Insights Director Lu Ann Williams.</w:t>
            </w:r>
          </w:p>
        </w:tc>
      </w:tr>
      <w:tr>
        <w:trPr>
          <w:tblHeader w:val="false"/>
        </w:trPr>
        <w:tc>
          <w:tcPr>
            <w:tcW w:type="dxa" w:w="3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Employees</w:t>
            </w:r>
          </w:p>
        </w:tc>
        <w:tc>
          <w:tcPr>
            <w:tcW w:type="dxa" w:w="60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201–500 band (LinkedIn). Third-party trackers: ~106 (PitchBook) to ~222 (Growjo). [EST] Working figure: ~150–220, growing (~22% headcount growth cited). [EST]</w:t>
            </w:r>
          </w:p>
        </w:tc>
      </w:tr>
      <w:tr>
        <w:trPr>
          <w:tblHeader w:val="false"/>
        </w:trPr>
        <w:tc>
          <w:tcPr>
            <w:tcW w:type="dxa" w:w="3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Revenue</w:t>
            </w:r>
          </w:p>
        </w:tc>
        <w:tc>
          <w:tcPr>
            <w:tcW w:type="dxa" w:w="60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~€54–61M (US$58.8M RocketReach / US$65.9M Growjo, 2025). [EST] Unverified; converged enough to use as an order-of-magnitude anchor.</w:t>
            </w:r>
          </w:p>
        </w:tc>
      </w:tr>
      <w:tr>
        <w:trPr>
          <w:tblHeader w:val="false"/>
        </w:trPr>
        <w:tc>
          <w:tcPr>
            <w:tcW w:type="dxa" w:w="3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Customers</w:t>
            </w:r>
          </w:p>
        </w:tc>
        <w:tc>
          <w:tcPr>
            <w:tcW w:type="dxa" w:w="60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Top-500 FMCG / agrifood / retail groups (e.g. references to Coca-Cola). Mix of large enterprise subscribers and one-off report buyers.</w:t>
            </w:r>
          </w:p>
        </w:tc>
      </w:tr>
      <w:tr>
        <w:trPr>
          <w:tblHeader w:val="false"/>
        </w:trPr>
        <w:tc>
          <w:tcPr>
            <w:tcW w:type="dxa" w:w="3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Tech reality (from call)</w:t>
            </w:r>
          </w:p>
        </w:tc>
        <w:tc>
          <w:tcPr>
            <w:tcW w:type="dxa" w:w="60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Microsoft stack: Dynamics 365 (CRM + likely ERP), Oracle Eloqua (email), custom CRM-analysis dashboard, Power BI on Dynamics, Amazon Redshift, GA4 + Matomo. 10 disconnected systems. ~20–60K unique web visitors/month — small data.</w:t>
            </w:r>
          </w:p>
        </w:tc>
      </w:tr>
    </w:tbl>
    <w:tbl>
      <w:tblPr>
        <w:tblW w:type="dxa" w:w="9360"/>
        <w:tblBorders>
          <w:top w:val="single" w:color="FEEEDC" w:sz="1"/>
          <w:left w:val="single" w:color="FFAA00" w:sz="18"/>
          <w:bottom w:val="single" w:color="FEEEDC" w:sz="1"/>
          <w:right w:val="single" w:color="FEEEDC" w:sz="1"/>
          <w:insideH w:val="none"/>
          <w:insideV w:val="none"/>
        </w:tblBorders>
      </w:tblPr>
      <w:tblGrid>
        <w:gridCol w:w="9360"/>
      </w:tblGrid>
      <w:tr>
        <w:tc>
          <w:tcPr>
            <w:tcW w:type="dxa" w:w="9360"/>
            <w:shd w:fill="FEEEDC" w:val="clear"/>
            <w:tcMar>
              <w:top w:type="dxa" w:w="110"/>
              <w:left w:type="dxa" w:w="200"/>
              <w:bottom w:type="dxa" w:w="110"/>
              <w:right w:type="dxa" w:w="160"/>
            </w:tcMar>
          </w:tcPr>
          <w:p>
            <w:pPr>
              <w:spacing w:after="60"/>
            </w:pPr>
            <w:r>
              <w:rPr>
                <w:rFonts w:ascii="Sofia Sans" w:cs="Sofia Sans" w:eastAsia="Sofia Sans" w:hAnsi="Sofia Sans"/>
                <w:b/>
                <w:bCs/>
                <w:color w:val="FFAA00"/>
                <w:sz w:val="21"/>
                <w:szCs w:val="21"/>
              </w:rPr>
              <w:t xml:space="preserve">The trigger event</w:t>
            </w:r>
          </w:p>
          <w:p>
            <w:pPr>
              <w:spacing w:after="0" w:line="276"/>
            </w:pPr>
            <w:r>
              <w:rPr>
                <w:rFonts w:ascii="Work Sans" w:cs="Work Sans" w:eastAsia="Work Sans" w:hAnsi="Work Sans"/>
                <w:b w:val="false"/>
                <w:bCs w:val="false"/>
                <w:i w:val="false"/>
                <w:iCs w:val="false"/>
                <w:color w:val="354250"/>
                <w:sz w:val="21"/>
                <w:szCs w:val="21"/>
              </w:rPr>
              <w:t xml:space="preserve">Innova recently lost one of its largest clients with no warning and no ability to look back and understand why. Andrzej: there was </w:t>
            </w:r>
            <w:r>
              <w:rPr>
                <w:rFonts w:ascii="Work Sans" w:cs="Work Sans" w:eastAsia="Work Sans" w:hAnsi="Work Sans"/>
                <w:b w:val="false"/>
                <w:bCs w:val="false"/>
                <w:i/>
                <w:iCs/>
                <w:color w:val="354250"/>
                <w:sz w:val="21"/>
                <w:szCs w:val="21"/>
              </w:rPr>
              <w:t xml:space="preserve">no intuition</w:t>
            </w:r>
            <w:r>
              <w:rPr>
                <w:rFonts w:ascii="Work Sans" w:cs="Work Sans" w:eastAsia="Work Sans" w:hAnsi="Work Sans"/>
                <w:b w:val="false"/>
                <w:bCs w:val="false"/>
                <w:i w:val="false"/>
                <w:iCs w:val="false"/>
                <w:color w:val="354250"/>
                <w:sz w:val="21"/>
                <w:szCs w:val="21"/>
              </w:rPr>
              <w:t xml:space="preserve"> — “we’re just losing clients.” After three years of him pushing, leadership has finally said yes to end-to-end analytics. </w:t>
            </w:r>
            <w:r>
              <w:rPr>
                <w:rFonts w:ascii="Work Sans" w:cs="Work Sans" w:eastAsia="Work Sans" w:hAnsi="Work Sans"/>
                <w:b/>
                <w:bCs/>
                <w:i w:val="false"/>
                <w:iCs w:val="false"/>
                <w:color w:val="031441"/>
                <w:sz w:val="21"/>
                <w:szCs w:val="21"/>
              </w:rPr>
              <w:t xml:space="preserve">This is the budget-opening moment. The value case must be anchored to retained client revenue, not to marketing-metric tidiness.</w:t>
            </w:r>
          </w:p>
        </w:tc>
      </w:tr>
    </w:tbl>
    <w:p>
      <w:r>
        <w:br w:type="page"/>
      </w:r>
    </w:p>
    <w:p>
      <w:pPr>
        <w:pStyle w:val="Heading1"/>
        <w:spacing w:after="120" w:before="240"/>
      </w:pPr>
      <w:r>
        <w:rPr>
          <w:rFonts w:ascii="Sofia Sans" w:cs="Sofia Sans" w:eastAsia="Sofia Sans" w:hAnsi="Sofia Sans"/>
          <w:b/>
          <w:bCs/>
          <w:color w:val="031441"/>
          <w:sz w:val="34"/>
          <w:szCs w:val="34"/>
        </w:rPr>
        <w:t xml:space="preserve">2. The value model</w:t>
      </w:r>
    </w:p>
    <w:p>
      <w:pPr>
        <w:spacing w:after="120" w:line="276"/>
      </w:pPr>
      <w:r>
        <w:rPr>
          <w:rFonts w:ascii="Work Sans" w:cs="Work Sans" w:eastAsia="Work Sans" w:hAnsi="Work Sans"/>
          <w:b w:val="false"/>
          <w:bCs w:val="false"/>
          <w:i w:val="false"/>
          <w:iCs w:val="false"/>
          <w:color w:val="354250"/>
          <w:sz w:val="21"/>
          <w:szCs w:val="21"/>
        </w:rPr>
        <w:t xml:space="preserve">Three value pools, in priority order. Pool A (churn) is the one that opens the wallet; B and C are the optimisation upside that justifies continued spend.</w:t>
      </w:r>
    </w:p>
    <w:p>
      <w:pPr>
        <w:pStyle w:val="Heading2"/>
        <w:spacing w:after="100" w:before="240"/>
      </w:pPr>
      <w:r>
        <w:rPr>
          <w:rFonts w:ascii="Sofia Sans" w:cs="Sofia Sans" w:eastAsia="Sofia Sans" w:hAnsi="Sofia Sans"/>
          <w:b/>
          <w:bCs/>
          <w:color w:val="691AB8"/>
          <w:sz w:val="27"/>
          <w:szCs w:val="27"/>
        </w:rPr>
        <w:t xml:space="preserve">Pool A — Churn avoided (the headline)</w:t>
      </w:r>
    </w:p>
    <w:p>
      <w:pPr>
        <w:spacing w:after="120" w:line="276"/>
      </w:pPr>
      <w:r>
        <w:rPr>
          <w:rFonts w:ascii="Work Sans" w:cs="Work Sans" w:eastAsia="Work Sans" w:hAnsi="Work Sans"/>
          <w:b w:val="false"/>
          <w:bCs w:val="false"/>
          <w:i w:val="false"/>
          <w:iCs w:val="false"/>
          <w:color w:val="354250"/>
          <w:sz w:val="21"/>
          <w:szCs w:val="21"/>
        </w:rPr>
        <w:t xml:space="preserve">This is the dominant number and the one to anchor pricing to. We do not yet know Innova's average contract value (ACV), so we model a range. The questions in the scope doc will pin it down.</w:t>
      </w:r>
    </w:p>
    <w:p>
      <w:pPr>
        <w:spacing w:after="60" w:before="160"/>
      </w:pPr>
      <w:r>
        <w:rPr>
          <w:rFonts w:ascii="Sofia Sans" w:cs="Sofia Sans" w:eastAsia="Sofia Sans" w:hAnsi="Sofia Sans"/>
          <w:b/>
          <w:bCs/>
          <w:color w:val="031441"/>
          <w:sz w:val="22"/>
          <w:szCs w:val="22"/>
        </w:rPr>
        <w:t xml:space="preserve">Benchmark evidence [SOURCED]</w:t>
      </w:r>
    </w:p>
    <w:p>
      <w:pPr>
        <w:spacing w:after="80" w:line="276"/>
      </w:pPr>
      <w:r>
        <w:rPr>
          <w:rFonts w:ascii="Work Sans" w:cs="Work Sans" w:eastAsia="Work Sans" w:hAnsi="Work Sans"/>
          <w:b w:val="false"/>
          <w:bCs w:val="false"/>
          <w:i w:val="false"/>
          <w:iCs w:val="false"/>
          <w:color w:val="354250"/>
          <w:sz w:val="21"/>
          <w:szCs w:val="21"/>
        </w:rPr>
        <w:t xml:space="preserve">Innova publishes no prices — every report and subscription is gated behind “contact us to purchase.” So there is no public Innova number to cite. Instead we triangulate from the named competitors that review sites (G2) list as Innova's direct alternatives, plus a public-sector procurement record. These are real market figures, not internal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Source</w:t>
            </w:r>
          </w:p>
        </w:tc>
        <w:tc>
          <w:tcPr>
            <w:tcW w:type="dxa" w:w="29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Figure</w:t>
            </w:r>
          </w:p>
        </w:tc>
        <w:tc>
          <w:tcPr>
            <w:tcW w:type="dxa" w:w="346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What it tells us</w:t>
            </w:r>
          </w:p>
        </w:tc>
      </w:tr>
      <w:tr>
        <w:trPr>
          <w:tblHeader w:val="false"/>
        </w:trPr>
        <w:tc>
          <w:tcPr>
            <w:tcW w:type="dxa" w:w="30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Euromonitor Passport (industry insider, Quora)</w:t>
            </w:r>
          </w:p>
        </w:tc>
        <w:tc>
          <w:tcPr>
            <w:tcW w:type="dxa" w:w="29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Enterprise/global: mid five-figures to low six-figures USD/yr. Single-country / limited module: ~USD 3–40K/yr.</w:t>
            </w:r>
          </w:p>
        </w:tc>
        <w:tc>
          <w:tcPr>
            <w:tcW w:type="dxa" w:w="34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Closest analogue to an Innova enterprise subscription. Sets the upper and entry bands.</w:t>
            </w:r>
          </w:p>
        </w:tc>
      </w:tr>
      <w:tr>
        <w:trPr>
          <w:tblHeader w:val="false"/>
        </w:trPr>
        <w:tc>
          <w:tcPr>
            <w:tcW w:type="dxa" w:w="30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Mintel (same source)</w:t>
            </w:r>
          </w:p>
        </w:tc>
        <w:tc>
          <w:tcPr>
            <w:tcW w:type="dxa" w:w="29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Single reports: USD hundreds. Thematic subscription: low five-figures/yr. Full multi-market: higher five-figures.</w:t>
            </w:r>
          </w:p>
        </w:tc>
        <w:tc>
          <w:tcPr>
            <w:tcW w:type="dxa" w:w="34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Mintel is Innova's #1 listed alternative. Brackets mid-tier subscription ACV.</w:t>
            </w:r>
          </w:p>
        </w:tc>
      </w:tr>
      <w:tr>
        <w:trPr>
          <w:tblHeader w:val="false"/>
        </w:trPr>
        <w:tc>
          <w:tcPr>
            <w:tcW w:type="dxa" w:w="30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Euromonitor named reports</w:t>
            </w:r>
          </w:p>
        </w:tc>
        <w:tc>
          <w:tcPr>
            <w:tcW w:type="dxa" w:w="29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Soft drinks category report ~USD 1,325; sports-drinks country report ~USD 990; Research Monitor site-wide ~USD 5,000/yr.</w:t>
            </w:r>
          </w:p>
        </w:tc>
        <w:tc>
          <w:tcPr>
            <w:tcW w:type="dxa" w:w="34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Real per-report prices — Innova's one-off report line sits in this single-thousands range, not €5–15K.</w:t>
            </w:r>
          </w:p>
        </w:tc>
      </w:tr>
      <w:tr>
        <w:trPr>
          <w:tblHeader w:val="false"/>
        </w:trPr>
        <w:tc>
          <w:tcPr>
            <w:tcW w:type="dxa" w:w="30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Nielsen / Kantar (same source)</w:t>
            </w:r>
          </w:p>
        </w:tc>
        <w:tc>
          <w:tcPr>
            <w:tcW w:type="dxa" w:w="29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Enterprise contracts commonly six figures/yr; single-market packages in the tens of thousands.</w:t>
            </w:r>
          </w:p>
        </w:tc>
        <w:tc>
          <w:tcPr>
            <w:tcW w:type="dxa" w:w="34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Ceiling reference for the largest FMCG accounts.</w:t>
            </w:r>
          </w:p>
        </w:tc>
      </w:tr>
      <w:tr>
        <w:trPr>
          <w:tblHeader w:val="false"/>
        </w:trPr>
        <w:tc>
          <w:tcPr>
            <w:tcW w:type="dxa" w:w="30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UK gov market-intelligence contract (Innovate UK, public tender)</w:t>
            </w:r>
          </w:p>
        </w:tc>
        <w:tc>
          <w:tcPr>
            <w:tcW w:type="dxa" w:w="29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£0–110,000 over ~2 years.</w:t>
            </w:r>
          </w:p>
        </w:tc>
        <w:tc>
          <w:tcPr>
            <w:tcW w:type="dxa" w:w="34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A disclosed real contract for this category of service — ~€30–60K/yr equivalent for a substantial subscriber.</w:t>
            </w:r>
          </w:p>
        </w:tc>
      </w:tr>
    </w:tbl>
    <w:p>
      <w:pPr>
        <w:spacing w:after="120" w:line="276"/>
      </w:pPr>
      <w:r>
        <w:rPr>
          <w:rFonts w:ascii="Work Sans" w:cs="Work Sans" w:eastAsia="Work Sans" w:hAnsi="Work Sans"/>
          <w:b/>
          <w:bCs/>
          <w:i w:val="false"/>
          <w:iCs w:val="false"/>
          <w:color w:val="031441"/>
          <w:sz w:val="21"/>
          <w:szCs w:val="21"/>
        </w:rPr>
        <w:t xml:space="preserve">Cross-check on the prior internal guess: </w:t>
      </w:r>
      <w:r>
        <w:rPr>
          <w:rFonts w:ascii="Work Sans" w:cs="Work Sans" w:eastAsia="Work Sans" w:hAnsi="Work Sans"/>
          <w:b w:val="false"/>
          <w:bCs w:val="false"/>
          <w:i w:val="false"/>
          <w:iCs w:val="false"/>
          <w:color w:val="354250"/>
          <w:sz w:val="21"/>
          <w:szCs w:val="21"/>
        </w:rPr>
        <w:t xml:space="preserve">Adam's call instinct (subscriptions €20–50K, reports €5–15K) lands close on subscriptions — the Mintel/Euromonitor mid-market is right there — but was high on one-off reports, which the named prices put in the single-thousands. Grounding the model in data tightens it rather than overturning it.</w:t>
      </w:r>
    </w:p>
    <w:p>
      <w:pPr>
        <w:spacing w:after="60" w:before="160"/>
      </w:pPr>
      <w:r>
        <w:rPr>
          <w:rFonts w:ascii="Sofia Sans" w:cs="Sofia Sans" w:eastAsia="Sofia Sans" w:hAnsi="Sofia Sans"/>
          <w:b/>
          <w:bCs/>
          <w:color w:val="031441"/>
          <w:sz w:val="22"/>
          <w:szCs w:val="22"/>
        </w:rPr>
        <w:t xml:space="preserve">ACV scenarios, benchmark-anchored</w:t>
      </w:r>
    </w:p>
    <w:p>
      <w:pPr>
        <w:spacing w:after="80" w:line="276"/>
      </w:pPr>
      <w:r>
        <w:rPr>
          <w:rFonts w:ascii="Work Sans" w:cs="Work Sans" w:eastAsia="Work Sans" w:hAnsi="Work Sans"/>
          <w:b w:val="false"/>
          <w:bCs w:val="false"/>
          <w:i w:val="false"/>
          <w:iCs w:val="false"/>
          <w:color w:val="354250"/>
          <w:sz w:val="21"/>
          <w:szCs w:val="21"/>
        </w:rPr>
        <w:t xml:space="preserve">Re-derived from the benchmarks above (not from instinct). Bands in EUR, 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ACV scenario</w:t>
            </w:r>
          </w:p>
        </w:tc>
        <w:tc>
          <w:tcPr>
            <w:tcW w:type="dxa" w:w="27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Annual value</w:t>
            </w:r>
          </w:p>
        </w:tc>
        <w:tc>
          <w:tcPr>
            <w:tcW w:type="dxa" w:w="396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Benchmark basis</w:t>
            </w:r>
          </w:p>
        </w:tc>
      </w:tr>
      <w:tr>
        <w:trPr>
          <w:tblHeader w:val="false"/>
        </w:trPr>
        <w:tc>
          <w:tcPr>
            <w:tcW w:type="dxa" w:w="27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Entry</w:t>
            </w:r>
          </w:p>
        </w:tc>
        <w:tc>
          <w:tcPr>
            <w:tcW w:type="dxa" w:w="27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€10,000–€25,000</w:t>
            </w:r>
          </w:p>
        </w:tc>
        <w:tc>
          <w:tcPr>
            <w:tcW w:type="dxa" w:w="39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Mintel thematic / Euromonitor limited-module subscription range</w:t>
            </w:r>
          </w:p>
        </w:tc>
      </w:tr>
      <w:tr>
        <w:trPr>
          <w:tblHeader w:val="false"/>
        </w:trPr>
        <w:tc>
          <w:tcPr>
            <w:tcW w:type="dxa" w:w="27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Mid (working anchor)</w:t>
            </w:r>
          </w:p>
        </w:tc>
        <w:tc>
          <w:tcPr>
            <w:tcW w:type="dxa" w:w="27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€40,000–€75,000</w:t>
            </w:r>
          </w:p>
        </w:tc>
        <w:tc>
          <w:tcPr>
            <w:tcW w:type="dxa" w:w="39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Euromonitor mid enterprise / Mintel multi-market; matches the UK gov ~€30–60K/yr contract</w:t>
            </w:r>
          </w:p>
        </w:tc>
      </w:tr>
      <w:tr>
        <w:trPr>
          <w:tblHeader w:val="false"/>
        </w:trPr>
        <w:tc>
          <w:tcPr>
            <w:tcW w:type="dxa" w:w="27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Large (“biggest client”)</w:t>
            </w:r>
          </w:p>
        </w:tc>
        <w:tc>
          <w:tcPr>
            <w:tcW w:type="dxa" w:w="27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€100,000–€250,000+</w:t>
            </w:r>
          </w:p>
        </w:tc>
        <w:tc>
          <w:tcPr>
            <w:tcW w:type="dxa" w:w="39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Euromonitor low-six-figure / Nielsen-Kantar enterprise tier</w:t>
            </w:r>
          </w:p>
        </w:tc>
      </w:tr>
    </w:tbl>
    <w:p>
      <w:pPr>
        <w:spacing w:after="120" w:line="276"/>
      </w:pPr>
      <w:r>
        <w:rPr>
          <w:rFonts w:ascii="Work Sans" w:cs="Work Sans" w:eastAsia="Work Sans" w:hAnsi="Work Sans"/>
          <w:b w:val="false"/>
          <w:bCs w:val="false"/>
          <w:i w:val="false"/>
          <w:iCs w:val="false"/>
          <w:color w:val="354250"/>
          <w:sz w:val="21"/>
          <w:szCs w:val="21"/>
        </w:rPr>
        <w:t xml:space="preserve">Note: the client they </w:t>
      </w:r>
      <w:r>
        <w:rPr>
          <w:rFonts w:ascii="Work Sans" w:cs="Work Sans" w:eastAsia="Work Sans" w:hAnsi="Work Sans"/>
          <w:b w:val="false"/>
          <w:bCs w:val="false"/>
          <w:i/>
          <w:iCs/>
          <w:color w:val="354250"/>
          <w:sz w:val="21"/>
          <w:szCs w:val="21"/>
        </w:rPr>
        <w:t xml:space="preserve">just lost</w:t>
      </w:r>
      <w:r>
        <w:rPr>
          <w:rFonts w:ascii="Work Sans" w:cs="Work Sans" w:eastAsia="Work Sans" w:hAnsi="Work Sans"/>
          <w:b w:val="false"/>
          <w:bCs w:val="false"/>
          <w:i w:val="false"/>
          <w:iCs w:val="false"/>
          <w:color w:val="354250"/>
          <w:sz w:val="21"/>
          <w:szCs w:val="21"/>
        </w:rPr>
        <w:t xml:space="preserve"> was one of their biggest — so the relevant anchor for the churn case is the large band (six figures), not the average. The mid band (~€60K) is the safe working figure for modelling repeatable saves.</w:t>
      </w:r>
    </w:p>
    <w:p>
      <w:pPr>
        <w:spacing w:after="60" w:before="160"/>
      </w:pPr>
      <w:r>
        <w:rPr>
          <w:rFonts w:ascii="Sofia Sans" w:cs="Sofia Sans" w:eastAsia="Sofia Sans" w:hAnsi="Sofia Sans"/>
          <w:b/>
          <w:bCs/>
          <w:color w:val="031441"/>
          <w:sz w:val="22"/>
          <w:szCs w:val="22"/>
        </w:rPr>
        <w:t xml:space="preserve">Churn-avoidance value</w:t>
      </w:r>
    </w:p>
    <w:p>
      <w:pPr>
        <w:spacing w:after="80" w:line="276"/>
      </w:pPr>
      <w:r>
        <w:rPr>
          <w:rFonts w:ascii="Work Sans" w:cs="Work Sans" w:eastAsia="Work Sans" w:hAnsi="Work Sans"/>
          <w:b w:val="false"/>
          <w:bCs w:val="false"/>
          <w:i w:val="false"/>
          <w:iCs w:val="false"/>
          <w:color w:val="354250"/>
          <w:sz w:val="21"/>
          <w:szCs w:val="21"/>
        </w:rPr>
        <w:t xml:space="preserve">Value unlocked = (accounts saved per year) × (ACV) × (years retained). Even a tiny absolute number of saves dwarfs the cost of the work. Illustratively, at the benchmark-anchored mid ACV (~€60K):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Outcome</w:t>
            </w:r>
          </w:p>
        </w:tc>
        <w:tc>
          <w:tcPr>
            <w:tcW w:type="dxa" w:w="23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Accounts saved/yr</w:t>
            </w:r>
          </w:p>
        </w:tc>
        <w:tc>
          <w:tcPr>
            <w:tcW w:type="dxa" w:w="23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Annual value retained</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Save 1 mid account</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~€60,000</w:t>
            </w:r>
          </w:p>
        </w:tc>
      </w:tr>
      <w:tr>
        <w:trPr>
          <w:tblHeader w:val="false"/>
        </w:trPr>
        <w:tc>
          <w:tcPr>
            <w:tcW w:type="dxa" w:w="468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Save 2 mid accounts</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2</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~€120,000</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Save 1 large account (e.g. another “biggest”)</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€100,000–250,000+</w:t>
            </w:r>
          </w:p>
        </w:tc>
      </w:tr>
    </w:tbl>
    <w:tbl>
      <w:tblPr>
        <w:tblW w:type="dxa" w:w="9360"/>
        <w:tblBorders>
          <w:top w:val="single" w:color="F2E7FE" w:sz="1"/>
          <w:left w:val="single" w:color="691AB8" w:sz="18"/>
          <w:bottom w:val="single" w:color="F2E7FE" w:sz="1"/>
          <w:right w:val="single" w:color="F2E7FE" w:sz="1"/>
          <w:insideH w:val="none"/>
          <w:insideV w:val="none"/>
        </w:tblBorders>
      </w:tblPr>
      <w:tblGrid>
        <w:gridCol w:w="9360"/>
      </w:tblGrid>
      <w:tr>
        <w:tc>
          <w:tcPr>
            <w:tcW w:type="dxa" w:w="9360"/>
            <w:shd w:fill="F2E7FE" w:val="clear"/>
            <w:tcMar>
              <w:top w:type="dxa" w:w="110"/>
              <w:left w:type="dxa" w:w="200"/>
              <w:bottom w:type="dxa" w:w="110"/>
              <w:right w:type="dxa" w:w="160"/>
            </w:tcMar>
          </w:tcPr>
          <w:p>
            <w:pPr>
              <w:spacing w:after="60"/>
            </w:pPr>
            <w:r>
              <w:rPr>
                <w:rFonts w:ascii="Sofia Sans" w:cs="Sofia Sans" w:eastAsia="Sofia Sans" w:hAnsi="Sofia Sans"/>
                <w:b/>
                <w:bCs/>
                <w:color w:val="691AB8"/>
                <w:sz w:val="21"/>
                <w:szCs w:val="21"/>
              </w:rPr>
              <w:t xml:space="preserve">Pricing implication — Pool A</w:t>
            </w:r>
          </w:p>
          <w:p>
            <w:pPr>
              <w:spacing w:after="0" w:line="276"/>
            </w:pPr>
            <w:r>
              <w:rPr>
                <w:rFonts w:ascii="Work Sans" w:cs="Work Sans" w:eastAsia="Work Sans" w:hAnsi="Work Sans"/>
                <w:b w:val="false"/>
                <w:bCs w:val="false"/>
                <w:i w:val="false"/>
                <w:iCs w:val="false"/>
                <w:color w:val="354250"/>
                <w:sz w:val="21"/>
                <w:szCs w:val="21"/>
              </w:rPr>
              <w:t xml:space="preserve">A single retained mid-tier account (~€60K) pays back a year-one engagement on its own; a retained </w:t>
            </w:r>
            <w:r>
              <w:rPr>
                <w:rFonts w:ascii="Work Sans" w:cs="Work Sans" w:eastAsia="Work Sans" w:hAnsi="Work Sans"/>
                <w:b w:val="false"/>
                <w:bCs w:val="false"/>
                <w:i/>
                <w:iCs/>
                <w:color w:val="354250"/>
                <w:sz w:val="21"/>
                <w:szCs w:val="21"/>
              </w:rPr>
              <w:t xml:space="preserve">large</w:t>
            </w:r>
            <w:r>
              <w:rPr>
                <w:rFonts w:ascii="Work Sans" w:cs="Work Sans" w:eastAsia="Work Sans" w:hAnsi="Work Sans"/>
                <w:b w:val="false"/>
                <w:bCs w:val="false"/>
                <w:i w:val="false"/>
                <w:iCs w:val="false"/>
                <w:color w:val="354250"/>
                <w:sz w:val="21"/>
                <w:szCs w:val="21"/>
              </w:rPr>
              <w:t xml:space="preserve"> account (six figures) pays it back several times over. This is the “one customer not churning and you’ve already paid it back” logic Lotte raised — now anchored to competitor benchmarks rather than instinct — and the math supports a software + services number comfortably in the </w:t>
            </w:r>
            <w:r>
              <w:rPr>
                <w:rFonts w:ascii="Work Sans" w:cs="Work Sans" w:eastAsia="Work Sans" w:hAnsi="Work Sans"/>
                <w:b/>
                <w:bCs/>
                <w:i w:val="false"/>
                <w:iCs w:val="false"/>
                <w:color w:val="031441"/>
                <w:sz w:val="21"/>
                <w:szCs w:val="21"/>
              </w:rPr>
              <w:t xml:space="preserve">€50–100K year-one range</w:t>
            </w:r>
            <w:r>
              <w:rPr>
                <w:rFonts w:ascii="Work Sans" w:cs="Work Sans" w:eastAsia="Work Sans" w:hAnsi="Work Sans"/>
                <w:b w:val="false"/>
                <w:bCs w:val="false"/>
                <w:i w:val="false"/>
                <w:iCs w:val="false"/>
                <w:color w:val="354250"/>
                <w:sz w:val="21"/>
                <w:szCs w:val="21"/>
              </w:rPr>
              <w:t xml:space="preserve"> without the ROI looking unreasonable.</w:t>
            </w:r>
          </w:p>
        </w:tc>
      </w:tr>
    </w:tbl>
    <w:p>
      <w:pPr>
        <w:pStyle w:val="Heading2"/>
        <w:spacing w:after="100" w:before="240"/>
      </w:pPr>
      <w:r>
        <w:rPr>
          <w:rFonts w:ascii="Sofia Sans" w:cs="Sofia Sans" w:eastAsia="Sofia Sans" w:hAnsi="Sofia Sans"/>
          <w:b/>
          <w:bCs/>
          <w:color w:val="691AB8"/>
          <w:sz w:val="27"/>
          <w:szCs w:val="27"/>
        </w:rPr>
        <w:t xml:space="preserve">Pool B — Marketing spend reallocated</w:t>
      </w:r>
    </w:p>
    <w:p>
      <w:pPr>
        <w:spacing w:after="80" w:line="276"/>
      </w:pPr>
      <w:r>
        <w:rPr>
          <w:rFonts w:ascii="Work Sans" w:cs="Work Sans" w:eastAsia="Work Sans" w:hAnsi="Work Sans"/>
          <w:b w:val="false"/>
          <w:bCs w:val="false"/>
          <w:i w:val="false"/>
          <w:iCs w:val="false"/>
          <w:color w:val="354250"/>
          <w:sz w:val="21"/>
          <w:szCs w:val="21"/>
        </w:rPr>
        <w:t xml:space="preserve">Andrzej's own 80/20 framing: one source brings 80% of clients while budget is spread evenly, so a large share of spend sits on low-yield channels. We don't yet know total marketing spend [need answer], but the savings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If annual marketing spend is…</w:t>
            </w:r>
          </w:p>
        </w:tc>
        <w:tc>
          <w:tcPr>
            <w:tcW w:type="dxa" w:w="468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Reallocating ~20–30% to high-yield channels…</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€200,000</w:t>
            </w:r>
          </w:p>
        </w:tc>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frees / re-earns €40,000–60,000 of effectiveness per year [ASSUMPTION]</w:t>
            </w:r>
          </w:p>
        </w:tc>
      </w:tr>
      <w:tr>
        <w:trPr>
          <w:tblHeader w:val="false"/>
        </w:trPr>
        <w:tc>
          <w:tcPr>
            <w:tcW w:type="dxa" w:w="468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€500,000</w:t>
            </w:r>
          </w:p>
        </w:tc>
        <w:tc>
          <w:tcPr>
            <w:tcW w:type="dxa" w:w="468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frees / re-earns €100,000–150,000 per year [ASSUMPTION]</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€1,000,000</w:t>
            </w:r>
          </w:p>
        </w:tc>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frees / re-earns €200,000–300,000 per year [ASSUMPTION]</w:t>
            </w:r>
          </w:p>
        </w:tc>
      </w:tr>
    </w:tbl>
    <w:p>
      <w:pPr>
        <w:spacing w:after="120" w:line="276"/>
      </w:pPr>
      <w:r>
        <w:rPr>
          <w:rFonts w:ascii="Work Sans" w:cs="Work Sans" w:eastAsia="Work Sans" w:hAnsi="Work Sans"/>
          <w:b w:val="false"/>
          <w:bCs w:val="false"/>
          <w:i w:val="false"/>
          <w:iCs w:val="false"/>
          <w:color w:val="354250"/>
          <w:sz w:val="21"/>
          <w:szCs w:val="21"/>
        </w:rPr>
        <w:t xml:space="preserve">This is recurring and compounds annually — strong justification for an ongoing license/retainer after the first packages land.</w:t>
      </w:r>
    </w:p>
    <w:p>
      <w:pPr>
        <w:pStyle w:val="Heading2"/>
        <w:spacing w:after="100" w:before="240"/>
      </w:pPr>
      <w:r>
        <w:rPr>
          <w:rFonts w:ascii="Sofia Sans" w:cs="Sofia Sans" w:eastAsia="Sofia Sans" w:hAnsi="Sofia Sans"/>
          <w:b/>
          <w:bCs/>
          <w:color w:val="691AB8"/>
          <w:sz w:val="27"/>
          <w:szCs w:val="27"/>
        </w:rPr>
        <w:t xml:space="preserve">Pool C — Analyst time recovered</w:t>
      </w:r>
    </w:p>
    <w:p>
      <w:pPr>
        <w:spacing w:after="80" w:line="276"/>
      </w:pPr>
      <w:r>
        <w:rPr>
          <w:rFonts w:ascii="Work Sans" w:cs="Work Sans" w:eastAsia="Work Sans" w:hAnsi="Work Sans"/>
          <w:b w:val="false"/>
          <w:bCs w:val="false"/>
          <w:i w:val="false"/>
          <w:iCs w:val="false"/>
          <w:color w:val="354250"/>
          <w:sz w:val="21"/>
          <w:szCs w:val="21"/>
        </w:rPr>
        <w:t xml:space="preserve">Today the metrics are assembled </w:t>
      </w:r>
      <w:r>
        <w:rPr>
          <w:rFonts w:ascii="Work Sans" w:cs="Work Sans" w:eastAsia="Work Sans" w:hAnsi="Work Sans"/>
          <w:b w:val="false"/>
          <w:bCs w:val="false"/>
          <w:i/>
          <w:iCs/>
          <w:color w:val="354250"/>
          <w:sz w:val="21"/>
          <w:szCs w:val="21"/>
        </w:rPr>
        <w:t xml:space="preserve">by hand in Excel across multiple teams</w:t>
      </w:r>
      <w:r>
        <w:rPr>
          <w:rFonts w:ascii="Work Sans" w:cs="Work Sans" w:eastAsia="Work Sans" w:hAnsi="Work Sans"/>
          <w:b w:val="false"/>
          <w:bCs w:val="false"/>
          <w:i w:val="false"/>
          <w:iCs w:val="false"/>
          <w:color w:val="354250"/>
          <w:sz w:val="21"/>
          <w:szCs w:val="21"/>
        </w:rPr>
        <w:t xml:space="preserve">. Recovered effort is real but small next to A and B — use it as supporting colour, not the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Assumption [ASSUMPTION]</w:t>
            </w:r>
          </w:p>
        </w:tc>
        <w:tc>
          <w:tcPr>
            <w:tcW w:type="dxa" w:w="23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Value</w:t>
            </w:r>
          </w:p>
        </w:tc>
        <w:tc>
          <w:tcPr>
            <w:tcW w:type="dxa" w:w="23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Notes</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~1.5 FTE-equivalent on manual reporting</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~€90,000/yr loaded</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Several people part-time; fully-loaded NL cost</w:t>
            </w:r>
          </w:p>
        </w:tc>
      </w:tr>
      <w:tr>
        <w:trPr>
          <w:tblHeader w:val="false"/>
        </w:trPr>
        <w:tc>
          <w:tcPr>
            <w:tcW w:type="dxa" w:w="468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Reclaim ~60% via automation</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~€54,000/yr</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Conservative; rest reinvested in analysis</w:t>
            </w:r>
          </w:p>
        </w:tc>
      </w:tr>
    </w:tbl>
    <w:p>
      <w:r>
        <w:br w:type="page"/>
      </w:r>
    </w:p>
    <w:p>
      <w:pPr>
        <w:pStyle w:val="Heading1"/>
        <w:spacing w:after="120" w:before="240"/>
      </w:pPr>
      <w:r>
        <w:rPr>
          <w:rFonts w:ascii="Sofia Sans" w:cs="Sofia Sans" w:eastAsia="Sofia Sans" w:hAnsi="Sofia Sans"/>
          <w:b/>
          <w:bCs/>
          <w:color w:val="031441"/>
          <w:sz w:val="34"/>
          <w:szCs w:val="34"/>
        </w:rPr>
        <w:t xml:space="preserve">3. Pricing logic</w:t>
      </w:r>
    </w:p>
    <w:p>
      <w:pPr>
        <w:spacing w:after="120" w:line="276"/>
      </w:pPr>
      <w:r>
        <w:rPr>
          <w:rFonts w:ascii="Work Sans" w:cs="Work Sans" w:eastAsia="Work Sans" w:hAnsi="Work Sans"/>
          <w:b w:val="false"/>
          <w:bCs w:val="false"/>
          <w:i w:val="false"/>
          <w:iCs w:val="false"/>
          <w:color w:val="354250"/>
          <w:sz w:val="21"/>
          <w:szCs w:val="21"/>
        </w:rPr>
        <w:t xml:space="preserve">Two independent anchors should bracket the price: </w:t>
      </w:r>
      <w:r>
        <w:rPr>
          <w:rFonts w:ascii="Work Sans" w:cs="Work Sans" w:eastAsia="Work Sans" w:hAnsi="Work Sans"/>
          <w:b/>
          <w:bCs/>
          <w:i w:val="false"/>
          <w:iCs w:val="false"/>
          <w:color w:val="031441"/>
          <w:sz w:val="21"/>
          <w:szCs w:val="21"/>
        </w:rPr>
        <w:t xml:space="preserve">value-based</w:t>
      </w:r>
      <w:r>
        <w:rPr>
          <w:rFonts w:ascii="Work Sans" w:cs="Work Sans" w:eastAsia="Work Sans" w:hAnsi="Work Sans"/>
          <w:b w:val="false"/>
          <w:bCs w:val="false"/>
          <w:i w:val="false"/>
          <w:iCs w:val="false"/>
          <w:color w:val="354250"/>
          <w:sz w:val="21"/>
          <w:szCs w:val="21"/>
        </w:rPr>
        <w:t xml:space="preserve"> (a fraction of value unlocked) and </w:t>
      </w:r>
      <w:r>
        <w:rPr>
          <w:rFonts w:ascii="Work Sans" w:cs="Work Sans" w:eastAsia="Work Sans" w:hAnsi="Work Sans"/>
          <w:b/>
          <w:bCs/>
          <w:i w:val="false"/>
          <w:iCs w:val="false"/>
          <w:color w:val="031441"/>
          <w:sz w:val="21"/>
          <w:szCs w:val="21"/>
        </w:rPr>
        <w:t xml:space="preserve">cost-plus</w:t>
      </w:r>
      <w:r>
        <w:rPr>
          <w:rFonts w:ascii="Work Sans" w:cs="Work Sans" w:eastAsia="Work Sans" w:hAnsi="Work Sans"/>
          <w:b w:val="false"/>
          <w:bCs w:val="false"/>
          <w:i w:val="false"/>
          <w:iCs w:val="false"/>
          <w:color w:val="354250"/>
          <w:sz w:val="21"/>
          <w:szCs w:val="21"/>
        </w:rPr>
        <w:t xml:space="preserve"> (effort × rate, premium on the parts only we can do). Where they overlap is the defensible range.</w:t>
      </w:r>
    </w:p>
    <w:p>
      <w:pPr>
        <w:pStyle w:val="Heading2"/>
        <w:spacing w:after="100" w:before="240"/>
      </w:pPr>
      <w:r>
        <w:rPr>
          <w:rFonts w:ascii="Sofia Sans" w:cs="Sofia Sans" w:eastAsia="Sofia Sans" w:hAnsi="Sofia Sans"/>
          <w:b/>
          <w:bCs/>
          <w:color w:val="691AB8"/>
          <w:sz w:val="27"/>
          <w:szCs w:val="27"/>
        </w:rPr>
        <w:t xml:space="preserve">Anchor 1 — Value-based ceiling</w:t>
      </w:r>
    </w:p>
    <w:p>
      <w:pPr>
        <w:spacing w:after="80" w:line="276"/>
      </w:pPr>
      <w:r>
        <w:rPr>
          <w:rFonts w:ascii="Work Sans" w:cs="Work Sans" w:eastAsia="Work Sans" w:hAnsi="Work Sans"/>
          <w:b w:val="false"/>
          <w:bCs w:val="false"/>
          <w:i w:val="false"/>
          <w:iCs w:val="false"/>
          <w:color w:val="354250"/>
          <w:sz w:val="21"/>
          <w:szCs w:val="21"/>
        </w:rPr>
        <w:t xml:space="preserve">Rule of thumb: price a first engagement at a clear ROI &gt; 1 for the client, typically capturing 10–25% of year-one value unlocked. Using the conservative-to-mid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Year-one value unlocked (cons.–mid)</w:t>
            </w:r>
          </w:p>
        </w:tc>
        <w:tc>
          <w:tcPr>
            <w:tcW w:type="dxa" w:w="23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Low blend</w:t>
            </w:r>
          </w:p>
        </w:tc>
        <w:tc>
          <w:tcPr>
            <w:tcW w:type="dxa" w:w="23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High blend</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Pool A churn (1 mid save → 1 large save)</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€60,000</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€150,000</w:t>
            </w:r>
          </w:p>
        </w:tc>
      </w:tr>
      <w:tr>
        <w:trPr>
          <w:tblHeader w:val="false"/>
        </w:trPr>
        <w:tc>
          <w:tcPr>
            <w:tcW w:type="dxa" w:w="468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Pool B reallocation (€200–500K spend)</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€40,000</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€150,000</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Pool C time</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€54,000</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€54,000</w:t>
            </w:r>
          </w:p>
        </w:tc>
      </w:tr>
      <w:tr>
        <w:trPr>
          <w:tblHeader w:val="false"/>
        </w:trPr>
        <w:tc>
          <w:tcPr>
            <w:tcW w:type="dxa" w:w="468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Indicative total value/yr</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€154,000</w:t>
            </w:r>
          </w:p>
        </w:tc>
        <w:tc>
          <w:tcPr>
            <w:tcW w:type="dxa" w:w="23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€354,000+</w:t>
            </w:r>
          </w:p>
        </w:tc>
      </w:tr>
      <w:tr>
        <w:trPr>
          <w:tblHeader w:val="false"/>
        </w:trPr>
        <w:tc>
          <w:tcPr>
            <w:tcW w:type="dxa" w:w="468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Capture at 15–25%</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€23,000–€39,000</w:t>
            </w:r>
          </w:p>
        </w:tc>
        <w:tc>
          <w:tcPr>
            <w:tcW w:type="dxa" w:w="23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€53,000–€88,000+</w:t>
            </w:r>
          </w:p>
        </w:tc>
      </w:tr>
    </w:tbl>
    <w:p>
      <w:pPr>
        <w:spacing w:after="120" w:line="276"/>
      </w:pPr>
      <w:r>
        <w:rPr>
          <w:rFonts w:ascii="Work Sans" w:cs="Work Sans" w:eastAsia="Work Sans" w:hAnsi="Work Sans"/>
          <w:b w:val="false"/>
          <w:bCs w:val="false"/>
          <w:i w:val="false"/>
          <w:iCs w:val="false"/>
          <w:color w:val="354250"/>
          <w:sz w:val="21"/>
          <w:szCs w:val="21"/>
        </w:rPr>
        <w:t xml:space="preserve">Reads as: a </w:t>
      </w:r>
      <w:r>
        <w:rPr>
          <w:rFonts w:ascii="Work Sans" w:cs="Work Sans" w:eastAsia="Work Sans" w:hAnsi="Work Sans"/>
          <w:b/>
          <w:bCs/>
          <w:i w:val="false"/>
          <w:iCs w:val="false"/>
          <w:color w:val="691AB8"/>
          <w:sz w:val="21"/>
          <w:szCs w:val="21"/>
        </w:rPr>
        <w:t xml:space="preserve">€50–90K</w:t>
      </w:r>
      <w:r>
        <w:rPr>
          <w:rFonts w:ascii="Work Sans" w:cs="Work Sans" w:eastAsia="Work Sans" w:hAnsi="Work Sans"/>
          <w:b w:val="false"/>
          <w:bCs w:val="false"/>
          <w:i w:val="false"/>
          <w:iCs w:val="false"/>
          <w:color w:val="354250"/>
          <w:sz w:val="21"/>
          <w:szCs w:val="21"/>
        </w:rPr>
        <w:t xml:space="preserve"> year-one envelope is justifiable on value even before counting a large-account save, which would push the ceiling higher.</w:t>
      </w:r>
    </w:p>
    <w:p>
      <w:pPr>
        <w:pStyle w:val="Heading2"/>
        <w:spacing w:after="100" w:before="240"/>
      </w:pPr>
      <w:r>
        <w:rPr>
          <w:rFonts w:ascii="Sofia Sans" w:cs="Sofia Sans" w:eastAsia="Sofia Sans" w:hAnsi="Sofia Sans"/>
          <w:b/>
          <w:bCs/>
          <w:color w:val="691AB8"/>
          <w:sz w:val="27"/>
          <w:szCs w:val="27"/>
        </w:rPr>
        <w:t xml:space="preserve">Anchor 2 — Cost-plus floor, by layer</w:t>
      </w:r>
    </w:p>
    <w:p>
      <w:pPr>
        <w:spacing w:after="80" w:line="276"/>
      </w:pPr>
      <w:r>
        <w:rPr>
          <w:rFonts w:ascii="Work Sans" w:cs="Work Sans" w:eastAsia="Work Sans" w:hAnsi="Work Sans"/>
          <w:b w:val="false"/>
          <w:bCs w:val="false"/>
          <w:i w:val="false"/>
          <w:iCs w:val="false"/>
          <w:color w:val="354250"/>
          <w:sz w:val="21"/>
          <w:szCs w:val="21"/>
        </w:rPr>
        <w:t xml:space="preserve">From the scope doc's four layers. Price the commodity layer at-or-above market (so they prefer to self-serve), and the Konekti-core layers competitively but with margin. Day-rate </w:t>
      </w:r>
      <w:r>
        <w:rPr>
          <w:rFonts w:ascii="Work Sans" w:cs="Work Sans" w:eastAsia="Work Sans" w:hAnsi="Work Sans"/>
          <w:b/>
          <w:bCs/>
          <w:i w:val="false"/>
          <w:iCs w:val="false"/>
          <w:color w:val="691AB8"/>
          <w:sz w:val="21"/>
          <w:szCs w:val="21"/>
        </w:rPr>
        <w:t xml:space="preserve">[ASSUMPTION]</w:t>
      </w:r>
      <w:r>
        <w:rPr>
          <w:rFonts w:ascii="Work Sans" w:cs="Work Sans" w:eastAsia="Work Sans" w:hAnsi="Work Sans"/>
          <w:b w:val="false"/>
          <w:bCs w:val="false"/>
          <w:i w:val="false"/>
          <w:iCs w:val="false"/>
          <w:color w:val="354250"/>
          <w:sz w:val="21"/>
          <w:szCs w:val="21"/>
        </w:rPr>
        <w:t xml:space="preserve"> used purely to frame internal floor — adjust to Konekti's actual loaded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Layer</w:t>
            </w:r>
          </w:p>
        </w:tc>
        <w:tc>
          <w:tcPr>
            <w:tcW w:type="dxa" w:w="23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Who</w:t>
            </w:r>
          </w:p>
        </w:tc>
        <w:tc>
          <w:tcPr>
            <w:tcW w:type="dxa" w:w="23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Effort posture</w:t>
            </w:r>
          </w:p>
        </w:tc>
        <w:tc>
          <w:tcPr>
            <w:tcW w:type="dxa" w:w="23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Pricing posture</w:t>
            </w:r>
          </w:p>
        </w:tc>
      </w:tr>
      <w:tr>
        <w:trPr>
          <w:tblHeader w:val="false"/>
        </w:trPr>
        <w:tc>
          <w:tcPr>
            <w:tcW w:type="dxa" w:w="24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1 Integration</w:t>
            </w:r>
          </w:p>
        </w:tc>
        <w:tc>
          <w:tcPr>
            <w:tcW w:type="dxa" w:w="2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Client / us</w:t>
            </w:r>
          </w:p>
        </w:tc>
        <w:tc>
          <w:tcPr>
            <w:tcW w:type="dxa" w:w="2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Highest manual effort, per-source</w:t>
            </w:r>
          </w:p>
        </w:tc>
        <w:tc>
          <w:tcPr>
            <w:tcW w:type="dxa" w:w="2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Premium if we do it; encourage self-serve</w:t>
            </w:r>
          </w:p>
        </w:tc>
      </w:tr>
      <w:tr>
        <w:trPr>
          <w:tblHeader w:val="false"/>
        </w:trPr>
        <w:tc>
          <w:tcPr>
            <w:tcW w:type="dxa" w:w="24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2 Modelling</w:t>
            </w:r>
          </w:p>
        </w:tc>
        <w:tc>
          <w:tcPr>
            <w:tcW w:type="dxa" w:w="2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Konekti</w:t>
            </w:r>
          </w:p>
        </w:tc>
        <w:tc>
          <w:tcPr>
            <w:tcW w:type="dxa" w:w="2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Our core; efficient</w:t>
            </w:r>
          </w:p>
        </w:tc>
        <w:tc>
          <w:tcPr>
            <w:tcW w:type="dxa" w:w="2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Competitive, healthy margin</w:t>
            </w:r>
          </w:p>
        </w:tc>
      </w:tr>
      <w:tr>
        <w:trPr>
          <w:tblHeader w:val="false"/>
        </w:trPr>
        <w:tc>
          <w:tcPr>
            <w:tcW w:type="dxa" w:w="24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3 Analytics &amp; AI</w:t>
            </w:r>
          </w:p>
        </w:tc>
        <w:tc>
          <w:tcPr>
            <w:tcW w:type="dxa" w:w="2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Konekti</w:t>
            </w:r>
          </w:p>
        </w:tc>
        <w:tc>
          <w:tcPr>
            <w:tcW w:type="dxa" w:w="2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Our core; reusable</w:t>
            </w:r>
          </w:p>
        </w:tc>
        <w:tc>
          <w:tcPr>
            <w:tcW w:type="dxa" w:w="23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Competitive, healthy margin</w:t>
            </w:r>
          </w:p>
        </w:tc>
      </w:tr>
      <w:tr>
        <w:trPr>
          <w:tblHeader w:val="false"/>
        </w:trPr>
        <w:tc>
          <w:tcPr>
            <w:tcW w:type="dxa" w:w="24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4 Handover</w:t>
            </w:r>
          </w:p>
        </w:tc>
        <w:tc>
          <w:tcPr>
            <w:tcW w:type="dxa" w:w="2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Konekti</w:t>
            </w:r>
          </w:p>
        </w:tc>
        <w:tc>
          <w:tcPr>
            <w:tcW w:type="dxa" w:w="2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Light</w:t>
            </w:r>
          </w:p>
        </w:tc>
        <w:tc>
          <w:tcPr>
            <w:tcW w:type="dxa" w:w="23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Bundled / nominal</w:t>
            </w:r>
          </w:p>
        </w:tc>
      </w:tr>
    </w:tbl>
    <w:p>
      <w:pPr>
        <w:spacing w:after="60" w:line="276"/>
      </w:pPr>
      <w:r>
        <w:rPr>
          <w:rFonts w:ascii="Work Sans" w:cs="Work Sans" w:eastAsia="Work Sans" w:hAnsi="Work Sans"/>
          <w:b w:val="false"/>
          <w:bCs w:val="false"/>
          <w:i w:val="false"/>
          <w:iCs w:val="false"/>
          <w:color w:val="354250"/>
          <w:sz w:val="21"/>
          <w:szCs w:val="21"/>
        </w:rPr>
        <w:t xml:space="preserve">Per-package commercial shape to test internally with Lotte:</w:t>
      </w:r>
    </w:p>
    <w:p>
      <w:pPr>
        <w:pStyle w:val="ListParagraph"/>
        <w:numPr>
          <w:ilvl w:val="0"/>
          <w:numId w:val="2"/>
        </w:numPr>
        <w:spacing w:after="60" w:line="276"/>
      </w:pPr>
      <w:r>
        <w:rPr>
          <w:rFonts w:ascii="Work Sans" w:cs="Work Sans" w:eastAsia="Work Sans" w:hAnsi="Work Sans"/>
          <w:b/>
          <w:bCs/>
          <w:i w:val="false"/>
          <w:iCs w:val="false"/>
          <w:color w:val="354250"/>
          <w:sz w:val="21"/>
          <w:szCs w:val="21"/>
        </w:rPr>
        <w:t xml:space="preserve">Recurring software/license: </w:t>
      </w:r>
      <w:r>
        <w:rPr>
          <w:rFonts w:ascii="Work Sans" w:cs="Work Sans" w:eastAsia="Work Sans" w:hAnsi="Work Sans"/>
          <w:b w:val="false"/>
          <w:bCs w:val="false"/>
          <w:i w:val="false"/>
          <w:iCs w:val="false"/>
          <w:color w:val="354250"/>
          <w:sz w:val="21"/>
          <w:szCs w:val="21"/>
        </w:rPr>
        <w:t xml:space="preserve">€20–40K/yr [ASSUMPTION] — the annuity; maps to Pool B's recurring upside.</w:t>
      </w:r>
    </w:p>
    <w:p>
      <w:pPr>
        <w:pStyle w:val="ListParagraph"/>
        <w:numPr>
          <w:ilvl w:val="0"/>
          <w:numId w:val="2"/>
        </w:numPr>
        <w:spacing w:after="60" w:line="276"/>
      </w:pPr>
      <w:r>
        <w:rPr>
          <w:rFonts w:ascii="Work Sans" w:cs="Work Sans" w:eastAsia="Work Sans" w:hAnsi="Work Sans"/>
          <w:b/>
          <w:bCs/>
          <w:i w:val="false"/>
          <w:iCs w:val="false"/>
          <w:color w:val="354250"/>
          <w:sz w:val="21"/>
          <w:szCs w:val="21"/>
        </w:rPr>
        <w:t xml:space="preserve">One-time implementation (first package, WP1): </w:t>
      </w:r>
      <w:r>
        <w:rPr>
          <w:rFonts w:ascii="Work Sans" w:cs="Work Sans" w:eastAsia="Work Sans" w:hAnsi="Work Sans"/>
          <w:b w:val="false"/>
          <w:bCs w:val="false"/>
          <w:i w:val="false"/>
          <w:iCs w:val="false"/>
          <w:color w:val="354250"/>
          <w:sz w:val="21"/>
          <w:szCs w:val="21"/>
        </w:rPr>
        <w:t xml:space="preserve">€25–45K [ASSUMPTION] depending on Layer-1 effort once the tech answers land.</w:t>
      </w:r>
    </w:p>
    <w:p>
      <w:pPr>
        <w:pStyle w:val="ListParagraph"/>
        <w:numPr>
          <w:ilvl w:val="0"/>
          <w:numId w:val="2"/>
        </w:numPr>
        <w:spacing w:after="60" w:line="276"/>
      </w:pPr>
      <w:r>
        <w:rPr>
          <w:rFonts w:ascii="Work Sans" w:cs="Work Sans" w:eastAsia="Work Sans" w:hAnsi="Work Sans"/>
          <w:b/>
          <w:bCs/>
          <w:i w:val="false"/>
          <w:iCs w:val="false"/>
          <w:color w:val="354250"/>
          <w:sz w:val="21"/>
          <w:szCs w:val="21"/>
        </w:rPr>
        <w:t xml:space="preserve">Retainer / continued service: </w:t>
      </w:r>
      <w:r>
        <w:rPr>
          <w:rFonts w:ascii="Work Sans" w:cs="Work Sans" w:eastAsia="Work Sans" w:hAnsi="Work Sans"/>
          <w:b w:val="false"/>
          <w:bCs w:val="false"/>
          <w:i w:val="false"/>
          <w:iCs w:val="false"/>
          <w:color w:val="354250"/>
          <w:sz w:val="21"/>
          <w:szCs w:val="21"/>
        </w:rPr>
        <w:t xml:space="preserve">“you can run it yourself, but to keep extending it expect ~€X/yr” — frame as optional, value-anchored.</w:t>
      </w:r>
    </w:p>
    <w:p>
      <w:pPr>
        <w:spacing w:after="80"/>
      </w:pPr>
      <w:r>
        <w:t xml:space="preserve"/>
      </w:r>
    </w:p>
    <w:tbl>
      <w:tblPr>
        <w:tblW w:type="dxa" w:w="9360"/>
        <w:tblBorders>
          <w:top w:val="single" w:color="F2E7FE" w:sz="1"/>
          <w:left w:val="single" w:color="691AB8" w:sz="18"/>
          <w:bottom w:val="single" w:color="F2E7FE" w:sz="1"/>
          <w:right w:val="single" w:color="F2E7FE" w:sz="1"/>
          <w:insideH w:val="none"/>
          <w:insideV w:val="none"/>
        </w:tblBorders>
      </w:tblPr>
      <w:tblGrid>
        <w:gridCol w:w="9360"/>
      </w:tblGrid>
      <w:tr>
        <w:tc>
          <w:tcPr>
            <w:tcW w:type="dxa" w:w="9360"/>
            <w:shd w:fill="F2E7FE" w:val="clear"/>
            <w:tcMar>
              <w:top w:type="dxa" w:w="110"/>
              <w:left w:type="dxa" w:w="200"/>
              <w:bottom w:type="dxa" w:w="110"/>
              <w:right w:type="dxa" w:w="160"/>
            </w:tcMar>
          </w:tcPr>
          <w:p>
            <w:pPr>
              <w:spacing w:after="60"/>
            </w:pPr>
            <w:r>
              <w:rPr>
                <w:rFonts w:ascii="Sofia Sans" w:cs="Sofia Sans" w:eastAsia="Sofia Sans" w:hAnsi="Sofia Sans"/>
                <w:b/>
                <w:bCs/>
                <w:color w:val="691AB8"/>
                <w:sz w:val="21"/>
                <w:szCs w:val="21"/>
              </w:rPr>
              <w:t xml:space="preserve">Where the two anchors meet</w:t>
            </w:r>
          </w:p>
          <w:p>
            <w:pPr>
              <w:spacing w:after="0" w:line="276"/>
            </w:pPr>
            <w:r>
              <w:rPr>
                <w:rFonts w:ascii="Work Sans" w:cs="Work Sans" w:eastAsia="Work Sans" w:hAnsi="Work Sans"/>
                <w:b w:val="false"/>
                <w:bCs w:val="false"/>
                <w:i w:val="false"/>
                <w:iCs w:val="false"/>
                <w:color w:val="354250"/>
                <w:sz w:val="21"/>
                <w:szCs w:val="21"/>
              </w:rPr>
              <w:t xml:space="preserve">Value ceiling (~€50–90K) and cost-plus floor (~€45–85K year-one all-in: implementation + first-year license) </w:t>
            </w:r>
            <w:r>
              <w:rPr>
                <w:rFonts w:ascii="Work Sans" w:cs="Work Sans" w:eastAsia="Work Sans" w:hAnsi="Work Sans"/>
                <w:b/>
                <w:bCs/>
                <w:i w:val="false"/>
                <w:iCs w:val="false"/>
                <w:color w:val="031441"/>
                <w:sz w:val="21"/>
                <w:szCs w:val="21"/>
              </w:rPr>
              <w:t xml:space="preserve">overlap cleanly around €50–85K for year one</w:t>
            </w:r>
            <w:r>
              <w:rPr>
                <w:rFonts w:ascii="Work Sans" w:cs="Work Sans" w:eastAsia="Work Sans" w:hAnsi="Work Sans"/>
                <w:b w:val="false"/>
                <w:bCs w:val="false"/>
                <w:i w:val="false"/>
                <w:iCs w:val="false"/>
                <w:color w:val="354250"/>
                <w:sz w:val="21"/>
                <w:szCs w:val="21"/>
              </w:rPr>
              <w:t xml:space="preserve">. That is the internal target band to walk into the Lotte pricing session with — to be confirmed against her independent benchmark and the client's real ACV / spend numbers.</w:t>
            </w:r>
          </w:p>
        </w:tc>
      </w:tr>
    </w:tbl>
    <w:p>
      <w:r>
        <w:br w:type="page"/>
      </w:r>
    </w:p>
    <w:p>
      <w:pPr>
        <w:pStyle w:val="Heading1"/>
        <w:spacing w:after="120" w:before="240"/>
      </w:pPr>
      <w:r>
        <w:rPr>
          <w:rFonts w:ascii="Sofia Sans" w:cs="Sofia Sans" w:eastAsia="Sofia Sans" w:hAnsi="Sofia Sans"/>
          <w:b/>
          <w:bCs/>
          <w:color w:val="031441"/>
          <w:sz w:val="34"/>
          <w:szCs w:val="34"/>
        </w:rPr>
        <w:t xml:space="preserve">4. The five numbers that move the price</w:t>
      </w:r>
    </w:p>
    <w:p>
      <w:pPr>
        <w:spacing w:after="120" w:line="276"/>
      </w:pPr>
      <w:r>
        <w:rPr>
          <w:rFonts w:ascii="Work Sans" w:cs="Work Sans" w:eastAsia="Work Sans" w:hAnsi="Work Sans"/>
          <w:b w:val="false"/>
          <w:bCs w:val="false"/>
          <w:i w:val="false"/>
          <w:iCs w:val="false"/>
          <w:color w:val="354250"/>
          <w:sz w:val="21"/>
          <w:szCs w:val="21"/>
        </w:rPr>
        <w:t xml:space="preserve">Each of these swings the model materially. Listed by leverage. The first two are in the client-facing scope doc's commercial questions; get them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rPr>
          <w:tblHeader/>
        </w:trPr>
        <w:tc>
          <w:tcPr>
            <w:tcW w:type="dxa" w:w="52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w:t>
            </w:r>
          </w:p>
        </w:tc>
        <w:tc>
          <w:tcPr>
            <w:tcW w:type="dxa" w:w="44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Number to get</w:t>
            </w:r>
          </w:p>
        </w:tc>
        <w:tc>
          <w:tcPr>
            <w:tcW w:type="dxa" w:w="444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Why it moves the price</w:t>
            </w:r>
          </w:p>
        </w:tc>
      </w:tr>
      <w:tr>
        <w:trPr>
          <w:tblHeader w:val="false"/>
        </w:trPr>
        <w:tc>
          <w:tcPr>
            <w:tcW w:type="dxa" w:w="5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1</w:t>
            </w:r>
          </w:p>
        </w:tc>
        <w:tc>
          <w:tcPr>
            <w:tcW w:type="dxa" w:w="44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Average &amp; top-tier ACV (and typical tenure)</w:t>
            </w:r>
          </w:p>
        </w:tc>
        <w:tc>
          <w:tcPr>
            <w:tcW w:type="dxa" w:w="44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Sets Pool A entirely — the headline value and the ROI story.</w:t>
            </w:r>
          </w:p>
        </w:tc>
      </w:tr>
      <w:tr>
        <w:trPr>
          <w:tblHeader w:val="false"/>
        </w:trPr>
        <w:tc>
          <w:tcPr>
            <w:tcW w:type="dxa" w:w="5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2</w:t>
            </w:r>
          </w:p>
        </w:tc>
        <w:tc>
          <w:tcPr>
            <w:tcW w:type="dxa" w:w="44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Total annual marketing spend + concentration</w:t>
            </w:r>
          </w:p>
        </w:tc>
        <w:tc>
          <w:tcPr>
            <w:tcW w:type="dxa" w:w="44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Sets Pool B — the recurring upside and license justification.</w:t>
            </w:r>
          </w:p>
        </w:tc>
      </w:tr>
      <w:tr>
        <w:trPr>
          <w:tblHeader w:val="false"/>
        </w:trPr>
        <w:tc>
          <w:tcPr>
            <w:tcW w:type="dxa" w:w="5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3</w:t>
            </w:r>
          </w:p>
        </w:tc>
        <w:tc>
          <w:tcPr>
            <w:tcW w:type="dxa" w:w="44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Lost client's annual value</w:t>
            </w:r>
          </w:p>
        </w:tc>
        <w:tc>
          <w:tcPr>
            <w:tcW w:type="dxa" w:w="44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The single sharpest anchor for the churn case; may be the biggest number on the page.</w:t>
            </w:r>
          </w:p>
        </w:tc>
      </w:tr>
      <w:tr>
        <w:trPr>
          <w:tblHeader w:val="false"/>
        </w:trPr>
        <w:tc>
          <w:tcPr>
            <w:tcW w:type="dxa" w:w="5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4</w:t>
            </w:r>
          </w:p>
        </w:tc>
        <w:tc>
          <w:tcPr>
            <w:tcW w:type="dxa" w:w="44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Layer-1 data state (UTMs, identity, Redshift connections)</w:t>
            </w:r>
          </w:p>
        </w:tc>
        <w:tc>
          <w:tcPr>
            <w:tcW w:type="dxa" w:w="444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Sets implementation effort, hence the cost-plus floor per package.</w:t>
            </w:r>
          </w:p>
        </w:tc>
      </w:tr>
      <w:tr>
        <w:trPr>
          <w:tblHeader w:val="false"/>
        </w:trPr>
        <w:tc>
          <w:tcPr>
            <w:tcW w:type="dxa" w:w="5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5</w:t>
            </w:r>
          </w:p>
        </w:tc>
        <w:tc>
          <w:tcPr>
            <w:tcW w:type="dxa" w:w="44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Year-one budget range they expect</w:t>
            </w:r>
          </w:p>
        </w:tc>
        <w:tc>
          <w:tcPr>
            <w:tcW w:type="dxa" w:w="444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Tells us where their ceiling is vs. our value/cost band.</w:t>
            </w:r>
          </w:p>
        </w:tc>
      </w:tr>
    </w:tbl>
    <w:p>
      <w:pPr>
        <w:pStyle w:val="Heading2"/>
        <w:spacing w:after="100" w:before="240"/>
      </w:pPr>
      <w:r>
        <w:rPr>
          <w:rFonts w:ascii="Sofia Sans" w:cs="Sofia Sans" w:eastAsia="Sofia Sans" w:hAnsi="Sofia Sans"/>
          <w:b/>
          <w:bCs/>
          <w:color w:val="691AB8"/>
          <w:sz w:val="27"/>
          <w:szCs w:val="27"/>
        </w:rPr>
        <w:t xml:space="preserve">Sensitivity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Lever</w:t>
            </w:r>
          </w:p>
        </w:tc>
        <w:tc>
          <w:tcPr>
            <w:tcW w:type="dxa" w:w="312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Pushes price DOWN if…</w:t>
            </w:r>
          </w:p>
        </w:tc>
        <w:tc>
          <w:tcPr>
            <w:tcW w:type="dxa" w:w="312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Pushes price UP if…</w:t>
            </w:r>
          </w:p>
        </w:tc>
      </w:tr>
      <w:tr>
        <w:trPr>
          <w:tblHeader w:val="false"/>
        </w:trPr>
        <w:tc>
          <w:tcPr>
            <w:tcW w:type="dxa" w:w="31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ACV</w:t>
            </w:r>
          </w:p>
        </w:tc>
        <w:tc>
          <w:tcPr>
            <w:tcW w:type="dxa" w:w="31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low (€30K)</w:t>
            </w:r>
          </w:p>
        </w:tc>
        <w:tc>
          <w:tcPr>
            <w:tcW w:type="dxa" w:w="31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high (€150K+); lost client was large</w:t>
            </w:r>
          </w:p>
        </w:tc>
      </w:tr>
      <w:tr>
        <w:trPr>
          <w:tblHeader w:val="false"/>
        </w:trPr>
        <w:tc>
          <w:tcPr>
            <w:tcW w:type="dxa" w:w="31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Marketing spend</w:t>
            </w:r>
          </w:p>
        </w:tc>
        <w:tc>
          <w:tcPr>
            <w:tcW w:type="dxa" w:w="31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small (&lt;€200K)</w:t>
            </w:r>
          </w:p>
        </w:tc>
        <w:tc>
          <w:tcPr>
            <w:tcW w:type="dxa" w:w="31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large (&gt;€500K), evenly spread</w:t>
            </w:r>
          </w:p>
        </w:tc>
      </w:tr>
      <w:tr>
        <w:trPr>
          <w:tblHeader w:val="false"/>
        </w:trPr>
        <w:tc>
          <w:tcPr>
            <w:tcW w:type="dxa" w:w="31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Layer-1 effort</w:t>
            </w:r>
          </w:p>
        </w:tc>
        <w:tc>
          <w:tcPr>
            <w:tcW w:type="dxa" w:w="31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client self-serves integration</w:t>
            </w:r>
          </w:p>
        </w:tc>
        <w:tc>
          <w:tcPr>
            <w:tcW w:type="dxa" w:w="312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we operate pipelines; identity unsolved</w:t>
            </w:r>
          </w:p>
        </w:tc>
      </w:tr>
      <w:tr>
        <w:trPr>
          <w:tblHeader w:val="false"/>
        </w:trPr>
        <w:tc>
          <w:tcPr>
            <w:tcW w:type="dxa" w:w="31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Data readiness</w:t>
            </w:r>
          </w:p>
        </w:tc>
        <w:tc>
          <w:tcPr>
            <w:tcW w:type="dxa" w:w="31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Redshift live, connectors exist</w:t>
            </w:r>
          </w:p>
        </w:tc>
        <w:tc>
          <w:tcPr>
            <w:tcW w:type="dxa" w:w="312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nothing connected; UTMs not passed</w:t>
            </w:r>
          </w:p>
        </w:tc>
      </w:tr>
    </w:tbl>
    <w:p>
      <w:pPr>
        <w:pStyle w:val="Heading2"/>
        <w:spacing w:after="100" w:before="240"/>
      </w:pPr>
      <w:r>
        <w:rPr>
          <w:rFonts w:ascii="Sofia Sans" w:cs="Sofia Sans" w:eastAsia="Sofia Sans" w:hAnsi="Sofia Sans"/>
          <w:b/>
          <w:bCs/>
          <w:color w:val="691AB8"/>
          <w:sz w:val="27"/>
          <w:szCs w:val="27"/>
        </w:rPr>
        <w:t xml:space="preserve">Recommended internal stance</w:t>
      </w:r>
    </w:p>
    <w:p>
      <w:pPr>
        <w:pStyle w:val="ListParagraph"/>
        <w:numPr>
          <w:ilvl w:val="0"/>
          <w:numId w:val="3"/>
        </w:numPr>
        <w:spacing w:after="60" w:line="276"/>
      </w:pPr>
      <w:r>
        <w:rPr>
          <w:rFonts w:ascii="Work Sans" w:cs="Work Sans" w:eastAsia="Work Sans" w:hAnsi="Work Sans"/>
          <w:b w:val="false"/>
          <w:bCs w:val="false"/>
          <w:i w:val="false"/>
          <w:iCs w:val="false"/>
          <w:color w:val="354250"/>
          <w:sz w:val="21"/>
          <w:szCs w:val="21"/>
        </w:rPr>
        <w:t xml:space="preserve">Walk into the Lotte session with a </w:t>
      </w:r>
      <w:r>
        <w:rPr>
          <w:rFonts w:ascii="Work Sans" w:cs="Work Sans" w:eastAsia="Work Sans" w:hAnsi="Work Sans"/>
          <w:b/>
          <w:bCs/>
          <w:i w:val="false"/>
          <w:iCs w:val="false"/>
          <w:color w:val="031441"/>
          <w:sz w:val="21"/>
          <w:szCs w:val="21"/>
        </w:rPr>
        <w:t xml:space="preserve">€50–85K year-one target band</w:t>
      </w:r>
      <w:r>
        <w:rPr>
          <w:rFonts w:ascii="Work Sans" w:cs="Work Sans" w:eastAsia="Work Sans" w:hAnsi="Work Sans"/>
          <w:b w:val="false"/>
          <w:bCs w:val="false"/>
          <w:i w:val="false"/>
          <w:iCs w:val="false"/>
          <w:color w:val="354250"/>
          <w:sz w:val="21"/>
          <w:szCs w:val="21"/>
        </w:rPr>
        <w:t xml:space="preserve"> (implementation + first-year license), churn-anchored.</w:t>
      </w:r>
    </w:p>
    <w:p>
      <w:pPr>
        <w:pStyle w:val="ListParagraph"/>
        <w:numPr>
          <w:ilvl w:val="0"/>
          <w:numId w:val="3"/>
        </w:numPr>
        <w:spacing w:after="60" w:line="276"/>
      </w:pPr>
      <w:r>
        <w:rPr>
          <w:rFonts w:ascii="Work Sans" w:cs="Work Sans" w:eastAsia="Work Sans" w:hAnsi="Work Sans"/>
          <w:color w:val="354250"/>
          <w:sz w:val="21"/>
          <w:szCs w:val="21"/>
        </w:rPr>
        <w:t xml:space="preserve">Lead the client value story with Pool A (one saved account pays it back); keep B and C as reinforcement and as the recurring-revenue rationale.</w:t>
      </w:r>
    </w:p>
    <w:p>
      <w:pPr>
        <w:pStyle w:val="ListParagraph"/>
        <w:numPr>
          <w:ilvl w:val="0"/>
          <w:numId w:val="3"/>
        </w:numPr>
        <w:spacing w:after="60" w:line="276"/>
      </w:pPr>
      <w:r>
        <w:rPr>
          <w:rFonts w:ascii="Work Sans" w:cs="Work Sans" w:eastAsia="Work Sans" w:hAnsi="Work Sans"/>
          <w:color w:val="354250"/>
          <w:sz w:val="21"/>
          <w:szCs w:val="21"/>
        </w:rPr>
        <w:t xml:space="preserve">Hold per-package pricing until the tech answers (lever #4) come back — quote WP1 first, narrow band, then the rest.</w:t>
      </w:r>
    </w:p>
    <w:p>
      <w:pPr>
        <w:pStyle w:val="ListParagraph"/>
        <w:numPr>
          <w:ilvl w:val="0"/>
          <w:numId w:val="3"/>
        </w:numPr>
        <w:spacing w:after="60" w:line="276"/>
      </w:pPr>
      <w:r>
        <w:rPr>
          <w:rFonts w:ascii="Work Sans" w:cs="Work Sans" w:eastAsia="Work Sans" w:hAnsi="Work Sans"/>
          <w:color w:val="354250"/>
          <w:sz w:val="21"/>
          <w:szCs w:val="21"/>
        </w:rPr>
        <w:t xml:space="preserve">Price Layer 1 deliberately high so self-serve is attractive; compete and earn margin on Layers 2–3 where we underprice generalists.</w:t>
      </w:r>
    </w:p>
    <w:p>
      <w:pPr>
        <w:pStyle w:val="ListParagraph"/>
        <w:numPr>
          <w:ilvl w:val="0"/>
          <w:numId w:val="3"/>
        </w:numPr>
        <w:spacing w:after="60" w:line="276"/>
      </w:pPr>
      <w:r>
        <w:rPr>
          <w:rFonts w:ascii="Work Sans" w:cs="Work Sans" w:eastAsia="Work Sans" w:hAnsi="Work Sans"/>
          <w:color w:val="354250"/>
          <w:sz w:val="21"/>
          <w:szCs w:val="21"/>
        </w:rPr>
        <w:t xml:space="preserve">Cross-check every assumption flagged [EST]/[ASSUMPTION] against Lotte's independent benchmark before anything goes to the client.</w:t>
      </w:r>
    </w:p>
    <w:p>
      <w:pPr>
        <w:spacing w:after="80"/>
      </w:pPr>
      <w:r>
        <w:t xml:space="preserve"/>
      </w:r>
    </w:p>
    <w:tbl>
      <w:tblPr>
        <w:tblW w:type="dxa" w:w="9360"/>
        <w:tblBorders>
          <w:top w:val="single" w:color="F2E7FE" w:sz="1"/>
          <w:left w:val="single" w:color="691AB8" w:sz="18"/>
          <w:bottom w:val="single" w:color="F2E7FE" w:sz="1"/>
          <w:right w:val="single" w:color="F2E7FE" w:sz="1"/>
          <w:insideH w:val="none"/>
          <w:insideV w:val="none"/>
        </w:tblBorders>
      </w:tblPr>
      <w:tblGrid>
        <w:gridCol w:w="9360"/>
      </w:tblGrid>
      <w:tr>
        <w:tc>
          <w:tcPr>
            <w:tcW w:type="dxa" w:w="9360"/>
            <w:shd w:fill="F2E7FE" w:val="clear"/>
            <w:tcMar>
              <w:top w:type="dxa" w:w="110"/>
              <w:left w:type="dxa" w:w="200"/>
              <w:bottom w:type="dxa" w:w="110"/>
              <w:right w:type="dxa" w:w="160"/>
            </w:tcMar>
          </w:tcPr>
          <w:p>
            <w:pPr>
              <w:spacing w:after="60"/>
            </w:pPr>
            <w:r>
              <w:rPr>
                <w:rFonts w:ascii="Sofia Sans" w:cs="Sofia Sans" w:eastAsia="Sofia Sans" w:hAnsi="Sofia Sans"/>
                <w:b/>
                <w:bCs/>
                <w:color w:val="691AB8"/>
                <w:sz w:val="21"/>
                <w:szCs w:val="21"/>
              </w:rPr>
              <w:t xml:space="preserve">One-line takeaway</w:t>
            </w:r>
          </w:p>
          <w:p>
            <w:pPr>
              <w:spacing w:after="0" w:line="276"/>
            </w:pPr>
            <w:r>
              <w:rPr>
                <w:rFonts w:ascii="Work Sans" w:cs="Work Sans" w:eastAsia="Work Sans" w:hAnsi="Work Sans"/>
                <w:b w:val="false"/>
                <w:bCs w:val="false"/>
                <w:i w:val="false"/>
                <w:iCs w:val="false"/>
                <w:color w:val="354250"/>
                <w:sz w:val="21"/>
                <w:szCs w:val="21"/>
              </w:rPr>
              <w:t xml:space="preserve">If Konekti saves Innova even one large account from churning, the entire year-one engagement is paid back several times over — which means we can price confidently in the </w:t>
            </w:r>
            <w:r>
              <w:rPr>
                <w:rFonts w:ascii="Work Sans" w:cs="Work Sans" w:eastAsia="Work Sans" w:hAnsi="Work Sans"/>
                <w:b/>
                <w:bCs/>
                <w:i w:val="false"/>
                <w:iCs w:val="false"/>
                <w:color w:val="031441"/>
                <w:sz w:val="21"/>
                <w:szCs w:val="21"/>
              </w:rPr>
              <w:t xml:space="preserve">€50–85K year-one range</w:t>
            </w:r>
            <w:r>
              <w:rPr>
                <w:rFonts w:ascii="Work Sans" w:cs="Work Sans" w:eastAsia="Work Sans" w:hAnsi="Work Sans"/>
                <w:b w:val="false"/>
                <w:bCs w:val="false"/>
                <w:i w:val="false"/>
                <w:iCs w:val="false"/>
                <w:color w:val="354250"/>
                <w:sz w:val="21"/>
                <w:szCs w:val="21"/>
              </w:rPr>
              <w:t xml:space="preserve"> and still show the client an ROI well above 1. Confirm ACV, marketing spend, and the lost client's value to harden the number.</w:t>
            </w:r>
          </w:p>
        </w:tc>
      </w:tr>
    </w:tbl>
    <w:p>
      <w:r>
        <w:br w:type="page"/>
      </w:r>
    </w:p>
    <w:p>
      <w:pPr>
        <w:pStyle w:val="Heading1"/>
        <w:spacing w:after="120" w:before="240"/>
      </w:pPr>
      <w:r>
        <w:rPr>
          <w:rFonts w:ascii="Sofia Sans" w:cs="Sofia Sans" w:eastAsia="Sofia Sans" w:hAnsi="Sofia Sans"/>
          <w:b/>
          <w:bCs/>
          <w:color w:val="031441"/>
          <w:sz w:val="34"/>
          <w:szCs w:val="34"/>
        </w:rPr>
        <w:t xml:space="preserve">Appendix — Sources &amp; confidence</w:t>
      </w:r>
    </w:p>
    <w:p>
      <w:pPr>
        <w:spacing w:after="120" w:line="276"/>
      </w:pPr>
      <w:r>
        <w:rPr>
          <w:rFonts w:ascii="Work Sans" w:cs="Work Sans" w:eastAsia="Work Sans" w:hAnsi="Work Sans"/>
          <w:b w:val="false"/>
          <w:bCs w:val="false"/>
          <w:i w:val="false"/>
          <w:iCs w:val="false"/>
          <w:color w:val="354250"/>
          <w:sz w:val="21"/>
          <w:szCs w:val="21"/>
        </w:rPr>
        <w:t xml:space="preserve">Pricing benchmarks (Section 2) are drawn from public competitor and procurement data, since Innova publishes no prices of its own. Confidence noted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Source</w:t>
            </w:r>
          </w:p>
        </w:tc>
        <w:tc>
          <w:tcPr>
            <w:tcW w:type="dxa" w:w="336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Used for</w:t>
            </w:r>
          </w:p>
        </w:tc>
        <w:tc>
          <w:tcPr>
            <w:tcW w:type="dxa" w:w="2600"/>
            <w:tcBorders>
              <w:top w:val="single" w:color="BFBFE2" w:sz="1"/>
              <w:left w:val="single" w:color="BFBFE2" w:sz="1"/>
              <w:bottom w:val="single" w:color="BFBFE2" w:sz="1"/>
              <w:right w:val="single" w:color="BFBFE2" w:sz="1"/>
            </w:tcBorders>
            <w:shd w:fill="691AB8"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FFFFFF"/>
                <w:sz w:val="19"/>
                <w:szCs w:val="19"/>
              </w:rPr>
              <w:t xml:space="preserve">Confidence</w:t>
            </w:r>
          </w:p>
        </w:tc>
      </w:tr>
      <w:tr>
        <w:trPr>
          <w:tblHeader w:val="false"/>
        </w:trPr>
        <w:tc>
          <w:tcPr>
            <w:tcW w:type="dxa" w:w="34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Industry-insider pricing summary (Quora), Euromonitor / Mintel / Nielsen / Kantar subscription bands</w:t>
            </w:r>
          </w:p>
        </w:tc>
        <w:tc>
          <w:tcPr>
            <w:tcW w:type="dxa" w:w="33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ACV scenario anchors</w:t>
            </w:r>
          </w:p>
        </w:tc>
        <w:tc>
          <w:tcPr>
            <w:tcW w:type="dxa" w:w="26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Medium — credible practitioner account, not an official rate card</w:t>
            </w:r>
          </w:p>
        </w:tc>
      </w:tr>
      <w:tr>
        <w:trPr>
          <w:tblHeader w:val="false"/>
        </w:trPr>
        <w:tc>
          <w:tcPr>
            <w:tcW w:type="dxa" w:w="34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Euromonitor named report prices (soft drinks ~$1,325; sports drinks ~$990; Research Monitor ~$5,000/yr)</w:t>
            </w:r>
          </w:p>
        </w:tc>
        <w:tc>
          <w:tcPr>
            <w:tcW w:type="dxa" w:w="33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One-off report price reality check</w:t>
            </w:r>
          </w:p>
        </w:tc>
        <w:tc>
          <w:tcPr>
            <w:tcW w:type="dxa" w:w="26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Medium-high — specific named figures</w:t>
            </w:r>
          </w:p>
        </w:tc>
      </w:tr>
      <w:tr>
        <w:trPr>
          <w:tblHeader w:val="false"/>
        </w:trPr>
        <w:tc>
          <w:tcPr>
            <w:tcW w:type="dxa" w:w="34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UK Govt Contracts Finder — Innovate UK market-intelligence tender, £0–110K / ~2 yrs</w:t>
            </w:r>
          </w:p>
        </w:tc>
        <w:tc>
          <w:tcPr>
            <w:tcW w:type="dxa" w:w="33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Real-contract sanity check on subscriber spend</w:t>
            </w:r>
          </w:p>
        </w:tc>
        <w:tc>
          <w:tcPr>
            <w:tcW w:type="dxa" w:w="26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High — official public procurement record (different vendor)</w:t>
            </w:r>
          </w:p>
        </w:tc>
      </w:tr>
      <w:tr>
        <w:trPr>
          <w:tblHeader w:val="false"/>
        </w:trPr>
        <w:tc>
          <w:tcPr>
            <w:tcW w:type="dxa" w:w="34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G2 — Innova alternatives list (Mintel, Euromonitor)</w:t>
            </w:r>
          </w:p>
        </w:tc>
        <w:tc>
          <w:tcPr>
            <w:tcW w:type="dxa" w:w="33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Establishing which competitors are valid comparables</w:t>
            </w:r>
          </w:p>
        </w:tc>
        <w:tc>
          <w:tcPr>
            <w:tcW w:type="dxa" w:w="26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High</w:t>
            </w:r>
          </w:p>
        </w:tc>
      </w:tr>
      <w:tr>
        <w:trPr>
          <w:tblHeader w:val="false"/>
        </w:trPr>
        <w:tc>
          <w:tcPr>
            <w:tcW w:type="dxa" w:w="34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PitchBook / RocketReach / Growjo / LinkedIn</w:t>
            </w:r>
          </w:p>
        </w:tc>
        <w:tc>
          <w:tcPr>
            <w:tcW w:type="dxa" w:w="336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Employees, revenue, headcount growth</w:t>
            </w:r>
          </w:p>
        </w:tc>
        <w:tc>
          <w:tcPr>
            <w:tcW w:type="dxa" w:w="2600"/>
            <w:tcBorders>
              <w:top w:val="single" w:color="BFBFE2" w:sz="1"/>
              <w:left w:val="single" w:color="BFBFE2" w:sz="1"/>
              <w:bottom w:val="single" w:color="BFBFE2" w:sz="1"/>
              <w:right w:val="single" w:color="BFBFE2" w:sz="1"/>
            </w:tcBorders>
            <w:shd w:fill="FFFFFF"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Low–medium — third-party estimates, used only as order-of-magnitude [EST]</w:t>
            </w:r>
          </w:p>
        </w:tc>
      </w:tr>
      <w:tr>
        <w:trPr>
          <w:tblHeader w:val="false"/>
        </w:trPr>
        <w:tc>
          <w:tcPr>
            <w:tcW w:type="dxa" w:w="34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bCs/>
                <w:i w:val="false"/>
                <w:iCs w:val="false"/>
                <w:color w:val="031441"/>
                <w:sz w:val="19"/>
                <w:szCs w:val="19"/>
              </w:rPr>
              <w:t xml:space="preserve">Discovery + debrief call transcripts (4 Jun 2026)</w:t>
            </w:r>
          </w:p>
        </w:tc>
        <w:tc>
          <w:tcPr>
            <w:tcW w:type="dxa" w:w="336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Tech stack, trigger event, web traffic, metric priorities</w:t>
            </w:r>
          </w:p>
        </w:tc>
        <w:tc>
          <w:tcPr>
            <w:tcW w:type="dxa" w:w="2600"/>
            <w:tcBorders>
              <w:top w:val="single" w:color="BFBFE2" w:sz="1"/>
              <w:left w:val="single" w:color="BFBFE2" w:sz="1"/>
              <w:bottom w:val="single" w:color="BFBFE2" w:sz="1"/>
              <w:right w:val="single" w:color="BFBFE2" w:sz="1"/>
            </w:tcBorders>
            <w:shd w:fill="F1F1FE" w:val="clear"/>
            <w:tcMar>
              <w:top w:type="dxa" w:w="70"/>
              <w:left w:type="dxa" w:w="110"/>
              <w:bottom w:type="dxa" w:w="70"/>
              <w:right w:type="dxa" w:w="110"/>
            </w:tcMar>
          </w:tcPr>
          <w:p>
            <w:pPr>
              <w:spacing w:after="0" w:line="252"/>
            </w:pPr>
            <w:r>
              <w:rPr>
                <w:rFonts w:ascii="Work Sans" w:cs="Work Sans" w:eastAsia="Work Sans" w:hAnsi="Work Sans"/>
                <w:b w:val="false"/>
                <w:bCs w:val="false"/>
                <w:i w:val="false"/>
                <w:iCs w:val="false"/>
                <w:color w:val="354250"/>
                <w:sz w:val="19"/>
                <w:szCs w:val="19"/>
              </w:rPr>
              <w:t xml:space="preserve">High — first-party</w:t>
            </w:r>
          </w:p>
        </w:tc>
      </w:tr>
    </w:tbl>
    <w:tbl>
      <w:tblPr>
        <w:tblW w:type="dxa" w:w="9360"/>
        <w:tblBorders>
          <w:top w:val="single" w:color="F1F1FE" w:sz="1"/>
          <w:left w:val="single" w:color="691AB8" w:sz="18"/>
          <w:bottom w:val="single" w:color="F1F1FE" w:sz="1"/>
          <w:right w:val="single" w:color="F1F1FE" w:sz="1"/>
          <w:insideH w:val="none"/>
          <w:insideV w:val="none"/>
        </w:tblBorders>
      </w:tblPr>
      <w:tblGrid>
        <w:gridCol w:w="9360"/>
      </w:tblGrid>
      <w:tr>
        <w:tc>
          <w:tcPr>
            <w:tcW w:type="dxa" w:w="9360"/>
            <w:shd w:fill="F1F1FE" w:val="clear"/>
            <w:tcMar>
              <w:top w:type="dxa" w:w="110"/>
              <w:left w:type="dxa" w:w="200"/>
              <w:bottom w:type="dxa" w:w="110"/>
              <w:right w:type="dxa" w:w="160"/>
            </w:tcMar>
          </w:tcPr>
          <w:p>
            <w:pPr>
              <w:spacing w:after="60"/>
            </w:pPr>
            <w:r>
              <w:rPr>
                <w:rFonts w:ascii="Sofia Sans" w:cs="Sofia Sans" w:eastAsia="Sofia Sans" w:hAnsi="Sofia Sans"/>
                <w:b/>
                <w:bCs/>
                <w:color w:val="691AB8"/>
                <w:sz w:val="21"/>
                <w:szCs w:val="21"/>
              </w:rPr>
              <w:t xml:space="preserve">Honest caveat</w:t>
            </w:r>
          </w:p>
          <w:p>
            <w:pPr>
              <w:spacing w:after="0" w:line="276"/>
            </w:pPr>
            <w:r>
              <w:rPr>
                <w:rFonts w:ascii="Work Sans" w:cs="Work Sans" w:eastAsia="Work Sans" w:hAnsi="Work Sans"/>
                <w:b w:val="false"/>
                <w:bCs w:val="false"/>
                <w:i w:val="false"/>
                <w:iCs w:val="false"/>
                <w:color w:val="354250"/>
                <w:sz w:val="21"/>
                <w:szCs w:val="21"/>
              </w:rPr>
              <w:t xml:space="preserve">No figure here is Innova's actual contract value — those are gated. The benchmarks bound the plausible range using the firms G2 names as Innova's direct competitors, which is materially stronger than internal gut-feel but still an external proxy. Question 1 in the scope doc (real ACV + tenure) is what turns this from a defensible range into a hard number.</w:t>
            </w:r>
          </w:p>
        </w:tc>
      </w:tr>
    </w:tbl>
    <w:p>
      <w:pPr>
        <w:spacing w:after="80"/>
      </w:pPr>
      <w:r>
        <w:t xml:space="preserve"/>
      </w:r>
    </w:p>
    <w:p>
      <w:pPr>
        <w:pBdr>
          <w:top w:val="single" w:color="BFBFE2" w:sz="6" w:space="6"/>
        </w:pBdr>
        <w:spacing w:after="40" w:before="120"/>
      </w:pPr>
      <w:r>
        <w:rPr>
          <w:rFonts w:ascii="Work Sans" w:cs="Work Sans" w:eastAsia="Work Sans" w:hAnsi="Work Sans"/>
          <w:i/>
          <w:iCs/>
          <w:color w:val="6E6F98"/>
          <w:sz w:val="17"/>
          <w:szCs w:val="17"/>
        </w:rPr>
        <w:t xml:space="preserve">Internal pricing aid. Benchmark figures are sourced competitor/procurement data used as proxies; revenue and headcount are third-party estimates. Confirm Innova's own numbers before use in any client-facing material or quote.</w:t>
      </w:r>
    </w:p>
    <w:p>
      <w:r>
        <w:rPr>
          <w:rFonts w:ascii="Sofia Sans" w:cs="Sofia Sans" w:eastAsia="Sofia Sans" w:hAnsi="Sofia Sans"/>
          <w:b/>
          <w:bCs/>
          <w:color w:val="691AB8"/>
          <w:sz w:val="18"/>
          <w:szCs w:val="18"/>
        </w:rPr>
        <w:t xml:space="preserve">Konekti</w:t>
      </w:r>
      <w:r>
        <w:rPr>
          <w:rFonts w:ascii="Work Sans" w:cs="Work Sans" w:eastAsia="Work Sans" w:hAnsi="Work Sans"/>
          <w:color w:val="6E6F98"/>
          <w:sz w:val="17"/>
          <w:szCs w:val="17"/>
        </w:rPr>
        <w:t xml:space="preserve">  ·  Eindhoven, The Netherlands  ·  INTERNAL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91AB8"/>
      </w:r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color w:val="3542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Sofia Sans" w:cs="Sofia Sans" w:eastAsia="Sofia Sans" w:hAnsi="Sofia Sans"/>
      <w:b/>
      <w:bCs/>
      <w:color w:val="031441"/>
      <w:sz w:val="34"/>
      <w:szCs w:val="34"/>
    </w:rPr>
  </w:style>
  <w:style w:type="paragraph" w:styleId="Heading2">
    <w:name w:val="Heading 2"/>
    <w:basedOn w:val="Normal"/>
    <w:next w:val="Normal"/>
    <w:qFormat/>
    <w:pPr>
      <w:spacing w:after="100" w:before="240"/>
      <w:outlineLvl w:val="1"/>
    </w:pPr>
    <w:rPr>
      <w:rFonts w:ascii="Sofia Sans" w:cs="Sofia Sans" w:eastAsia="Sofia Sans" w:hAnsi="Sofia Sans"/>
      <w:b/>
      <w:bCs/>
      <w:color w:val="691AB8"/>
      <w:sz w:val="27"/>
      <w:szCs w:val="27"/>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10147764574543979BC8ADD7DC09AD" ma:contentTypeVersion="19" ma:contentTypeDescription="Create a new document." ma:contentTypeScope="" ma:versionID="957f35bec469845f48fc0e9d36fc63a6">
  <xsd:schema xmlns:xsd="http://www.w3.org/2001/XMLSchema" xmlns:xs="http://www.w3.org/2001/XMLSchema" xmlns:p="http://schemas.microsoft.com/office/2006/metadata/properties" xmlns:ns2="8bb6012e-99e6-4a4e-960c-8923db79459d" xmlns:ns3="a3a83cf7-6eb7-49a4-87a5-f720e2b036ba" targetNamespace="http://schemas.microsoft.com/office/2006/metadata/properties" ma:root="true" ma:fieldsID="b449493ff82d815f6ca43eff5bb7d8bc" ns2:_="" ns3:_="">
    <xsd:import namespace="8bb6012e-99e6-4a4e-960c-8923db79459d"/>
    <xsd:import namespace="a3a83cf7-6eb7-49a4-87a5-f720e2b036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6012e-99e6-4a4e-960c-8923db7945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bb00c9e-ae87-4d2f-a4e0-9463228b11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a83cf7-6eb7-49a4-87a5-f720e2b036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78e1646-213e-466a-b849-f6f3adc25d74}" ma:internalName="TaxCatchAll" ma:showField="CatchAllData" ma:web="a3a83cf7-6eb7-49a4-87a5-f720e2b036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a83cf7-6eb7-49a4-87a5-f720e2b036ba" xsi:nil="true"/>
    <lcf76f155ced4ddcb4097134ff3c332f xmlns="8bb6012e-99e6-4a4e-960c-8923db7945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42F7D1-15BB-4293-BF82-6515C1F02DCD}"/>
</file>

<file path=customXml/itemProps2.xml><?xml version="1.0" encoding="utf-8"?>
<ds:datastoreItem xmlns:ds="http://schemas.openxmlformats.org/officeDocument/2006/customXml" ds:itemID="{A2FA84B1-6878-4601-B963-505A5786168D}"/>
</file>

<file path=customXml/itemProps3.xml><?xml version="1.0" encoding="utf-8"?>
<ds:datastoreItem xmlns:ds="http://schemas.openxmlformats.org/officeDocument/2006/customXml" ds:itemID="{79A4438A-DF95-4510-ABEA-B54ABD24D7C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 — Value &amp; Pricing Research Brief (Internal)</dc:title>
  <dc:creator>Konekti</dc:creator>
  <cp:lastModifiedBy>Un-named</cp:lastModifiedBy>
  <cp:revision>1</cp:revision>
  <dcterms:created xsi:type="dcterms:W3CDTF">2026-06-05T13:28:54Z</dcterms:created>
  <dcterms:modified xsi:type="dcterms:W3CDTF">2026-06-05T13:28:54Z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0x0101005B10147764574543979BC8ADD7DC09AD</vt:lpwstr>
  </property>
</Properties>
</file>