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AC1F" w14:textId="77777777" w:rsidR="00B83F3F" w:rsidRDefault="00000000">
      <w:pPr>
        <w:spacing w:before="720" w:after="200"/>
        <w:jc w:val="center"/>
      </w:pPr>
      <w:r>
        <w:rPr>
          <w:b/>
          <w:bCs/>
          <w:color w:val="002147"/>
          <w:sz w:val="48"/>
          <w:szCs w:val="48"/>
        </w:rPr>
        <w:t>Sprechertexte</w:t>
      </w:r>
    </w:p>
    <w:p w14:paraId="30E5224A" w14:textId="77777777" w:rsidR="00B83F3F" w:rsidRDefault="00000000">
      <w:pPr>
        <w:spacing w:after="100"/>
        <w:jc w:val="center"/>
      </w:pPr>
      <w:r>
        <w:rPr>
          <w:i/>
          <w:iCs/>
          <w:color w:val="555555"/>
          <w:sz w:val="30"/>
          <w:szCs w:val="30"/>
        </w:rPr>
        <w:t>Teil B: Die Oxford Case Study</w:t>
      </w:r>
    </w:p>
    <w:p w14:paraId="616142A1" w14:textId="77777777" w:rsidR="00B83F3F" w:rsidRDefault="00000000">
      <w:pPr>
        <w:spacing w:after="100"/>
        <w:jc w:val="center"/>
      </w:pPr>
      <w:r>
        <w:rPr>
          <w:color w:val="777777"/>
        </w:rPr>
        <w:t>Vortragsdauer: ca. 10 Minuten  ·  Folien 6–12</w:t>
      </w:r>
    </w:p>
    <w:p w14:paraId="6B45FAD8" w14:textId="77777777" w:rsidR="00B83F3F" w:rsidRPr="00C57CF7" w:rsidRDefault="00000000">
      <w:pPr>
        <w:spacing w:before="200" w:after="720"/>
        <w:jc w:val="center"/>
        <w:rPr>
          <w:lang w:val="en-GB"/>
        </w:rPr>
      </w:pPr>
      <w:r>
        <w:rPr>
          <w:i/>
          <w:iCs/>
          <w:color w:val="777777"/>
          <w:sz w:val="18"/>
          <w:szCs w:val="18"/>
        </w:rPr>
        <w:t xml:space="preserve">Quelle: Strange, D., Gooch, M. &amp; Collinson, A. (2023). </w:t>
      </w:r>
      <w:r w:rsidRPr="00C57CF7">
        <w:rPr>
          <w:i/>
          <w:iCs/>
          <w:color w:val="777777"/>
          <w:sz w:val="18"/>
          <w:szCs w:val="18"/>
          <w:lang w:val="en-GB"/>
        </w:rPr>
        <w:t>Equality, findability, sustainability: the challenges and rewards of open digital humanities data. Int. J. of Perf. Arts and Digital Media, 19(3), 348–368. DOI: 10.1080/14794713.2023.2206286 (Open Access, CC BY 4.0)</w:t>
      </w:r>
    </w:p>
    <w:p w14:paraId="76B520EF" w14:textId="77777777" w:rsidR="00B83F3F" w:rsidRDefault="00000000">
      <w:pPr>
        <w:spacing w:after="80"/>
        <w:jc w:val="center"/>
      </w:pPr>
      <w:r>
        <w:rPr>
          <w:b/>
          <w:bCs/>
          <w:color w:val="002147"/>
        </w:rPr>
        <w:t>Hinweis zur Aufteilung</w:t>
      </w:r>
    </w:p>
    <w:p w14:paraId="1DBD6364" w14:textId="7EB81320" w:rsidR="00B83F3F" w:rsidRDefault="00C57CF7">
      <w:pPr>
        <w:spacing w:after="720"/>
        <w:ind w:left="720" w:right="720"/>
        <w:jc w:val="center"/>
      </w:pPr>
      <w:r>
        <w:rPr>
          <w:color w:val="444444"/>
        </w:rPr>
        <w:t>Tamara präsentiert Teil A (Theorie: Warm Data, digitale Nachhaltigkeit, institutioneller Kontext).Mein Teil B beginnt direkt mit der Entstehungsgeschichte des SDS-Dienstes. Knüpfe kurz daran an, was du zum Warm-Data-Problem gesagt hat.</w:t>
      </w:r>
    </w:p>
    <w:p w14:paraId="1D310E24" w14:textId="77777777" w:rsidR="00B83F3F" w:rsidRDefault="00000000">
      <w:pPr>
        <w:pBdr>
          <w:bottom w:val="single" w:sz="6" w:space="6" w:color="C4A006"/>
        </w:pBdr>
        <w:spacing w:before="360" w:after="120"/>
      </w:pPr>
      <w:r>
        <w:rPr>
          <w:b/>
          <w:bCs/>
          <w:color w:val="002147"/>
          <w:sz w:val="28"/>
          <w:szCs w:val="28"/>
        </w:rPr>
        <w:lastRenderedPageBreak/>
        <w:t>Titelfolie – Übergang von Teil A</w:t>
      </w:r>
    </w:p>
    <w:p w14:paraId="7DF84DB8" w14:textId="77777777" w:rsidR="00B83F3F" w:rsidRDefault="00000000">
      <w:pPr>
        <w:pBdr>
          <w:left w:val="single" w:sz="12" w:space="8" w:color="C4A006"/>
        </w:pBdr>
        <w:spacing w:before="100" w:after="60"/>
        <w:ind w:left="180"/>
      </w:pPr>
      <w:r>
        <w:rPr>
          <w:b/>
          <w:bCs/>
          <w:color w:val="002147"/>
          <w:sz w:val="20"/>
          <w:szCs w:val="20"/>
        </w:rPr>
        <w:t>⏱ ca. 0:30 min</w:t>
      </w:r>
    </w:p>
    <w:p w14:paraId="39CA9975" w14:textId="77777777" w:rsidR="00B83F3F" w:rsidRDefault="00000000">
      <w:pPr>
        <w:spacing w:before="60" w:after="60"/>
        <w:jc w:val="both"/>
      </w:pPr>
      <w:r>
        <w:t>Meine Kollegin hat uns in die theoretischen Grundlagen eingeführt – in das Problem der Warm Data, in den institutionellen Kontext, in die Frage, warum Nachhaltigkeit für DH-Projekte so schwierig herzustellen ist. Ich möchte jetzt zeigen, wie die Universität Oxford auf diese Herausforderungen konkret reagiert hat.</w:t>
      </w:r>
    </w:p>
    <w:p w14:paraId="2C6E0309" w14:textId="77777777" w:rsidR="00B83F3F" w:rsidRDefault="00000000">
      <w:pPr>
        <w:spacing w:before="60" w:after="60"/>
        <w:jc w:val="both"/>
      </w:pPr>
      <w:r>
        <w:t>Mein Teil ist die Praxis – die Case Study aus Oxford, die Strange, Gooch und Collinson in ihrem Artikel von 2023 ausführlich beschreiben.</w:t>
      </w:r>
    </w:p>
    <w:p w14:paraId="13772878" w14:textId="77777777" w:rsidR="00B83F3F" w:rsidRDefault="00B83F3F">
      <w:pPr>
        <w:spacing w:before="60" w:after="60"/>
      </w:pPr>
    </w:p>
    <w:p w14:paraId="5D583FE9" w14:textId="77777777" w:rsidR="00B83F3F" w:rsidRDefault="00000000">
      <w:r>
        <w:br w:type="page"/>
      </w:r>
    </w:p>
    <w:p w14:paraId="1D98AFF4" w14:textId="1C77D316" w:rsidR="00B83F3F" w:rsidRDefault="00000000">
      <w:pPr>
        <w:pBdr>
          <w:bottom w:val="single" w:sz="6" w:space="6" w:color="C4A006"/>
        </w:pBdr>
        <w:spacing w:before="360" w:after="120"/>
      </w:pPr>
      <w:r>
        <w:rPr>
          <w:b/>
          <w:bCs/>
          <w:color w:val="002147"/>
          <w:sz w:val="28"/>
          <w:szCs w:val="28"/>
        </w:rPr>
        <w:lastRenderedPageBreak/>
        <w:t xml:space="preserve">Folie </w:t>
      </w:r>
      <w:r w:rsidR="00F63711">
        <w:rPr>
          <w:b/>
          <w:bCs/>
          <w:color w:val="002147"/>
          <w:sz w:val="28"/>
          <w:szCs w:val="28"/>
        </w:rPr>
        <w:t>7</w:t>
      </w:r>
      <w:r>
        <w:rPr>
          <w:b/>
          <w:bCs/>
          <w:color w:val="002147"/>
          <w:sz w:val="28"/>
          <w:szCs w:val="28"/>
        </w:rPr>
        <w:t xml:space="preserve"> – Wie kam es zum SDS-Dienst? [NEU]</w:t>
      </w:r>
    </w:p>
    <w:p w14:paraId="05A2E31C" w14:textId="77777777" w:rsidR="00B83F3F" w:rsidRDefault="00000000">
      <w:pPr>
        <w:pBdr>
          <w:left w:val="single" w:sz="12" w:space="8" w:color="C4A006"/>
        </w:pBdr>
        <w:spacing w:before="100" w:after="60"/>
        <w:ind w:left="180"/>
      </w:pPr>
      <w:r>
        <w:rPr>
          <w:b/>
          <w:bCs/>
          <w:color w:val="002147"/>
          <w:sz w:val="20"/>
          <w:szCs w:val="20"/>
        </w:rPr>
        <w:t>⏱ ca. 1:30 min</w:t>
      </w:r>
    </w:p>
    <w:p w14:paraId="54EF56E1" w14:textId="77777777" w:rsidR="00B83F3F" w:rsidRDefault="00000000">
      <w:pPr>
        <w:spacing w:before="60" w:after="60"/>
        <w:jc w:val="both"/>
      </w:pPr>
      <w:r>
        <w:t>Bevor wir uns den SDS-Dienst selbst anschauen, brauchen wir eine kurze historische Einordnung. Denn der Dienst ist nicht aus dem Nichts entstanden – er ist das Ergebnis eines fast zehnjährigen Prozesses.</w:t>
      </w:r>
    </w:p>
    <w:p w14:paraId="7CE4C7EE" w14:textId="77777777" w:rsidR="00B83F3F" w:rsidRDefault="00B83F3F">
      <w:pPr>
        <w:spacing w:before="60" w:after="60"/>
      </w:pPr>
    </w:p>
    <w:p w14:paraId="6FD6FFA0" w14:textId="77777777" w:rsidR="00B83F3F" w:rsidRDefault="00000000">
      <w:pPr>
        <w:spacing w:before="240" w:after="80"/>
      </w:pPr>
      <w:r>
        <w:rPr>
          <w:b/>
          <w:bCs/>
          <w:color w:val="002147"/>
        </w:rPr>
        <w:t>Zur Timeline</w:t>
      </w:r>
    </w:p>
    <w:p w14:paraId="26199B3B" w14:textId="77777777" w:rsidR="00B83F3F" w:rsidRDefault="00000000">
      <w:pPr>
        <w:pStyle w:val="Listenabsatz"/>
        <w:numPr>
          <w:ilvl w:val="0"/>
          <w:numId w:val="2"/>
        </w:numPr>
        <w:spacing w:before="40" w:after="40"/>
      </w:pPr>
      <w:r>
        <w:t>2013–2014: Das DHARMa-Projekt legte den Grundstein – eine forscher-geführte Bestandsaufnahme, die klar zeigte: die bisherigen Praktiken zur Sicherung von DH-Forschung müssen überprüft werden.</w:t>
      </w:r>
    </w:p>
    <w:p w14:paraId="3F64F4E2" w14:textId="77777777" w:rsidR="00B83F3F" w:rsidRDefault="00000000">
      <w:pPr>
        <w:pStyle w:val="Listenabsatz"/>
        <w:numPr>
          <w:ilvl w:val="0"/>
          <w:numId w:val="2"/>
        </w:numPr>
        <w:spacing w:before="40" w:after="40"/>
      </w:pPr>
      <w:r>
        <w:t>2017: Auf Basis dieser Empfehlungen startete das DHS-Projekt als institutionell verwaltetes IT-Projekt. Es identifizierte 47 Pilotprojekte, die für ein Warm-Data-Repositorium geeignet wären – Projekte, die wegen technischer Veralterung, weggefallenem Personal oder DSGVO-Risiken in Schwierigkeiten geraten waren.</w:t>
      </w:r>
    </w:p>
    <w:p w14:paraId="1F1362C3" w14:textId="77777777" w:rsidR="00B83F3F" w:rsidRDefault="00000000">
      <w:pPr>
        <w:pStyle w:val="Listenabsatz"/>
        <w:numPr>
          <w:ilvl w:val="0"/>
          <w:numId w:val="2"/>
        </w:numPr>
        <w:spacing w:before="40" w:after="40"/>
      </w:pPr>
      <w:r>
        <w:t xml:space="preserve">Anfang 2020: Eine entscheidende Wende. Das DHS-Projekt wurde innerhalb der Universität priorisiert, die IT-Dienste zogen sich zurück, und die Humanities Division übernahm die Projektleitung. Das Motto lautete: „von Wissenschaftlern für </w:t>
      </w:r>
      <w:r>
        <w:lastRenderedPageBreak/>
        <w:t>Wissenschaftler.“ Gleichzeitig übernahm man ein agiles Projektmanagement-Framework.</w:t>
      </w:r>
    </w:p>
    <w:p w14:paraId="45C09274" w14:textId="77777777" w:rsidR="00B83F3F" w:rsidRDefault="00000000">
      <w:pPr>
        <w:pStyle w:val="Listenabsatz"/>
        <w:numPr>
          <w:ilvl w:val="0"/>
          <w:numId w:val="2"/>
        </w:numPr>
        <w:spacing w:before="40" w:after="40"/>
      </w:pPr>
      <w:r>
        <w:t>Februar 2021: Start des SDS-Dienstes – als technische Plattform und als Beratungsdienst gleichzeitig.</w:t>
      </w:r>
    </w:p>
    <w:p w14:paraId="07BF4E27" w14:textId="77777777" w:rsidR="00B83F3F" w:rsidRDefault="00B83F3F">
      <w:pPr>
        <w:spacing w:before="60" w:after="60"/>
      </w:pPr>
    </w:p>
    <w:p w14:paraId="5125D1C2" w14:textId="77777777" w:rsidR="00B83F3F" w:rsidRDefault="00000000">
      <w:pPr>
        <w:spacing w:before="240" w:after="80"/>
      </w:pPr>
      <w:r>
        <w:rPr>
          <w:b/>
          <w:bCs/>
          <w:color w:val="002147"/>
        </w:rPr>
        <w:t>Zur rechten Spalte</w:t>
      </w:r>
    </w:p>
    <w:p w14:paraId="32ECE408" w14:textId="77777777" w:rsidR="00B83F3F" w:rsidRDefault="00000000">
      <w:pPr>
        <w:spacing w:before="60" w:after="60"/>
        <w:jc w:val="both"/>
      </w:pPr>
      <w:r>
        <w:t>Das zentrale Problem, das diesen ganzen Prozess antreibt, ist die Warm-Data-Lücke, die meine Kollegin bereits beschrieben hat. Besonders wichtig ist die methodische Stärke des Vorgehens: Aus über 400 erhobenen Anforderungen wurden durch MoSCoW-Priorisierung 109 Kernanforderungen destilliert – das ist kein Bauchgefühl, das ist systematische Anforderungsanalyse.</w:t>
      </w:r>
    </w:p>
    <w:p w14:paraId="44F4D79B" w14:textId="77777777" w:rsidR="00B83F3F" w:rsidRPr="00C57CF7" w:rsidRDefault="00000000">
      <w:pPr>
        <w:spacing w:before="80" w:after="60"/>
        <w:ind w:left="360"/>
        <w:rPr>
          <w:lang w:val="en-GB"/>
        </w:rPr>
      </w:pPr>
      <w:r w:rsidRPr="00C57CF7">
        <w:rPr>
          <w:i/>
          <w:iCs/>
          <w:color w:val="666666"/>
          <w:sz w:val="18"/>
          <w:szCs w:val="18"/>
          <w:lang w:val="en-GB"/>
        </w:rPr>
        <w:t>Hinweis: MoSCoW = Must have / Should have / Could have / Won't have – eine Standardmethode aus dem agilen Projektmanagement.</w:t>
      </w:r>
    </w:p>
    <w:p w14:paraId="000020D7" w14:textId="77777777" w:rsidR="00B83F3F" w:rsidRPr="00C57CF7" w:rsidRDefault="00B83F3F">
      <w:pPr>
        <w:spacing w:before="60" w:after="60"/>
        <w:rPr>
          <w:lang w:val="en-GB"/>
        </w:rPr>
      </w:pPr>
    </w:p>
    <w:p w14:paraId="1FF88F2E" w14:textId="77777777" w:rsidR="00B83F3F" w:rsidRPr="00C57CF7" w:rsidRDefault="00000000">
      <w:pPr>
        <w:rPr>
          <w:lang w:val="en-GB"/>
        </w:rPr>
      </w:pPr>
      <w:r w:rsidRPr="00C57CF7">
        <w:rPr>
          <w:lang w:val="en-GB"/>
        </w:rPr>
        <w:br w:type="page"/>
      </w:r>
    </w:p>
    <w:p w14:paraId="1D999E99" w14:textId="0FF72080" w:rsidR="00B83F3F" w:rsidRDefault="00000000">
      <w:pPr>
        <w:pBdr>
          <w:bottom w:val="single" w:sz="6" w:space="6" w:color="C4A006"/>
        </w:pBdr>
        <w:spacing w:before="360" w:after="120"/>
      </w:pPr>
      <w:r>
        <w:rPr>
          <w:b/>
          <w:bCs/>
          <w:color w:val="002147"/>
          <w:sz w:val="28"/>
          <w:szCs w:val="28"/>
        </w:rPr>
        <w:lastRenderedPageBreak/>
        <w:t xml:space="preserve">Folie </w:t>
      </w:r>
      <w:r w:rsidR="00F63711">
        <w:rPr>
          <w:b/>
          <w:bCs/>
          <w:color w:val="002147"/>
          <w:sz w:val="28"/>
          <w:szCs w:val="28"/>
        </w:rPr>
        <w:t>8</w:t>
      </w:r>
      <w:r>
        <w:rPr>
          <w:b/>
          <w:bCs/>
          <w:color w:val="002147"/>
          <w:sz w:val="28"/>
          <w:szCs w:val="28"/>
        </w:rPr>
        <w:t xml:space="preserve"> – Der Oxford SDS Service</w:t>
      </w:r>
    </w:p>
    <w:p w14:paraId="29660E67" w14:textId="77777777" w:rsidR="00B83F3F" w:rsidRDefault="00000000">
      <w:pPr>
        <w:pBdr>
          <w:left w:val="single" w:sz="12" w:space="8" w:color="C4A006"/>
        </w:pBdr>
        <w:spacing w:before="100" w:after="60"/>
        <w:ind w:left="180"/>
      </w:pPr>
      <w:r>
        <w:rPr>
          <w:b/>
          <w:bCs/>
          <w:color w:val="002147"/>
          <w:sz w:val="20"/>
          <w:szCs w:val="20"/>
        </w:rPr>
        <w:t>⏱ ca. 1:30 min</w:t>
      </w:r>
    </w:p>
    <w:p w14:paraId="4B434F72" w14:textId="77777777" w:rsidR="00B83F3F" w:rsidRDefault="00000000">
      <w:pPr>
        <w:spacing w:before="60" w:after="60"/>
        <w:jc w:val="both"/>
      </w:pPr>
      <w:r>
        <w:t>Der SDS-Dienst hat von Beginn an drei Charakteristika, die ihn von früheren institutionellen Lösungen unterscheiden:</w:t>
      </w:r>
    </w:p>
    <w:p w14:paraId="704BB3EF" w14:textId="77777777" w:rsidR="00B83F3F" w:rsidRDefault="00000000">
      <w:pPr>
        <w:pStyle w:val="Listenabsatz"/>
        <w:numPr>
          <w:ilvl w:val="0"/>
          <w:numId w:val="2"/>
        </w:numPr>
        <w:spacing w:before="40" w:after="40"/>
      </w:pPr>
      <w:r>
        <w:t>Akademische Führung: Die Projektleitung liegt bei der Humanities Division, nicht bei zentralen IT-Diensten. Das ist ungewöhnlich für ein institutionelles IT-Projekt – und genau deshalb funktioniert es. Die Forscher stehen im Mittelpunkt, nicht die Infrastruktur.</w:t>
      </w:r>
    </w:p>
    <w:p w14:paraId="2342CAC4" w14:textId="77777777" w:rsidR="00B83F3F" w:rsidRDefault="00000000">
      <w:pPr>
        <w:pStyle w:val="Listenabsatz"/>
        <w:numPr>
          <w:ilvl w:val="0"/>
          <w:numId w:val="2"/>
        </w:numPr>
        <w:spacing w:before="40" w:after="40"/>
      </w:pPr>
      <w:r>
        <w:t>Agiles Framework: Statt starrer Bürokratie und langer Planungsphasen setzt man auf kurze Sprints, Feedback-Schleifen und direkten Dialog mit den Nutzenden. Einer der Kernwerte des Agile Manifesto, auf den sich die Autoren ausdrücklich beziehen, ist: „Individuen und Interaktionen über Prozesse und Werkzeuge.“</w:t>
      </w:r>
    </w:p>
    <w:p w14:paraId="54698D41" w14:textId="77777777" w:rsidR="00B83F3F" w:rsidRDefault="00000000">
      <w:pPr>
        <w:pStyle w:val="Listenabsatz"/>
        <w:numPr>
          <w:ilvl w:val="0"/>
          <w:numId w:val="2"/>
        </w:numPr>
        <w:spacing w:before="40" w:after="40"/>
      </w:pPr>
      <w:r>
        <w:t>User-Driven Design: Die über 400 erhobenen Anforderungen kamen direkt aus der Forschungscommunity. Die Präzision der MoSCoW-Priorisierung auf 109 Kernanforderungen ist Ausdruck eines wissenschaftlich fundierten Ansatzes.</w:t>
      </w:r>
    </w:p>
    <w:p w14:paraId="705CDE76" w14:textId="77777777" w:rsidR="00B83F3F" w:rsidRDefault="00B83F3F">
      <w:pPr>
        <w:spacing w:before="60" w:after="60"/>
      </w:pPr>
    </w:p>
    <w:p w14:paraId="35CF4BA1" w14:textId="77777777" w:rsidR="00B83F3F" w:rsidRDefault="00000000">
      <w:pPr>
        <w:spacing w:before="60" w:after="60"/>
        <w:jc w:val="both"/>
      </w:pPr>
      <w:r>
        <w:t xml:space="preserve">Der SDS-Dienst hat dabei eine Doppelfunktion: Er ist einerseits eine technische Plattform für Forschungsdaten, andererseits ein Beratungsdienst, der Forscher auch an andere </w:t>
      </w:r>
      <w:r>
        <w:lastRenderedPageBreak/>
        <w:t>Repositorien weiterverweist. Diese Kombination aus Service und Technologie war entscheidend für seinen Erfolg.</w:t>
      </w:r>
    </w:p>
    <w:p w14:paraId="6C953594" w14:textId="77777777" w:rsidR="00B83F3F" w:rsidRDefault="00B83F3F">
      <w:pPr>
        <w:spacing w:before="60" w:after="60"/>
      </w:pPr>
    </w:p>
    <w:p w14:paraId="333563A8" w14:textId="77777777" w:rsidR="00B83F3F" w:rsidRDefault="00000000">
      <w:pPr>
        <w:spacing w:before="80" w:after="60"/>
        <w:ind w:left="360"/>
      </w:pPr>
      <w:r>
        <w:rPr>
          <w:i/>
          <w:iCs/>
          <w:color w:val="666666"/>
          <w:sz w:val="18"/>
          <w:szCs w:val="18"/>
        </w:rPr>
        <w:t>Hinweis zum Zitat auf der Folie: Das Zitat „Nachhaltigkeit ist ebenso sehr eine Frage von Menschen und Prozessen wie von Technologie“ ist eine inhaltliche Paraphrase des Artikels – kein direktes Zitat. Es fasst das Grundprinzip des SDS-Ansatzes zusammen, der eben nicht rein technisch denkt.</w:t>
      </w:r>
    </w:p>
    <w:p w14:paraId="223CE54C" w14:textId="77777777" w:rsidR="00B83F3F" w:rsidRDefault="00B83F3F">
      <w:pPr>
        <w:spacing w:before="60" w:after="60"/>
      </w:pPr>
    </w:p>
    <w:p w14:paraId="1535501B" w14:textId="77777777" w:rsidR="00B83F3F" w:rsidRDefault="00000000">
      <w:r>
        <w:br w:type="page"/>
      </w:r>
    </w:p>
    <w:p w14:paraId="394ED7D4" w14:textId="0B6815EC" w:rsidR="00B83F3F" w:rsidRDefault="00000000">
      <w:pPr>
        <w:pBdr>
          <w:bottom w:val="single" w:sz="6" w:space="6" w:color="C4A006"/>
        </w:pBdr>
        <w:spacing w:before="360" w:after="120"/>
      </w:pPr>
      <w:r>
        <w:rPr>
          <w:b/>
          <w:bCs/>
          <w:color w:val="002147"/>
          <w:sz w:val="28"/>
          <w:szCs w:val="28"/>
        </w:rPr>
        <w:lastRenderedPageBreak/>
        <w:t xml:space="preserve">Folie </w:t>
      </w:r>
      <w:r w:rsidR="00F63711">
        <w:rPr>
          <w:b/>
          <w:bCs/>
          <w:color w:val="002147"/>
          <w:sz w:val="28"/>
          <w:szCs w:val="28"/>
        </w:rPr>
        <w:t>9</w:t>
      </w:r>
      <w:r>
        <w:rPr>
          <w:b/>
          <w:bCs/>
          <w:color w:val="002147"/>
          <w:sz w:val="28"/>
          <w:szCs w:val="28"/>
        </w:rPr>
        <w:t xml:space="preserve"> – SaaS vs. Eigenbau</w:t>
      </w:r>
    </w:p>
    <w:p w14:paraId="20BAA673" w14:textId="77777777" w:rsidR="00B83F3F" w:rsidRDefault="00000000">
      <w:pPr>
        <w:pBdr>
          <w:left w:val="single" w:sz="12" w:space="8" w:color="C4A006"/>
        </w:pBdr>
        <w:spacing w:before="100" w:after="60"/>
        <w:ind w:left="180"/>
      </w:pPr>
      <w:r>
        <w:rPr>
          <w:b/>
          <w:bCs/>
          <w:color w:val="002147"/>
          <w:sz w:val="20"/>
          <w:szCs w:val="20"/>
        </w:rPr>
        <w:t>⏱ ca. 1:30 min</w:t>
      </w:r>
    </w:p>
    <w:p w14:paraId="339059BA" w14:textId="77777777" w:rsidR="00B83F3F" w:rsidRDefault="00000000">
      <w:pPr>
        <w:spacing w:before="60" w:after="60"/>
        <w:jc w:val="both"/>
      </w:pPr>
      <w:r>
        <w:t>Nachdem die Anforderungen klar waren, stellte sich die zentrale Frage: Eigenbau oder kaufen? Die Antwort der Autoren ist eindeutig: SaaS – Software as a Service, konkret Figshare for Institutions.</w:t>
      </w:r>
    </w:p>
    <w:p w14:paraId="43CF0724" w14:textId="77777777" w:rsidR="00B83F3F" w:rsidRDefault="00B83F3F">
      <w:pPr>
        <w:spacing w:before="60" w:after="60"/>
      </w:pPr>
    </w:p>
    <w:p w14:paraId="7851D05C" w14:textId="77777777" w:rsidR="00B83F3F" w:rsidRDefault="00000000">
      <w:pPr>
        <w:spacing w:before="240" w:after="80"/>
      </w:pPr>
      <w:r>
        <w:rPr>
          <w:b/>
          <w:bCs/>
          <w:color w:val="002147"/>
        </w:rPr>
        <w:t>Drei Argumente für diese Entscheidung:</w:t>
      </w:r>
    </w:p>
    <w:p w14:paraId="75B342EB" w14:textId="77777777" w:rsidR="00B83F3F" w:rsidRDefault="00000000">
      <w:pPr>
        <w:pStyle w:val="Listenabsatz"/>
        <w:numPr>
          <w:ilvl w:val="0"/>
          <w:numId w:val="2"/>
        </w:numPr>
        <w:spacing w:before="40" w:after="40"/>
      </w:pPr>
      <w:r>
        <w:t>FAIR by default: Offenheit und FAIR-Konformität sind keine zusätzliche Aufgabe, die Forscher selbst lösen müssen – sie sind die Standardoption der Plattform. Wer Daten hochlädt, erhält automatisch DOIs, Metadaten-Standards und offenen Zugang. Das ist ein fundamentaler Unterschied zum Eigenbau.</w:t>
      </w:r>
    </w:p>
    <w:p w14:paraId="791B27FB" w14:textId="77777777" w:rsidR="00B83F3F" w:rsidRDefault="00000000">
      <w:pPr>
        <w:pStyle w:val="Listenabsatz"/>
        <w:numPr>
          <w:ilvl w:val="0"/>
          <w:numId w:val="2"/>
        </w:numPr>
        <w:spacing w:before="40" w:after="40"/>
      </w:pPr>
      <w:r>
        <w:t>Wartung: Der Gedanke ist einfach und kraftvoll – Technik mieten, Inhalte kuratieren. Man investiert die eigene Energie nicht in Serveradministration oder Software-Updates, sondern in die wissenschaftliche Pflege der Daten.</w:t>
      </w:r>
    </w:p>
    <w:p w14:paraId="21D9B6B4" w14:textId="77777777" w:rsidR="00B83F3F" w:rsidRDefault="00000000">
      <w:pPr>
        <w:pStyle w:val="Listenabsatz"/>
        <w:numPr>
          <w:ilvl w:val="0"/>
          <w:numId w:val="2"/>
        </w:numPr>
        <w:spacing w:before="40" w:after="40"/>
      </w:pPr>
      <w:r>
        <w:t xml:space="preserve">Kosteneffizienz: Und hier der entscheidende Datenpunkt, den die Folie jetzt auch prominent zeigt: Die Implementierung und Wartung von Figshare kostet nur 10 bis 20 Prozent dessen, was eine Eigenentwicklung gekühlt auf 10 Jahre hätte kosten </w:t>
      </w:r>
      <w:r>
        <w:lastRenderedPageBreak/>
        <w:t>würden. Das ist ein TCO-Vergleich – Total Cost of Ownership – und er ist überzeugend.</w:t>
      </w:r>
    </w:p>
    <w:p w14:paraId="3842EE3C" w14:textId="77777777" w:rsidR="00B83F3F" w:rsidRDefault="00B83F3F">
      <w:pPr>
        <w:spacing w:before="60" w:after="60"/>
      </w:pPr>
    </w:p>
    <w:p w14:paraId="7ABA3B46" w14:textId="77777777" w:rsidR="00B83F3F" w:rsidRDefault="00000000">
      <w:pPr>
        <w:spacing w:before="60" w:after="60"/>
        <w:jc w:val="both"/>
      </w:pPr>
      <w:r>
        <w:t>Wichtig: Die Autoren betonen auch die Risiken. Figshare ist proprietäre Software. Es gibt eine klare Ausstiegsstrategie im Risikoregister. Aber sie vergleichen Figshare mit anderer unverzichtbarer Infrastruktur-Software, die Universitäten täglich nutzen – Bibliothekssysteme, Sammlungsverwaltung, Content-Management. Kein System ist risikolos.</w:t>
      </w:r>
    </w:p>
    <w:p w14:paraId="5580F792" w14:textId="77777777" w:rsidR="00B83F3F" w:rsidRDefault="00B83F3F">
      <w:pPr>
        <w:spacing w:before="60" w:after="60"/>
      </w:pPr>
    </w:p>
    <w:p w14:paraId="4FA681B7" w14:textId="77777777" w:rsidR="00B83F3F" w:rsidRDefault="00000000">
      <w:r>
        <w:br w:type="page"/>
      </w:r>
    </w:p>
    <w:p w14:paraId="41CB35FA" w14:textId="7F0529EF" w:rsidR="00B83F3F" w:rsidRDefault="00000000">
      <w:pPr>
        <w:pBdr>
          <w:bottom w:val="single" w:sz="6" w:space="6" w:color="C4A006"/>
        </w:pBdr>
        <w:spacing w:before="360" w:after="120"/>
      </w:pPr>
      <w:r>
        <w:rPr>
          <w:b/>
          <w:bCs/>
          <w:color w:val="002147"/>
          <w:sz w:val="28"/>
          <w:szCs w:val="28"/>
        </w:rPr>
        <w:lastRenderedPageBreak/>
        <w:t xml:space="preserve">Folie </w:t>
      </w:r>
      <w:r w:rsidR="00F63711">
        <w:rPr>
          <w:b/>
          <w:bCs/>
          <w:color w:val="002147"/>
          <w:sz w:val="28"/>
          <w:szCs w:val="28"/>
        </w:rPr>
        <w:t>10</w:t>
      </w:r>
      <w:r>
        <w:rPr>
          <w:b/>
          <w:bCs/>
          <w:color w:val="002147"/>
          <w:sz w:val="28"/>
          <w:szCs w:val="28"/>
        </w:rPr>
        <w:t xml:space="preserve"> – Das Suitability Factors Assessment</w:t>
      </w:r>
    </w:p>
    <w:p w14:paraId="2BE29243" w14:textId="77777777" w:rsidR="00B83F3F" w:rsidRDefault="00000000">
      <w:pPr>
        <w:pBdr>
          <w:left w:val="single" w:sz="12" w:space="8" w:color="C4A006"/>
        </w:pBdr>
        <w:spacing w:before="100" w:after="60"/>
        <w:ind w:left="180"/>
      </w:pPr>
      <w:r>
        <w:rPr>
          <w:b/>
          <w:bCs/>
          <w:color w:val="002147"/>
          <w:sz w:val="20"/>
          <w:szCs w:val="20"/>
        </w:rPr>
        <w:t>⏱ ca. 1:30 min</w:t>
      </w:r>
    </w:p>
    <w:p w14:paraId="2E11D108" w14:textId="77777777" w:rsidR="00B83F3F" w:rsidRDefault="00000000">
      <w:pPr>
        <w:spacing w:before="60" w:after="60"/>
        <w:jc w:val="both"/>
      </w:pPr>
      <w:r>
        <w:t>Nicht jedes Projekt ist für SDS geeignet – und das war von Anfang an klar. Um das systematisch zu beurteilen, entwickelten die Autoren eine Methodik zur Bewertung der Eignung: das Suitability Factors Assessment.</w:t>
      </w:r>
    </w:p>
    <w:p w14:paraId="7C8CFEB0" w14:textId="77777777" w:rsidR="00B83F3F" w:rsidRDefault="00B83F3F">
      <w:pPr>
        <w:spacing w:before="60" w:after="60"/>
      </w:pPr>
    </w:p>
    <w:p w14:paraId="48139D86" w14:textId="77777777" w:rsidR="00B83F3F" w:rsidRDefault="00000000">
      <w:pPr>
        <w:spacing w:before="60" w:after="60"/>
        <w:jc w:val="both"/>
      </w:pPr>
      <w:r>
        <w:t>Sieben Kriterien werden auf einer Skala von 0 bis 5 bewertet – ich möchte alle sieben kurz nennen, weil sie zusammen das Denkkader beschreiben, das hinter dem Dienst steht:</w:t>
      </w:r>
    </w:p>
    <w:p w14:paraId="338EF3A0" w14:textId="77777777" w:rsidR="00B83F3F" w:rsidRDefault="00000000">
      <w:pPr>
        <w:pStyle w:val="Listenabsatz"/>
        <w:numPr>
          <w:ilvl w:val="0"/>
          <w:numId w:val="2"/>
        </w:numPr>
        <w:spacing w:before="40" w:after="40"/>
      </w:pPr>
      <w:r>
        <w:t>Speicherplatz: Wie groß ist das Datenvolumen?</w:t>
      </w:r>
    </w:p>
    <w:p w14:paraId="0E2501B7" w14:textId="77777777" w:rsidR="00B83F3F" w:rsidRDefault="00000000">
      <w:pPr>
        <w:pStyle w:val="Listenabsatz"/>
        <w:numPr>
          <w:ilvl w:val="0"/>
          <w:numId w:val="2"/>
        </w:numPr>
        <w:spacing w:before="40" w:after="40"/>
      </w:pPr>
      <w:r>
        <w:t>Frontend-Anforderungen: Welche Präsentation und Benutzeroberfläche ist erforderlich?</w:t>
      </w:r>
    </w:p>
    <w:p w14:paraId="3CBF92FC" w14:textId="77777777" w:rsidR="00B83F3F" w:rsidRDefault="00000000">
      <w:pPr>
        <w:pStyle w:val="Listenabsatz"/>
        <w:numPr>
          <w:ilvl w:val="0"/>
          <w:numId w:val="2"/>
        </w:numPr>
        <w:spacing w:before="40" w:after="40"/>
      </w:pPr>
      <w:r>
        <w:t>Komplexität der User Journeys: Wie komplex sind die Benutzerabläufe und das Datenmodell?</w:t>
      </w:r>
    </w:p>
    <w:p w14:paraId="1C76AEA8" w14:textId="77777777" w:rsidR="00B83F3F" w:rsidRDefault="00000000">
      <w:pPr>
        <w:pStyle w:val="Listenabsatz"/>
        <w:numPr>
          <w:ilvl w:val="0"/>
          <w:numId w:val="2"/>
        </w:numPr>
        <w:spacing w:before="40" w:after="40"/>
      </w:pPr>
      <w:r>
        <w:t>Integration: Muss das System an andere Systeme angebunden werden?</w:t>
      </w:r>
    </w:p>
    <w:p w14:paraId="10172618" w14:textId="77777777" w:rsidR="00B83F3F" w:rsidRDefault="00000000">
      <w:pPr>
        <w:pStyle w:val="Listenabsatz"/>
        <w:numPr>
          <w:ilvl w:val="0"/>
          <w:numId w:val="2"/>
        </w:numPr>
        <w:spacing w:before="40" w:after="40"/>
      </w:pPr>
      <w:r>
        <w:t>Migrationskosten: Wie hoch sind Zeitaufwand und Ressourceneinsatz im Verhältnis zum wissenschaftlichen Mehrwert?</w:t>
      </w:r>
    </w:p>
    <w:p w14:paraId="631D2FFF" w14:textId="77777777" w:rsidR="00B83F3F" w:rsidRDefault="00000000">
      <w:pPr>
        <w:pStyle w:val="Listenabsatz"/>
        <w:numPr>
          <w:ilvl w:val="0"/>
          <w:numId w:val="2"/>
        </w:numPr>
        <w:spacing w:before="40" w:after="40"/>
      </w:pPr>
      <w:r>
        <w:t>Dringlichkeit: Wie akut ist die Gefährdung des Projekts?</w:t>
      </w:r>
    </w:p>
    <w:p w14:paraId="71C73C33" w14:textId="77777777" w:rsidR="00B83F3F" w:rsidRDefault="00000000">
      <w:pPr>
        <w:pStyle w:val="Listenabsatz"/>
        <w:numPr>
          <w:ilvl w:val="0"/>
          <w:numId w:val="2"/>
        </w:numPr>
        <w:spacing w:before="40" w:after="40"/>
      </w:pPr>
      <w:r>
        <w:lastRenderedPageBreak/>
        <w:t>Kompromissbereitschaft: Ist der Forscher bereit, auf bestimmte Funktionen zu verzichten, um Nachhaltigkeit zu gewinnen?</w:t>
      </w:r>
    </w:p>
    <w:p w14:paraId="035D6652" w14:textId="77777777" w:rsidR="00B83F3F" w:rsidRDefault="00B83F3F">
      <w:pPr>
        <w:spacing w:before="60" w:after="60"/>
      </w:pPr>
    </w:p>
    <w:p w14:paraId="312AF995" w14:textId="77777777" w:rsidR="00B83F3F" w:rsidRDefault="00000000">
      <w:pPr>
        <w:spacing w:before="60" w:after="60"/>
        <w:jc w:val="both"/>
      </w:pPr>
      <w:r>
        <w:t>Diese Skala ist ausdrücklich eine relative Orientierungshilfe, kein absolutes Urteil – und ausdrücklich kein Qualitätsurteil über die Forschung selbst. Jedes Projekt, das sich an SDS wendet, hat per Annahme einen hohen akademischen Standard.</w:t>
      </w:r>
    </w:p>
    <w:p w14:paraId="58B59FE5" w14:textId="77777777" w:rsidR="00B83F3F" w:rsidRDefault="00B83F3F">
      <w:pPr>
        <w:spacing w:before="60" w:after="60"/>
      </w:pPr>
    </w:p>
    <w:p w14:paraId="4AC3FB11" w14:textId="77777777" w:rsidR="00B83F3F" w:rsidRDefault="00000000">
      <w:pPr>
        <w:spacing w:before="60" w:after="60"/>
        <w:jc w:val="both"/>
      </w:pPr>
      <w:r>
        <w:t>Das Ergebnis der Anwendung dieser Methodik: Von über 120 Projekten, die sich bis Januar 2023 an SDS gewandt hatten, wurden 17 als nicht kompatibel eingestuft. Das entspricht einer höheren Ablehnungsquote als die angestrebten 20 Prozent – der Hauptgrund war meist das Fehlen komplexer Abfrage- und Präsentationsfunktionen.</w:t>
      </w:r>
    </w:p>
    <w:p w14:paraId="5B83A413" w14:textId="77777777" w:rsidR="00B83F3F" w:rsidRDefault="00000000">
      <w:pPr>
        <w:spacing w:before="80" w:after="60"/>
        <w:ind w:left="360"/>
      </w:pPr>
      <w:r>
        <w:rPr>
          <w:i/>
          <w:iCs/>
          <w:color w:val="666666"/>
          <w:sz w:val="18"/>
          <w:szCs w:val="18"/>
        </w:rPr>
        <w:t>Hinweis: Im Artikel gibt es ein Spinnendiagramm (Abb. 3) für drei anonymisierte Pilotprojekte – wenn Sie Zeit haben, können Sie das als Ergänzung zeigen.</w:t>
      </w:r>
    </w:p>
    <w:p w14:paraId="643A5221" w14:textId="77777777" w:rsidR="00B83F3F" w:rsidRDefault="00B83F3F">
      <w:pPr>
        <w:spacing w:before="60" w:after="60"/>
      </w:pPr>
    </w:p>
    <w:p w14:paraId="2C6DA50A" w14:textId="77777777" w:rsidR="00B83F3F" w:rsidRDefault="00000000">
      <w:r>
        <w:br w:type="page"/>
      </w:r>
    </w:p>
    <w:p w14:paraId="05613D70" w14:textId="5B47861E" w:rsidR="00B83F3F" w:rsidRPr="00C57CF7" w:rsidRDefault="00000000">
      <w:pPr>
        <w:pBdr>
          <w:bottom w:val="single" w:sz="6" w:space="6" w:color="C4A006"/>
        </w:pBdr>
        <w:spacing w:before="360" w:after="120"/>
        <w:rPr>
          <w:lang w:val="en-GB"/>
        </w:rPr>
      </w:pPr>
      <w:r w:rsidRPr="00C57CF7">
        <w:rPr>
          <w:b/>
          <w:bCs/>
          <w:color w:val="002147"/>
          <w:sz w:val="28"/>
          <w:szCs w:val="28"/>
          <w:lang w:val="en-GB"/>
        </w:rPr>
        <w:lastRenderedPageBreak/>
        <w:t>Folie 1</w:t>
      </w:r>
      <w:r w:rsidR="00F63711">
        <w:rPr>
          <w:b/>
          <w:bCs/>
          <w:color w:val="002147"/>
          <w:sz w:val="28"/>
          <w:szCs w:val="28"/>
          <w:lang w:val="en-GB"/>
        </w:rPr>
        <w:t>1</w:t>
      </w:r>
      <w:r w:rsidRPr="00C57CF7">
        <w:rPr>
          <w:b/>
          <w:bCs/>
          <w:color w:val="002147"/>
          <w:sz w:val="28"/>
          <w:szCs w:val="28"/>
          <w:lang w:val="en-GB"/>
        </w:rPr>
        <w:t xml:space="preserve"> – Sustainability by Design</w:t>
      </w:r>
    </w:p>
    <w:p w14:paraId="7E7EAC21" w14:textId="77777777" w:rsidR="00B83F3F" w:rsidRPr="00C57CF7" w:rsidRDefault="00000000">
      <w:pPr>
        <w:pBdr>
          <w:left w:val="single" w:sz="12" w:space="8" w:color="C4A006"/>
        </w:pBdr>
        <w:spacing w:before="100" w:after="60"/>
        <w:ind w:left="180"/>
        <w:rPr>
          <w:lang w:val="en-GB"/>
        </w:rPr>
      </w:pPr>
      <w:r w:rsidRPr="00C57CF7">
        <w:rPr>
          <w:b/>
          <w:bCs/>
          <w:color w:val="002147"/>
          <w:sz w:val="20"/>
          <w:szCs w:val="20"/>
          <w:lang w:val="en-GB"/>
        </w:rPr>
        <w:t>⏱ ca. 1:30 min</w:t>
      </w:r>
    </w:p>
    <w:p w14:paraId="5C9E61E7" w14:textId="77777777" w:rsidR="00B83F3F" w:rsidRDefault="00000000">
      <w:pPr>
        <w:spacing w:before="60" w:after="60"/>
        <w:jc w:val="both"/>
      </w:pPr>
      <w:r>
        <w:t>Die Folie zeigt jetzt, im Unterschied zur früheren Version, einen direkten Vergleich zwischen zwei Kategorien von Projekten, die SDS unterstützt. Denn die Herausforderungen sind je nach Ausgangslage grundlegend verschieden.</w:t>
      </w:r>
    </w:p>
    <w:p w14:paraId="431EB4C2" w14:textId="77777777" w:rsidR="00B83F3F" w:rsidRDefault="00B83F3F">
      <w:pPr>
        <w:spacing w:before="60" w:after="60"/>
      </w:pPr>
    </w:p>
    <w:p w14:paraId="0C094827" w14:textId="77777777" w:rsidR="00B83F3F" w:rsidRDefault="00000000">
      <w:pPr>
        <w:spacing w:before="240" w:after="80"/>
      </w:pPr>
      <w:r>
        <w:rPr>
          <w:b/>
          <w:bCs/>
          <w:color w:val="002147"/>
        </w:rPr>
        <w:t>Neue Projekte</w:t>
      </w:r>
    </w:p>
    <w:p w14:paraId="5B21B331" w14:textId="77777777" w:rsidR="00B83F3F" w:rsidRDefault="00000000">
      <w:pPr>
        <w:spacing w:before="60" w:after="60"/>
        <w:jc w:val="both"/>
      </w:pPr>
      <w:r>
        <w:t>Bei neuen Projekten kann SDS die Nachhaltigkeit von Anfang an einbauen. In einer typischen SDS-Planungssitzung werden die Schlüsselfragen geklärt: Welche Dateitypen werden verwendet? Wie viel Speicher wird benötigt? Welche Metadaten-Schema braucht das Projekt? Gibt es DSGVO- oder urheberrechtliche Einschränkungen? Wie sollen die Daten navigiert werden?</w:t>
      </w:r>
    </w:p>
    <w:p w14:paraId="36E45364" w14:textId="77777777" w:rsidR="00B83F3F" w:rsidRDefault="00000000">
      <w:pPr>
        <w:spacing w:before="60" w:after="60"/>
        <w:jc w:val="both"/>
      </w:pPr>
      <w:r>
        <w:t>Das Ergebnis: Forscher erfassen ihre Daten von Anfang an in einem SDS-kompatiblen Format. Kein Data Wrangling nötig – die Nachhaltigkeit ist eingebaut, nicht nachträglich hinzugefügt.</w:t>
      </w:r>
    </w:p>
    <w:p w14:paraId="705FEF14" w14:textId="77777777" w:rsidR="00B83F3F" w:rsidRDefault="00B83F3F">
      <w:pPr>
        <w:spacing w:before="60" w:after="60"/>
      </w:pPr>
    </w:p>
    <w:p w14:paraId="4B993414" w14:textId="77777777" w:rsidR="00C57CF7" w:rsidRDefault="00C57CF7">
      <w:pPr>
        <w:rPr>
          <w:b/>
          <w:bCs/>
          <w:color w:val="002147"/>
        </w:rPr>
      </w:pPr>
      <w:r>
        <w:rPr>
          <w:b/>
          <w:bCs/>
          <w:color w:val="002147"/>
        </w:rPr>
        <w:br w:type="page"/>
      </w:r>
    </w:p>
    <w:p w14:paraId="2B63C49C" w14:textId="2464D702" w:rsidR="00B83F3F" w:rsidRDefault="00000000">
      <w:pPr>
        <w:spacing w:before="240" w:after="80"/>
      </w:pPr>
      <w:r>
        <w:rPr>
          <w:b/>
          <w:bCs/>
          <w:color w:val="002147"/>
        </w:rPr>
        <w:lastRenderedPageBreak/>
        <w:t>Legacy-Projekte</w:t>
      </w:r>
    </w:p>
    <w:p w14:paraId="2D7A4F58" w14:textId="77777777" w:rsidR="00B83F3F" w:rsidRDefault="00000000">
      <w:pPr>
        <w:spacing w:before="60" w:after="60"/>
        <w:jc w:val="both"/>
      </w:pPr>
      <w:r>
        <w:t>Bei Legacy-Projekten ist es komplizierter. Forscher haben oft Jahre oder Jahrzehnte in maßgeschneiderte Systeme investiert. Sie sind an deren Funktionen gewöhnt. Wenn SDS diese Funktionen nicht vollständig replizieren kann, müssen Forscher eine schwierige Entscheidung treffen: Nachhaltigkeit durch Migration gewinnen, aber bestimmte Funktionen verlieren.</w:t>
      </w:r>
    </w:p>
    <w:p w14:paraId="48429F10" w14:textId="77777777" w:rsidR="00B83F3F" w:rsidRDefault="00000000">
      <w:pPr>
        <w:spacing w:before="60" w:after="60"/>
        <w:jc w:val="both"/>
      </w:pPr>
      <w:r>
        <w:t>Manche können diesen Kompromiss nicht eingehen. Für diese Projekte bleibt die Zukunft der Daten gefährdet – das ist ein Ergebnis, das die Autoren offen benennen. SDS ist keine universelle Lösung, aber für 80 Prozent der Projekte eine tragfähige.</w:t>
      </w:r>
    </w:p>
    <w:p w14:paraId="3EDCF637" w14:textId="77777777" w:rsidR="00B83F3F" w:rsidRDefault="00B83F3F">
      <w:pPr>
        <w:spacing w:before="60" w:after="60"/>
      </w:pPr>
    </w:p>
    <w:p w14:paraId="3DDE67CF" w14:textId="77777777" w:rsidR="00B83F3F" w:rsidRDefault="00000000">
      <w:r>
        <w:br w:type="page"/>
      </w:r>
    </w:p>
    <w:p w14:paraId="18414326" w14:textId="7887DC37" w:rsidR="00B83F3F" w:rsidRDefault="00000000">
      <w:pPr>
        <w:pBdr>
          <w:bottom w:val="single" w:sz="6" w:space="6" w:color="C4A006"/>
        </w:pBdr>
        <w:spacing w:before="360" w:after="120"/>
      </w:pPr>
      <w:r>
        <w:rPr>
          <w:b/>
          <w:bCs/>
          <w:color w:val="002147"/>
          <w:sz w:val="28"/>
          <w:szCs w:val="28"/>
        </w:rPr>
        <w:lastRenderedPageBreak/>
        <w:t>Folie 1</w:t>
      </w:r>
      <w:r w:rsidR="00F63711">
        <w:rPr>
          <w:b/>
          <w:bCs/>
          <w:color w:val="002147"/>
          <w:sz w:val="28"/>
          <w:szCs w:val="28"/>
        </w:rPr>
        <w:t>2</w:t>
      </w:r>
      <w:r>
        <w:rPr>
          <w:b/>
          <w:bCs/>
          <w:color w:val="002147"/>
          <w:sz w:val="28"/>
          <w:szCs w:val="28"/>
        </w:rPr>
        <w:t xml:space="preserve"> – Fallstudie: Grave Goods</w:t>
      </w:r>
    </w:p>
    <w:p w14:paraId="1AB9BF35" w14:textId="77777777" w:rsidR="00B83F3F" w:rsidRDefault="00000000">
      <w:pPr>
        <w:pBdr>
          <w:left w:val="single" w:sz="12" w:space="8" w:color="C4A006"/>
        </w:pBdr>
        <w:spacing w:before="100" w:after="60"/>
        <w:ind w:left="180"/>
      </w:pPr>
      <w:r>
        <w:rPr>
          <w:b/>
          <w:bCs/>
          <w:color w:val="002147"/>
          <w:sz w:val="20"/>
          <w:szCs w:val="20"/>
        </w:rPr>
        <w:t>⏱ ca. 1:30 min</w:t>
      </w:r>
    </w:p>
    <w:p w14:paraId="62E902C8" w14:textId="77777777" w:rsidR="00B83F3F" w:rsidRDefault="00000000">
      <w:pPr>
        <w:spacing w:before="60" w:after="60"/>
        <w:jc w:val="both"/>
      </w:pPr>
      <w:r>
        <w:t>Ich möchte mit einem konkreten Fallbeispiel schließen, das all diese abstrakten Prinzipien lebendig macht. Das Novum Inventorium Sepulchrale – eine Sammlung kentischer und angelsächsischer Grabbeigaben aus dem Sonia Hawkes Archive an der Universität Oxford.</w:t>
      </w:r>
    </w:p>
    <w:p w14:paraId="201CAB25" w14:textId="77777777" w:rsidR="00B83F3F" w:rsidRDefault="00B83F3F">
      <w:pPr>
        <w:spacing w:before="60" w:after="60"/>
      </w:pPr>
    </w:p>
    <w:p w14:paraId="06DE60EB" w14:textId="77777777" w:rsidR="00B83F3F" w:rsidRDefault="00000000">
      <w:pPr>
        <w:spacing w:before="60" w:after="60"/>
        <w:jc w:val="both"/>
      </w:pPr>
      <w:r>
        <w:t>Was ist die Geschichte dieses Projekts?</w:t>
      </w:r>
    </w:p>
    <w:p w14:paraId="1C38CCDF" w14:textId="77777777" w:rsidR="00B83F3F" w:rsidRDefault="00000000">
      <w:pPr>
        <w:pStyle w:val="Listenabsatz"/>
        <w:numPr>
          <w:ilvl w:val="0"/>
          <w:numId w:val="2"/>
        </w:numPr>
        <w:spacing w:before="40" w:after="40"/>
      </w:pPr>
      <w:r>
        <w:t>Ursprünglich hatte es eine voll funktionsfähige Datenbank mit durchsuchbarem Web-Frontend, zahlreichen Bildern und umfangreichen Metadaten für rund 1.000 Gräber und die darin gefundenen Gegenstände.</w:t>
      </w:r>
    </w:p>
    <w:p w14:paraId="4A185503" w14:textId="77777777" w:rsidR="00B83F3F" w:rsidRDefault="00000000">
      <w:pPr>
        <w:pStyle w:val="Listenabsatz"/>
        <w:numPr>
          <w:ilvl w:val="0"/>
          <w:numId w:val="2"/>
        </w:numPr>
        <w:spacing w:before="40" w:after="40"/>
      </w:pPr>
      <w:r>
        <w:t>2018 ging das Projekt auf unbestimmte Zeit offline. Was blieb: zwei Metadaten-Tabellen auf einer einzigen Projektwebseite. Keine Suche, keine Bilder, kaum Zugang.</w:t>
      </w:r>
    </w:p>
    <w:p w14:paraId="2282314E" w14:textId="77777777" w:rsidR="00B83F3F" w:rsidRDefault="00000000">
      <w:pPr>
        <w:pStyle w:val="Listenabsatz"/>
        <w:numPr>
          <w:ilvl w:val="0"/>
          <w:numId w:val="2"/>
        </w:numPr>
        <w:spacing w:before="40" w:after="40"/>
      </w:pPr>
      <w:r>
        <w:t>2021 kontaktierte Prof. Helena Hamerow von der School of Archaeology das SDS-Team. Nach den üblichen Schritten – Abstimmung, Metadaten-Bereinigung, Mapping – war das Projekt innerhalb von circa 6 Arbeitstagen vollständig migriert.</w:t>
      </w:r>
    </w:p>
    <w:p w14:paraId="77AA2F4F" w14:textId="77777777" w:rsidR="00B83F3F" w:rsidRDefault="00000000">
      <w:pPr>
        <w:pStyle w:val="Listenabsatz"/>
        <w:numPr>
          <w:ilvl w:val="0"/>
          <w:numId w:val="2"/>
        </w:numPr>
        <w:spacing w:before="40" w:after="40"/>
      </w:pPr>
      <w:r>
        <w:t>Das Ergebnis: 4.800 Datensätze und über 6.000 Bilddateien sind wieder offen und verfügbar.</w:t>
      </w:r>
    </w:p>
    <w:p w14:paraId="56E5EFD2" w14:textId="77777777" w:rsidR="00B83F3F" w:rsidRDefault="00B83F3F">
      <w:pPr>
        <w:spacing w:before="60" w:after="60"/>
      </w:pPr>
    </w:p>
    <w:p w14:paraId="4E2E2A86" w14:textId="77777777" w:rsidR="00B83F3F" w:rsidRDefault="00000000">
      <w:pPr>
        <w:spacing w:before="60" w:after="60"/>
        <w:jc w:val="both"/>
      </w:pPr>
      <w:r>
        <w:t>Und das Urteil von Prof. Hamerow selbst, das ich Ihnen nicht vorenthalten möchte, weil es das Wesentliche sagt – es findet sich auf Seite 364 des Artikels:</w:t>
      </w:r>
    </w:p>
    <w:p w14:paraId="5C222B59" w14:textId="77777777" w:rsidR="00B83F3F" w:rsidRDefault="00000000">
      <w:pPr>
        <w:pBdr>
          <w:left w:val="single" w:sz="16" w:space="8" w:color="C4A006"/>
        </w:pBdr>
        <w:spacing w:before="120" w:after="120"/>
        <w:ind w:left="720" w:right="360"/>
      </w:pPr>
      <w:r>
        <w:rPr>
          <w:i/>
          <w:iCs/>
          <w:color w:val="002147"/>
        </w:rPr>
        <w:t>„Eine wertvolle, webbasierte archäologische Ressource, die vor Jahren offline gegangen war und nun wieder genutzt wird.“</w:t>
      </w:r>
    </w:p>
    <w:p w14:paraId="25E5D8EA" w14:textId="77777777" w:rsidR="00B83F3F" w:rsidRDefault="00000000">
      <w:pPr>
        <w:spacing w:before="60" w:after="60"/>
        <w:jc w:val="both"/>
      </w:pPr>
      <w:r>
        <w:t>Das ist kein großes Versprechen. Keine Digitalstrategie, kein Buzzword. Es ist eine schlichte Feststellung – und gerade deshalb so überzeugend. Das Zitat stammt von der Forscherin selbst, ist im Artikel vollständig belegt.</w:t>
      </w:r>
    </w:p>
    <w:p w14:paraId="7DBF4BD7" w14:textId="77777777" w:rsidR="00B83F3F" w:rsidRDefault="00B83F3F">
      <w:pPr>
        <w:spacing w:before="60" w:after="60"/>
      </w:pPr>
    </w:p>
    <w:p w14:paraId="2ECD7835" w14:textId="77777777" w:rsidR="00B83F3F" w:rsidRDefault="00000000">
      <w:r>
        <w:br w:type="page"/>
      </w:r>
    </w:p>
    <w:p w14:paraId="1B8961E6" w14:textId="0F181B93" w:rsidR="00B83F3F" w:rsidRDefault="00000000">
      <w:pPr>
        <w:pBdr>
          <w:bottom w:val="single" w:sz="6" w:space="6" w:color="C4A006"/>
        </w:pBdr>
        <w:spacing w:before="360" w:after="120"/>
      </w:pPr>
      <w:r>
        <w:rPr>
          <w:b/>
          <w:bCs/>
          <w:color w:val="002147"/>
          <w:sz w:val="28"/>
          <w:szCs w:val="28"/>
        </w:rPr>
        <w:lastRenderedPageBreak/>
        <w:t>Schluss und Diskussion</w:t>
      </w:r>
    </w:p>
    <w:p w14:paraId="007D6377" w14:textId="77777777" w:rsidR="00B83F3F" w:rsidRDefault="00000000">
      <w:pPr>
        <w:pBdr>
          <w:left w:val="single" w:sz="12" w:space="8" w:color="C4A006"/>
        </w:pBdr>
        <w:spacing w:before="100" w:after="60"/>
        <w:ind w:left="180"/>
      </w:pPr>
      <w:r>
        <w:rPr>
          <w:b/>
          <w:bCs/>
          <w:color w:val="002147"/>
          <w:sz w:val="20"/>
          <w:szCs w:val="20"/>
        </w:rPr>
        <w:t>⏱ ca. 0:30 min</w:t>
      </w:r>
    </w:p>
    <w:p w14:paraId="655D7477" w14:textId="77777777" w:rsidR="00B83F3F" w:rsidRDefault="00000000">
      <w:pPr>
        <w:spacing w:before="60" w:after="60"/>
        <w:jc w:val="both"/>
      </w:pPr>
      <w:r>
        <w:t>Was lehrt uns die Oxford Case Study? Ich möchte mit drei übergreifenden Beobachtungen schließen:</w:t>
      </w:r>
    </w:p>
    <w:p w14:paraId="4D49E7D3" w14:textId="77777777" w:rsidR="00B83F3F" w:rsidRDefault="00000000">
      <w:pPr>
        <w:pStyle w:val="Listenabsatz"/>
        <w:numPr>
          <w:ilvl w:val="0"/>
          <w:numId w:val="2"/>
        </w:numPr>
        <w:spacing w:before="40" w:after="40"/>
      </w:pPr>
      <w:r>
        <w:t>Erstens: Nachhaltigkeit ist keine Frage der Technologie allein, sondern der Kombination aus Technologie, Prozessen und Menschen. SDS ist ein Dienst, kein System.</w:t>
      </w:r>
    </w:p>
    <w:p w14:paraId="274F72DA" w14:textId="77777777" w:rsidR="00B83F3F" w:rsidRDefault="00000000">
      <w:pPr>
        <w:pStyle w:val="Listenabsatz"/>
        <w:numPr>
          <w:ilvl w:val="0"/>
          <w:numId w:val="2"/>
        </w:numPr>
        <w:spacing w:before="40" w:after="40"/>
      </w:pPr>
      <w:r>
        <w:t>Zweitens: Die 80/20-Regel – 80 Prozent der Projekte können mit einer einheitlichen Infrastruktur bedient werden – ist ein realistischer und ehrlicher Ansatz. Universalversprechen wären unglaubwürdig.</w:t>
      </w:r>
    </w:p>
    <w:p w14:paraId="2DF5EFEF" w14:textId="77777777" w:rsidR="00B83F3F" w:rsidRDefault="00000000">
      <w:pPr>
        <w:pStyle w:val="Listenabsatz"/>
        <w:numPr>
          <w:ilvl w:val="0"/>
          <w:numId w:val="2"/>
        </w:numPr>
        <w:spacing w:before="40" w:after="40"/>
      </w:pPr>
      <w:r>
        <w:t>Drittens: Der Artikel selbst ist Open Access, CC BY 4.0. Das ist symptomatisch für einen Ansatz, der Offenheit nicht nur fordert, sondern vorlegt.</w:t>
      </w:r>
    </w:p>
    <w:p w14:paraId="4F027C64" w14:textId="77777777" w:rsidR="00B83F3F" w:rsidRDefault="00B83F3F">
      <w:pPr>
        <w:spacing w:before="60" w:after="60"/>
      </w:pPr>
    </w:p>
    <w:p w14:paraId="2D6AD6A1" w14:textId="77777777" w:rsidR="00B83F3F" w:rsidRDefault="00000000">
      <w:pPr>
        <w:spacing w:before="60" w:after="60"/>
        <w:jc w:val="both"/>
      </w:pPr>
      <w:r>
        <w:t>Ich bin gespannt auf Ihre Fragen und Diskussionsbeiträge.</w:t>
      </w:r>
    </w:p>
    <w:p w14:paraId="76B8B135" w14:textId="77777777" w:rsidR="00B83F3F" w:rsidRDefault="00B83F3F">
      <w:pPr>
        <w:spacing w:before="60" w:after="60"/>
      </w:pPr>
    </w:p>
    <w:p w14:paraId="2B7DFF4A" w14:textId="4F6FC0A0" w:rsidR="00B83F3F" w:rsidRDefault="00000000" w:rsidP="00C57CF7">
      <w:pPr>
        <w:spacing w:before="80" w:after="60"/>
        <w:ind w:left="360"/>
      </w:pPr>
      <w:r>
        <w:rPr>
          <w:i/>
          <w:iCs/>
          <w:color w:val="666666"/>
          <w:sz w:val="18"/>
          <w:szCs w:val="18"/>
        </w:rPr>
        <w:t>Mogliche Diskussionsfragen: Wie übertragbar ist das Oxford-Modell auf kleinere Universitäten ohne vergleichbare Ressourcen? Welche Rolle spielt die Tatsache, dass Figshare proprietär ist – führt das nicht zu einer neuen Form von Abhängigkeit? Und: Wer sichert langfristig die Finanzierung des SDS-Dienstes selbst?</w:t>
      </w:r>
    </w:p>
    <w:sectPr w:rsidR="00B83F3F" w:rsidSect="00C57CF7">
      <w:headerReference w:type="default" r:id="rId7"/>
      <w:footerReference w:type="default" r:id="rId8"/>
      <w:pgSz w:w="11906" w:h="8391" w:orient="landscape" w:code="11"/>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AADF" w14:textId="77777777" w:rsidR="00100798" w:rsidRDefault="00100798">
      <w:r>
        <w:separator/>
      </w:r>
    </w:p>
  </w:endnote>
  <w:endnote w:type="continuationSeparator" w:id="0">
    <w:p w14:paraId="3760EF18" w14:textId="77777777" w:rsidR="00100798" w:rsidRDefault="00100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FAF0" w14:textId="77777777" w:rsidR="00B83F3F" w:rsidRPr="00C57CF7" w:rsidRDefault="00000000">
    <w:pPr>
      <w:pBdr>
        <w:top w:val="single" w:sz="4" w:space="4" w:color="DDDDDD"/>
      </w:pBdr>
      <w:jc w:val="center"/>
      <w:rPr>
        <w:lang w:val="en-GB"/>
      </w:rPr>
    </w:pPr>
    <w:r w:rsidRPr="00C57CF7">
      <w:rPr>
        <w:color w:val="888888"/>
        <w:sz w:val="16"/>
        <w:szCs w:val="16"/>
        <w:lang w:val="en-GB"/>
      </w:rPr>
      <w:t>Seminar Digital Humanities  ·  Strange, Gooch &amp; Collinson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DBFE" w14:textId="77777777" w:rsidR="00100798" w:rsidRDefault="00100798">
      <w:r>
        <w:separator/>
      </w:r>
    </w:p>
  </w:footnote>
  <w:footnote w:type="continuationSeparator" w:id="0">
    <w:p w14:paraId="38F5A72C" w14:textId="77777777" w:rsidR="00100798" w:rsidRDefault="00100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5647" w14:textId="77777777" w:rsidR="00B83F3F" w:rsidRDefault="00000000">
    <w:pPr>
      <w:pBdr>
        <w:bottom w:val="single" w:sz="4" w:space="4" w:color="DDDDDD"/>
      </w:pBdr>
      <w:tabs>
        <w:tab w:val="right" w:pos="8360"/>
      </w:tabs>
    </w:pPr>
    <w:r>
      <w:rPr>
        <w:color w:val="888888"/>
        <w:sz w:val="18"/>
        <w:szCs w:val="18"/>
      </w:rPr>
      <w:t>Sprechertexte – Teil B: Die Oxford Case Study</w:t>
    </w:r>
    <w:r>
      <w:rPr>
        <w:sz w:val="18"/>
        <w:szCs w:val="18"/>
      </w:rPr>
      <w:tab/>
    </w:r>
    <w:r>
      <w:rPr>
        <w:sz w:val="18"/>
        <w:szCs w:val="18"/>
      </w:rPr>
      <w:tab/>
    </w:r>
    <w:r>
      <w:rPr>
        <w:i/>
        <w:iCs/>
        <w:color w:val="888888"/>
        <w:sz w:val="18"/>
        <w:szCs w:val="18"/>
      </w:rPr>
      <w:t>Strange, Gooch &amp; Collinson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E1497"/>
    <w:multiLevelType w:val="hybridMultilevel"/>
    <w:tmpl w:val="2D8E02C8"/>
    <w:lvl w:ilvl="0" w:tplc="08DAEF84">
      <w:start w:val="1"/>
      <w:numFmt w:val="bullet"/>
      <w:lvlText w:val="–"/>
      <w:lvlJc w:val="left"/>
      <w:pPr>
        <w:ind w:left="720" w:hanging="360"/>
      </w:pPr>
    </w:lvl>
    <w:lvl w:ilvl="1" w:tplc="4CE4574A">
      <w:numFmt w:val="decimal"/>
      <w:lvlText w:val=""/>
      <w:lvlJc w:val="left"/>
    </w:lvl>
    <w:lvl w:ilvl="2" w:tplc="31C0096A">
      <w:numFmt w:val="decimal"/>
      <w:lvlText w:val=""/>
      <w:lvlJc w:val="left"/>
    </w:lvl>
    <w:lvl w:ilvl="3" w:tplc="925C6D52">
      <w:numFmt w:val="decimal"/>
      <w:lvlText w:val=""/>
      <w:lvlJc w:val="left"/>
    </w:lvl>
    <w:lvl w:ilvl="4" w:tplc="44CE167A">
      <w:numFmt w:val="decimal"/>
      <w:lvlText w:val=""/>
      <w:lvlJc w:val="left"/>
    </w:lvl>
    <w:lvl w:ilvl="5" w:tplc="C34A9836">
      <w:numFmt w:val="decimal"/>
      <w:lvlText w:val=""/>
      <w:lvlJc w:val="left"/>
    </w:lvl>
    <w:lvl w:ilvl="6" w:tplc="DB9CAFBA">
      <w:numFmt w:val="decimal"/>
      <w:lvlText w:val=""/>
      <w:lvlJc w:val="left"/>
    </w:lvl>
    <w:lvl w:ilvl="7" w:tplc="0BCA8E48">
      <w:numFmt w:val="decimal"/>
      <w:lvlText w:val=""/>
      <w:lvlJc w:val="left"/>
    </w:lvl>
    <w:lvl w:ilvl="8" w:tplc="06A4FA8E">
      <w:numFmt w:val="decimal"/>
      <w:lvlText w:val=""/>
      <w:lvlJc w:val="left"/>
    </w:lvl>
  </w:abstractNum>
  <w:abstractNum w:abstractNumId="1" w15:restartNumberingAfterBreak="0">
    <w:nsid w:val="55C653C7"/>
    <w:multiLevelType w:val="hybridMultilevel"/>
    <w:tmpl w:val="58587BF0"/>
    <w:lvl w:ilvl="0" w:tplc="4DBA3B3C">
      <w:start w:val="1"/>
      <w:numFmt w:val="bullet"/>
      <w:lvlText w:val="●"/>
      <w:lvlJc w:val="left"/>
      <w:pPr>
        <w:ind w:left="720" w:hanging="360"/>
      </w:pPr>
    </w:lvl>
    <w:lvl w:ilvl="1" w:tplc="DEFE3400">
      <w:start w:val="1"/>
      <w:numFmt w:val="bullet"/>
      <w:lvlText w:val="○"/>
      <w:lvlJc w:val="left"/>
      <w:pPr>
        <w:ind w:left="1440" w:hanging="360"/>
      </w:pPr>
    </w:lvl>
    <w:lvl w:ilvl="2" w:tplc="686667E4">
      <w:start w:val="1"/>
      <w:numFmt w:val="bullet"/>
      <w:lvlText w:val="■"/>
      <w:lvlJc w:val="left"/>
      <w:pPr>
        <w:ind w:left="2160" w:hanging="360"/>
      </w:pPr>
    </w:lvl>
    <w:lvl w:ilvl="3" w:tplc="14EABEF0">
      <w:start w:val="1"/>
      <w:numFmt w:val="bullet"/>
      <w:lvlText w:val="●"/>
      <w:lvlJc w:val="left"/>
      <w:pPr>
        <w:ind w:left="2880" w:hanging="360"/>
      </w:pPr>
    </w:lvl>
    <w:lvl w:ilvl="4" w:tplc="7C10FC20">
      <w:start w:val="1"/>
      <w:numFmt w:val="bullet"/>
      <w:lvlText w:val="○"/>
      <w:lvlJc w:val="left"/>
      <w:pPr>
        <w:ind w:left="3600" w:hanging="360"/>
      </w:pPr>
    </w:lvl>
    <w:lvl w:ilvl="5" w:tplc="0654229C">
      <w:start w:val="1"/>
      <w:numFmt w:val="bullet"/>
      <w:lvlText w:val="■"/>
      <w:lvlJc w:val="left"/>
      <w:pPr>
        <w:ind w:left="4320" w:hanging="360"/>
      </w:pPr>
    </w:lvl>
    <w:lvl w:ilvl="6" w:tplc="2C227CE4">
      <w:start w:val="1"/>
      <w:numFmt w:val="bullet"/>
      <w:lvlText w:val="●"/>
      <w:lvlJc w:val="left"/>
      <w:pPr>
        <w:ind w:left="5040" w:hanging="360"/>
      </w:pPr>
    </w:lvl>
    <w:lvl w:ilvl="7" w:tplc="ACA6F47E">
      <w:start w:val="1"/>
      <w:numFmt w:val="bullet"/>
      <w:lvlText w:val="●"/>
      <w:lvlJc w:val="left"/>
      <w:pPr>
        <w:ind w:left="5760" w:hanging="360"/>
      </w:pPr>
    </w:lvl>
    <w:lvl w:ilvl="8" w:tplc="2A3A802E">
      <w:start w:val="1"/>
      <w:numFmt w:val="bullet"/>
      <w:lvlText w:val="●"/>
      <w:lvlJc w:val="left"/>
      <w:pPr>
        <w:ind w:left="6480" w:hanging="360"/>
      </w:pPr>
    </w:lvl>
  </w:abstractNum>
  <w:num w:numId="1" w16cid:durableId="568685489">
    <w:abstractNumId w:val="1"/>
    <w:lvlOverride w:ilvl="0">
      <w:startOverride w:val="1"/>
    </w:lvlOverride>
  </w:num>
  <w:num w:numId="2" w16cid:durableId="1641764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F3F"/>
    <w:rsid w:val="00100798"/>
    <w:rsid w:val="00753BA6"/>
    <w:rsid w:val="00923791"/>
    <w:rsid w:val="009A6F74"/>
    <w:rsid w:val="00B83F3F"/>
    <w:rsid w:val="00C57CF7"/>
    <w:rsid w:val="00F6371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70F54"/>
  <w15:docId w15:val="{F4DD6953-9900-4CBE-A894-0B78727A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1557</Words>
  <Characters>10047</Characters>
  <Application>Microsoft Office Word</Application>
  <DocSecurity>0</DocSecurity>
  <Lines>213</Lines>
  <Paragraphs>91</Paragraphs>
  <ScaleCrop>false</ScaleCrop>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 Brugnara</cp:lastModifiedBy>
  <cp:revision>2</cp:revision>
  <dcterms:created xsi:type="dcterms:W3CDTF">2026-04-27T08:35:00Z</dcterms:created>
  <dcterms:modified xsi:type="dcterms:W3CDTF">2026-04-27T08:35:00Z</dcterms:modified>
</cp:coreProperties>
</file>