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565ED" w14:textId="77777777" w:rsidR="005167E1" w:rsidRDefault="00000000">
      <w:pPr>
        <w:spacing w:after="60"/>
      </w:pPr>
      <w:r>
        <w:rPr>
          <w:b/>
          <w:bCs/>
          <w:color w:val="1F3864"/>
          <w:sz w:val="28"/>
          <w:szCs w:val="28"/>
        </w:rPr>
        <w:t>Sprechertexte mit Belegstellen  ·  Teil B: Die Oxford Case Study  ·  Folien 6–12</w:t>
      </w:r>
    </w:p>
    <w:p w14:paraId="68A3FE13" w14:textId="77777777" w:rsidR="005167E1" w:rsidRDefault="00000000">
      <w:pPr>
        <w:spacing w:after="60"/>
      </w:pPr>
      <w:r>
        <w:rPr>
          <w:i/>
          <w:iCs/>
          <w:color w:val="777777"/>
          <w:sz w:val="19"/>
          <w:szCs w:val="19"/>
        </w:rPr>
        <w:t>Vortragsdauer: ca. 8 Minuten  ·  ca. 1.040 Wörter Sprechertext</w:t>
      </w:r>
    </w:p>
    <w:p w14:paraId="76571BF4" w14:textId="77777777" w:rsidR="005167E1" w:rsidRPr="00734FA1" w:rsidRDefault="00000000">
      <w:pPr>
        <w:spacing w:after="40"/>
        <w:rPr>
          <w:lang w:val="en-GB"/>
        </w:rPr>
      </w:pPr>
      <w:r w:rsidRPr="00734FA1">
        <w:rPr>
          <w:i/>
          <w:iCs/>
          <w:color w:val="555555"/>
          <w:sz w:val="18"/>
          <w:szCs w:val="18"/>
          <w:lang w:val="en-GB"/>
        </w:rPr>
        <w:t xml:space="preserve">Quelle: Strange, D., Gooch, M. &amp; Collinson, A. (2023). Equality, findability, sustainability: challenges and benefits of open data in the Digital Humanities. </w:t>
      </w:r>
    </w:p>
    <w:p w14:paraId="06D865EA" w14:textId="77777777" w:rsidR="005167E1" w:rsidRDefault="00000000">
      <w:pPr>
        <w:spacing w:after="200"/>
      </w:pPr>
      <w:r w:rsidRPr="00734FA1">
        <w:rPr>
          <w:i/>
          <w:iCs/>
          <w:color w:val="555555"/>
          <w:sz w:val="18"/>
          <w:szCs w:val="18"/>
          <w:lang w:val="en-GB"/>
        </w:rPr>
        <w:t xml:space="preserve">International Journal of Performance Arts and Digital Media, 19(3), 348–368. </w:t>
      </w:r>
      <w:r>
        <w:rPr>
          <w:i/>
          <w:iCs/>
          <w:color w:val="555555"/>
          <w:sz w:val="18"/>
          <w:szCs w:val="18"/>
        </w:rPr>
        <w:t>DOI: 10.1080/14794713.2023.2206286  ·  Open Access, CC BY 4.0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20"/>
        <w:gridCol w:w="2706"/>
      </w:tblGrid>
      <w:tr w:rsidR="005167E1" w14:paraId="2D753B3F" w14:textId="77777777">
        <w:tblPrEx>
          <w:tblCellMar>
            <w:top w:w="0" w:type="dxa"/>
            <w:bottom w:w="0" w:type="dxa"/>
          </w:tblCellMar>
        </w:tblPrEx>
        <w:tc>
          <w:tcPr>
            <w:tcW w:w="6320" w:type="dxa"/>
            <w:tcBorders>
              <w:top w:val="none" w:sz="0" w:space="0" w:color="FFFFFF"/>
              <w:left w:val="none" w:sz="0" w:space="0" w:color="FFFFFF"/>
              <w:bottom w:val="single" w:sz="2" w:space="0" w:color="BBCCDD"/>
              <w:right w:val="none" w:sz="0" w:space="0" w:color="FFFFFF"/>
            </w:tcBorders>
            <w:shd w:val="clear" w:color="auto" w:fill="FFFFFF"/>
            <w:tcMar>
              <w:top w:w="40" w:type="dxa"/>
              <w:left w:w="0" w:type="dxa"/>
              <w:bottom w:w="40" w:type="dxa"/>
              <w:right w:w="160" w:type="dxa"/>
            </w:tcMar>
          </w:tcPr>
          <w:p w14:paraId="36CA88AB" w14:textId="77777777" w:rsidR="005167E1" w:rsidRDefault="00000000">
            <w:r>
              <w:rPr>
                <w:b/>
                <w:bCs/>
                <w:color w:val="555555"/>
                <w:sz w:val="19"/>
                <w:szCs w:val="19"/>
              </w:rPr>
              <w:t>Sprechertext</w:t>
            </w:r>
          </w:p>
        </w:tc>
        <w:tc>
          <w:tcPr>
            <w:tcW w:w="2706" w:type="dxa"/>
            <w:tcBorders>
              <w:top w:val="none" w:sz="0" w:space="0" w:color="FFFFFF"/>
              <w:left w:val="none" w:sz="0" w:space="0" w:color="FFFFFF"/>
              <w:bottom w:val="single" w:sz="2" w:space="0" w:color="BBCCDD"/>
              <w:right w:val="none" w:sz="0" w:space="0" w:color="FFFFFF"/>
            </w:tcBorders>
            <w:shd w:val="clear" w:color="auto" w:fill="EBF3FB"/>
            <w:tcMar>
              <w:top w:w="40" w:type="dxa"/>
              <w:left w:w="160" w:type="dxa"/>
              <w:bottom w:w="40" w:type="dxa"/>
              <w:right w:w="0" w:type="dxa"/>
            </w:tcMar>
          </w:tcPr>
          <w:p w14:paraId="12E9C69D" w14:textId="0E73E49A" w:rsidR="005167E1" w:rsidRDefault="00000000">
            <w:r>
              <w:rPr>
                <w:b/>
                <w:bCs/>
                <w:color w:val="2E6DA4"/>
                <w:sz w:val="19"/>
                <w:szCs w:val="19"/>
              </w:rPr>
              <w:t xml:space="preserve">Beleg (S. = Seite im </w:t>
            </w:r>
            <w:r w:rsidR="00734FA1">
              <w:rPr>
                <w:b/>
                <w:bCs/>
                <w:color w:val="2E6DA4"/>
                <w:sz w:val="19"/>
                <w:szCs w:val="19"/>
              </w:rPr>
              <w:t xml:space="preserve">Artikel) </w:t>
            </w:r>
          </w:p>
        </w:tc>
      </w:tr>
      <w:tr w:rsidR="005167E1" w14:paraId="7F3A7B64"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056E9AEF" w14:textId="77777777" w:rsidR="005167E1" w:rsidRDefault="00000000">
            <w:r>
              <w:rPr>
                <w:b/>
                <w:bCs/>
                <w:color w:val="FFFFFF"/>
                <w:sz w:val="26"/>
                <w:szCs w:val="26"/>
              </w:rPr>
              <w:t xml:space="preserve">Titelfolie – Übergang von Teil A   </w:t>
            </w:r>
            <w:r>
              <w:rPr>
                <w:i/>
                <w:iCs/>
                <w:color w:val="DDEEFF"/>
                <w:sz w:val="20"/>
                <w:szCs w:val="20"/>
              </w:rPr>
              <w:t>⏱ ca. 0:30 min</w:t>
            </w:r>
          </w:p>
        </w:tc>
      </w:tr>
      <w:tr w:rsidR="005167E1" w14:paraId="7C7FC0A2" w14:textId="77777777">
        <w:tblPrEx>
          <w:tblCellMar>
            <w:top w:w="0" w:type="dxa"/>
            <w:bottom w:w="0" w:type="dxa"/>
          </w:tblCellMar>
        </w:tblPrEx>
        <w:tc>
          <w:tcPr>
            <w:tcW w:w="632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60" w:type="dxa"/>
            </w:tcMar>
          </w:tcPr>
          <w:p w14:paraId="019CB0DB" w14:textId="4C7F5FC1" w:rsidR="005167E1" w:rsidRDefault="00000000">
            <w:pPr>
              <w:spacing w:after="160"/>
            </w:pPr>
            <w:r>
              <w:rPr>
                <w:color w:val="000000"/>
              </w:rPr>
              <w:t xml:space="preserve">Meine Kollegin hat uns in die theoretischen Grundlagen eingeführt – in das Warm-Data-Problem und in den institutionellen Kontext. Ich zeige jetzt, wie die Universität Oxford konkret darauf geantwortet hat. Mein Teil ist die Praxis – die Case Study aus Oxford, die Strange, Gooch und Collinson 2023 ausführlich </w:t>
            </w:r>
            <w:r w:rsidR="00734FA1">
              <w:rPr>
                <w:color w:val="000000"/>
              </w:rPr>
              <w:t xml:space="preserve">beschreiben. </w:t>
            </w:r>
          </w:p>
        </w:tc>
        <w:tc>
          <w:tcPr>
            <w:tcW w:w="2706" w:type="dxa"/>
            <w:tcBorders>
              <w:top w:val="none" w:sz="0" w:space="0" w:color="FFFFFF"/>
              <w:left w:val="none" w:sz="0" w:space="0" w:color="FFFFFF"/>
              <w:bottom w:val="none" w:sz="0" w:space="0" w:color="FFFFFF"/>
              <w:right w:val="none" w:sz="0" w:space="0" w:color="FFFFFF"/>
            </w:tcBorders>
            <w:shd w:val="clear" w:color="auto" w:fill="EBF3FB"/>
            <w:tcMar>
              <w:top w:w="60" w:type="dxa"/>
              <w:left w:w="160" w:type="dxa"/>
              <w:bottom w:w="60" w:type="dxa"/>
              <w:right w:w="0" w:type="dxa"/>
            </w:tcMar>
          </w:tcPr>
          <w:p w14:paraId="7339690B" w14:textId="77777777" w:rsidR="005167E1" w:rsidRDefault="00000000">
            <w:pPr>
              <w:spacing w:after="80"/>
            </w:pPr>
            <w:r>
              <w:rPr>
                <w:i/>
                <w:iCs/>
                <w:color w:val="2E6DA4"/>
                <w:sz w:val="18"/>
                <w:szCs w:val="18"/>
              </w:rPr>
              <w:t>Artikel-Einleitung, S. 348–350: Warm-Data-Konzept und Problemstellung.</w:t>
            </w:r>
          </w:p>
        </w:tc>
      </w:tr>
    </w:tbl>
    <w:p w14:paraId="6A29846C" w14:textId="77777777" w:rsidR="00734FA1" w:rsidRDefault="00734FA1">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20"/>
        <w:gridCol w:w="2706"/>
      </w:tblGrid>
      <w:tr w:rsidR="005167E1" w14:paraId="3AE2C26C"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7FCB7209" w14:textId="77777777" w:rsidR="005167E1" w:rsidRDefault="00000000">
            <w:r>
              <w:rPr>
                <w:b/>
                <w:bCs/>
                <w:color w:val="FFFFFF"/>
                <w:sz w:val="26"/>
                <w:szCs w:val="26"/>
              </w:rPr>
              <w:lastRenderedPageBreak/>
              <w:t xml:space="preserve">Folie 7 – Wie entstand der SDS-Dienst?   </w:t>
            </w:r>
            <w:r>
              <w:rPr>
                <w:i/>
                <w:iCs/>
                <w:color w:val="DDEEFF"/>
                <w:sz w:val="20"/>
                <w:szCs w:val="20"/>
              </w:rPr>
              <w:t>⏱ ca. 1:15 min</w:t>
            </w:r>
          </w:p>
        </w:tc>
      </w:tr>
      <w:tr w:rsidR="005167E1" w14:paraId="2E269C04" w14:textId="77777777">
        <w:tblPrEx>
          <w:tblCellMar>
            <w:top w:w="0" w:type="dxa"/>
            <w:bottom w:w="0" w:type="dxa"/>
          </w:tblCellMar>
        </w:tblPrEx>
        <w:tc>
          <w:tcPr>
            <w:tcW w:w="632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60" w:type="dxa"/>
            </w:tcMar>
          </w:tcPr>
          <w:p w14:paraId="28498C84" w14:textId="7B2C9549" w:rsidR="005167E1" w:rsidRDefault="00000000">
            <w:pPr>
              <w:spacing w:after="160"/>
            </w:pPr>
            <w:r>
              <w:rPr>
                <w:color w:val="000000"/>
              </w:rPr>
              <w:t xml:space="preserve">Der SDS-Dienst ist nicht aus dem Nichts entstanden – er ist das Ergebnis eines fast zehnjährigen </w:t>
            </w:r>
            <w:r w:rsidR="00734FA1">
              <w:rPr>
                <w:color w:val="000000"/>
              </w:rPr>
              <w:t xml:space="preserve">Prozesses. </w:t>
            </w:r>
          </w:p>
        </w:tc>
        <w:tc>
          <w:tcPr>
            <w:tcW w:w="2706" w:type="dxa"/>
            <w:tcBorders>
              <w:top w:val="none" w:sz="0" w:space="0" w:color="FFFFFF"/>
              <w:left w:val="none" w:sz="0" w:space="0" w:color="FFFFFF"/>
              <w:bottom w:val="none" w:sz="0" w:space="0" w:color="FFFFFF"/>
              <w:right w:val="none" w:sz="0" w:space="0" w:color="FFFFFF"/>
            </w:tcBorders>
            <w:shd w:val="clear" w:color="auto" w:fill="EBF3FB"/>
            <w:tcMar>
              <w:top w:w="60" w:type="dxa"/>
              <w:left w:w="160" w:type="dxa"/>
              <w:bottom w:w="60" w:type="dxa"/>
              <w:right w:w="0" w:type="dxa"/>
            </w:tcMar>
          </w:tcPr>
          <w:p w14:paraId="28A07148" w14:textId="79E4F497" w:rsidR="005167E1" w:rsidRDefault="00000000">
            <w:pPr>
              <w:spacing w:after="80"/>
            </w:pPr>
            <w:r>
              <w:rPr>
                <w:i/>
                <w:iCs/>
                <w:color w:val="2E6DA4"/>
                <w:sz w:val="18"/>
                <w:szCs w:val="18"/>
              </w:rPr>
              <w:t xml:space="preserve">S. 355–358: Überblick über </w:t>
            </w:r>
            <w:r w:rsidR="00734FA1">
              <w:rPr>
                <w:i/>
                <w:iCs/>
                <w:color w:val="2E6DA4"/>
                <w:sz w:val="18"/>
                <w:szCs w:val="18"/>
              </w:rPr>
              <w:t xml:space="preserve">Entstehungsgeschichte. </w:t>
            </w:r>
          </w:p>
        </w:tc>
      </w:tr>
      <w:tr w:rsidR="005167E1" w14:paraId="31EB2FCF" w14:textId="77777777">
        <w:tblPrEx>
          <w:tblCellMar>
            <w:top w:w="0" w:type="dxa"/>
            <w:bottom w:w="0" w:type="dxa"/>
          </w:tblCellMar>
        </w:tblPrEx>
        <w:tc>
          <w:tcPr>
            <w:tcW w:w="632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60" w:type="dxa"/>
            </w:tcMar>
          </w:tcPr>
          <w:p w14:paraId="1A3C1C86" w14:textId="2DD5BEE7" w:rsidR="005167E1" w:rsidRDefault="00000000">
            <w:pPr>
              <w:spacing w:after="160"/>
            </w:pPr>
            <w:r>
              <w:rPr>
                <w:color w:val="000000"/>
              </w:rPr>
              <w:t xml:space="preserve">2013–2014: Das DHARMa-Projekt legte den Grundstein – eine </w:t>
            </w:r>
            <w:r w:rsidR="00734FA1">
              <w:rPr>
                <w:color w:val="000000"/>
              </w:rPr>
              <w:t>forschergeführte</w:t>
            </w:r>
            <w:r>
              <w:rPr>
                <w:color w:val="000000"/>
              </w:rPr>
              <w:t xml:space="preserve"> Bestandsaufnahme, die klar zeigte: die bisherigen Praktiken zur Sicherung von DH-Forschung müssen grundlegend überdacht werden.</w:t>
            </w:r>
          </w:p>
        </w:tc>
        <w:tc>
          <w:tcPr>
            <w:tcW w:w="2706" w:type="dxa"/>
            <w:tcBorders>
              <w:top w:val="none" w:sz="0" w:space="0" w:color="FFFFFF"/>
              <w:left w:val="none" w:sz="0" w:space="0" w:color="FFFFFF"/>
              <w:bottom w:val="none" w:sz="0" w:space="0" w:color="FFFFFF"/>
              <w:right w:val="none" w:sz="0" w:space="0" w:color="FFFFFF"/>
            </w:tcBorders>
            <w:shd w:val="clear" w:color="auto" w:fill="EBF3FB"/>
            <w:tcMar>
              <w:top w:w="60" w:type="dxa"/>
              <w:left w:w="160" w:type="dxa"/>
              <w:bottom w:w="60" w:type="dxa"/>
              <w:right w:w="0" w:type="dxa"/>
            </w:tcMar>
          </w:tcPr>
          <w:p w14:paraId="0F1EF6B5" w14:textId="77777777" w:rsidR="005167E1" w:rsidRDefault="00000000">
            <w:pPr>
              <w:spacing w:after="80"/>
            </w:pPr>
            <w:r>
              <w:rPr>
                <w:i/>
                <w:iCs/>
                <w:color w:val="2E6DA4"/>
                <w:sz w:val="18"/>
                <w:szCs w:val="18"/>
              </w:rPr>
              <w:t>S. 355, Abschn. „Die Herausforderungen bei der nachträglichen Integration von Nachhaltigkeit“: „DHARMa (Digital Humanities Archives for Research Materials), ein einjähriges Projekt (August 2013 bis August 2014).“ Fn. 30.</w:t>
            </w:r>
          </w:p>
        </w:tc>
      </w:tr>
      <w:tr w:rsidR="005167E1" w14:paraId="273255E7" w14:textId="77777777">
        <w:tblPrEx>
          <w:tblCellMar>
            <w:top w:w="0" w:type="dxa"/>
            <w:bottom w:w="0" w:type="dxa"/>
          </w:tblCellMar>
        </w:tblPrEx>
        <w:tc>
          <w:tcPr>
            <w:tcW w:w="632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60" w:type="dxa"/>
            </w:tcMar>
          </w:tcPr>
          <w:p w14:paraId="2695D891" w14:textId="77777777" w:rsidR="005167E1" w:rsidRDefault="00000000">
            <w:pPr>
              <w:spacing w:after="160"/>
            </w:pPr>
            <w:r>
              <w:rPr>
                <w:color w:val="000000"/>
              </w:rPr>
              <w:t>2017: Auf Basis dieser Empfehlungen startete das DHS-Projekt als institutionell verwaltetes IT-Projekt nach der PRINCE2-Methodik. Eine Bestandsaufnahme identifizierte 47 Pilotprojekte, die für ein Warm-Data-Repositorium geeignet wären – Projekte in Schwierigkeiten wegen technischer Veralterung, weggefallenem Personal oder DSGVO-Risiken.</w:t>
            </w:r>
          </w:p>
        </w:tc>
        <w:tc>
          <w:tcPr>
            <w:tcW w:w="2706" w:type="dxa"/>
            <w:tcBorders>
              <w:top w:val="none" w:sz="0" w:space="0" w:color="FFFFFF"/>
              <w:left w:val="none" w:sz="0" w:space="0" w:color="FFFFFF"/>
              <w:bottom w:val="none" w:sz="0" w:space="0" w:color="FFFFFF"/>
              <w:right w:val="none" w:sz="0" w:space="0" w:color="FFFFFF"/>
            </w:tcBorders>
            <w:shd w:val="clear" w:color="auto" w:fill="EBF3FB"/>
            <w:tcMar>
              <w:top w:w="60" w:type="dxa"/>
              <w:left w:w="160" w:type="dxa"/>
              <w:bottom w:w="60" w:type="dxa"/>
              <w:right w:w="0" w:type="dxa"/>
            </w:tcMar>
          </w:tcPr>
          <w:p w14:paraId="5DA1E746" w14:textId="77777777" w:rsidR="005167E1" w:rsidRDefault="00000000">
            <w:pPr>
              <w:spacing w:after="80"/>
            </w:pPr>
            <w:r>
              <w:rPr>
                <w:i/>
                <w:iCs/>
                <w:color w:val="2E6DA4"/>
                <w:sz w:val="18"/>
                <w:szCs w:val="18"/>
              </w:rPr>
              <w:t>S. 354–355: „Das DHS-Projekt [...] 2017 als institutionell verwaltetes IT-Projekt.“  Fn. 31 (PRINCE2). – S. 354: „47 Projekte, die sich als ‘Pilotprojekte’ für ein Warm-Data-Repositorium eigneten.“  Fn. 29.</w:t>
            </w:r>
          </w:p>
        </w:tc>
      </w:tr>
      <w:tr w:rsidR="005167E1" w14:paraId="18E78413" w14:textId="77777777">
        <w:tblPrEx>
          <w:tblCellMar>
            <w:top w:w="0" w:type="dxa"/>
            <w:bottom w:w="0" w:type="dxa"/>
          </w:tblCellMar>
        </w:tblPrEx>
        <w:tc>
          <w:tcPr>
            <w:tcW w:w="632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60" w:type="dxa"/>
            </w:tcMar>
          </w:tcPr>
          <w:p w14:paraId="511640DB" w14:textId="77777777" w:rsidR="005167E1" w:rsidRDefault="00000000">
            <w:pPr>
              <w:spacing w:after="160"/>
            </w:pPr>
            <w:r>
              <w:rPr>
                <w:color w:val="000000"/>
              </w:rPr>
              <w:t>Anfang 2020 kam die entscheidende Wende: Die Humanities Division übernahm die Projektleitung von den IT-Diensten. Das Motto: „von Wissenschaftlern für Wissenschaftler.“ Gleichzeitig wechselte man zu einem agilen Framework.</w:t>
            </w:r>
          </w:p>
        </w:tc>
        <w:tc>
          <w:tcPr>
            <w:tcW w:w="2706" w:type="dxa"/>
            <w:tcBorders>
              <w:top w:val="none" w:sz="0" w:space="0" w:color="FFFFFF"/>
              <w:left w:val="none" w:sz="0" w:space="0" w:color="FFFFFF"/>
              <w:bottom w:val="none" w:sz="0" w:space="0" w:color="FFFFFF"/>
              <w:right w:val="none" w:sz="0" w:space="0" w:color="FFFFFF"/>
            </w:tcBorders>
            <w:shd w:val="clear" w:color="auto" w:fill="EBF3FB"/>
            <w:tcMar>
              <w:top w:w="60" w:type="dxa"/>
              <w:left w:w="160" w:type="dxa"/>
              <w:bottom w:w="60" w:type="dxa"/>
              <w:right w:w="0" w:type="dxa"/>
            </w:tcMar>
          </w:tcPr>
          <w:p w14:paraId="5DC2E567" w14:textId="77777777" w:rsidR="005167E1" w:rsidRDefault="00000000">
            <w:pPr>
              <w:spacing w:after="80"/>
            </w:pPr>
            <w:r>
              <w:rPr>
                <w:i/>
                <w:iCs/>
                <w:color w:val="2E6DA4"/>
                <w:sz w:val="18"/>
                <w:szCs w:val="18"/>
              </w:rPr>
              <w:t>S. 355–356: „Anfang 2020 wurde beschlossen, das DHS-Projekt zu einem Projekt zu machen, das ‘von Wissenschaftlern für Wissenschaftler’ durchgeführt wird.“  Fn. 32 (agil).</w:t>
            </w:r>
          </w:p>
        </w:tc>
      </w:tr>
      <w:tr w:rsidR="005167E1" w14:paraId="36A93974" w14:textId="77777777">
        <w:tblPrEx>
          <w:tblCellMar>
            <w:top w:w="0" w:type="dxa"/>
            <w:bottom w:w="0" w:type="dxa"/>
          </w:tblCellMar>
        </w:tblPrEx>
        <w:tc>
          <w:tcPr>
            <w:tcW w:w="632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60" w:type="dxa"/>
            </w:tcMar>
          </w:tcPr>
          <w:p w14:paraId="04C296B6" w14:textId="77777777" w:rsidR="005167E1" w:rsidRDefault="00000000">
            <w:pPr>
              <w:spacing w:after="160"/>
            </w:pPr>
            <w:r>
              <w:rPr>
                <w:color w:val="000000"/>
              </w:rPr>
              <w:t>Februar 2021: Launch des SDS-Dienstes – als technische Plattform und als Beratungsdienst zugleich.</w:t>
            </w:r>
          </w:p>
        </w:tc>
        <w:tc>
          <w:tcPr>
            <w:tcW w:w="2706" w:type="dxa"/>
            <w:tcBorders>
              <w:top w:val="none" w:sz="0" w:space="0" w:color="FFFFFF"/>
              <w:left w:val="none" w:sz="0" w:space="0" w:color="FFFFFF"/>
              <w:bottom w:val="none" w:sz="0" w:space="0" w:color="FFFFFF"/>
              <w:right w:val="none" w:sz="0" w:space="0" w:color="FFFFFF"/>
            </w:tcBorders>
            <w:shd w:val="clear" w:color="auto" w:fill="EBF3FB"/>
            <w:tcMar>
              <w:top w:w="60" w:type="dxa"/>
              <w:left w:w="160" w:type="dxa"/>
              <w:bottom w:w="60" w:type="dxa"/>
              <w:right w:w="0" w:type="dxa"/>
            </w:tcMar>
          </w:tcPr>
          <w:p w14:paraId="381C745F" w14:textId="77777777" w:rsidR="005167E1" w:rsidRDefault="00000000">
            <w:pPr>
              <w:spacing w:after="80"/>
            </w:pPr>
            <w:r>
              <w:rPr>
                <w:i/>
                <w:iCs/>
                <w:color w:val="2E6DA4"/>
                <w:sz w:val="18"/>
                <w:szCs w:val="18"/>
              </w:rPr>
              <w:t>S. 358: „Dies ermöglichte es uns, den SDS-Dienst im Februar 2021 [...] zu starten.“  Fn. 38.</w:t>
            </w:r>
          </w:p>
        </w:tc>
      </w:tr>
      <w:tr w:rsidR="005167E1" w14:paraId="6FAD0FBE" w14:textId="77777777">
        <w:tblPrEx>
          <w:tblCellMar>
            <w:top w:w="0" w:type="dxa"/>
            <w:bottom w:w="0" w:type="dxa"/>
          </w:tblCellMar>
        </w:tblPrEx>
        <w:tc>
          <w:tcPr>
            <w:tcW w:w="632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60" w:type="dxa"/>
            </w:tcMar>
          </w:tcPr>
          <w:p w14:paraId="150DE1EC" w14:textId="77777777" w:rsidR="005167E1" w:rsidRDefault="00000000">
            <w:pPr>
              <w:spacing w:after="160"/>
            </w:pPr>
            <w:r>
              <w:rPr>
                <w:color w:val="000000"/>
              </w:rPr>
              <w:t>Was diese Entstehungsgeschichte methodisch auszeichnet: Aus über 400 erhobenen Anforderungen aus der Forschungscommunity wurden durch MoSCoW-Priorisierung 109 Kernanforderungen destilliert. Das ist keine Bauchentscheidung, das ist systematische Anforderungsanalyse.</w:t>
            </w:r>
          </w:p>
          <w:p w14:paraId="50A0D8D9" w14:textId="77777777" w:rsidR="005167E1" w:rsidRDefault="00000000">
            <w:pPr>
              <w:pBdr>
                <w:left w:val="single" w:sz="6" w:space="8" w:color="AAAAAA"/>
              </w:pBdr>
              <w:spacing w:before="60" w:after="100"/>
              <w:ind w:left="200"/>
            </w:pPr>
            <w:r>
              <w:rPr>
                <w:i/>
                <w:iCs/>
                <w:color w:val="888888"/>
                <w:sz w:val="19"/>
                <w:szCs w:val="19"/>
              </w:rPr>
              <w:t>[Regie: MoSCoW = Must have / Should have / Could have / Won’t have – Standardmethode im agilen Projektmanagement; bei Bedarf kurz erläutern.]</w:t>
            </w:r>
          </w:p>
        </w:tc>
        <w:tc>
          <w:tcPr>
            <w:tcW w:w="2706" w:type="dxa"/>
            <w:tcBorders>
              <w:top w:val="none" w:sz="0" w:space="0" w:color="FFFFFF"/>
              <w:left w:val="none" w:sz="0" w:space="0" w:color="FFFFFF"/>
              <w:bottom w:val="none" w:sz="0" w:space="0" w:color="FFFFFF"/>
              <w:right w:val="none" w:sz="0" w:space="0" w:color="FFFFFF"/>
            </w:tcBorders>
            <w:shd w:val="clear" w:color="auto" w:fill="EBF3FB"/>
            <w:tcMar>
              <w:top w:w="60" w:type="dxa"/>
              <w:left w:w="160" w:type="dxa"/>
              <w:bottom w:w="60" w:type="dxa"/>
              <w:right w:w="0" w:type="dxa"/>
            </w:tcMar>
          </w:tcPr>
          <w:p w14:paraId="45ABECED" w14:textId="77777777" w:rsidR="005167E1" w:rsidRDefault="00000000">
            <w:pPr>
              <w:spacing w:after="80"/>
            </w:pPr>
            <w:r>
              <w:rPr>
                <w:i/>
                <w:iCs/>
                <w:color w:val="2E6DA4"/>
                <w:sz w:val="18"/>
                <w:szCs w:val="18"/>
              </w:rPr>
              <w:t>S. 356: „[I]nsgesamt mehr als 400 Anforderungen ermittelt. Diese Anforderungen wurden [...] verfeinert, bis 109 übrig blieben, die dann einer gründlichen MoSCoW-Priorisierung unterzogen wurden.“  Fn. 35.</w:t>
            </w:r>
          </w:p>
        </w:tc>
      </w:tr>
      <w:tr w:rsidR="005167E1" w14:paraId="458BD955" w14:textId="77777777">
        <w:tblPrEx>
          <w:tblCellMar>
            <w:top w:w="0" w:type="dxa"/>
            <w:bottom w:w="0" w:type="dxa"/>
          </w:tblCellMar>
        </w:tblPrEx>
        <w:tc>
          <w:tcPr>
            <w:tcW w:w="9026" w:type="dxa"/>
            <w:gridSpan w:val="2"/>
            <w:tcBorders>
              <w:top w:val="none" w:sz="0" w:space="0" w:color="FFFFFF"/>
              <w:left w:val="none" w:sz="0" w:space="0" w:color="FFFFFF"/>
              <w:bottom w:val="single" w:sz="2" w:space="0" w:color="BBCCDD"/>
              <w:right w:val="none" w:sz="0" w:space="0" w:color="FFFFFF"/>
            </w:tcBorders>
            <w:shd w:val="clear" w:color="auto" w:fill="FFFFFF"/>
            <w:tcMar>
              <w:top w:w="80" w:type="dxa"/>
              <w:left w:w="0" w:type="dxa"/>
              <w:bottom w:w="80" w:type="dxa"/>
              <w:right w:w="0" w:type="dxa"/>
            </w:tcMar>
          </w:tcPr>
          <w:p w14:paraId="5D41EF72" w14:textId="77777777" w:rsidR="005167E1" w:rsidRDefault="005167E1"/>
        </w:tc>
      </w:tr>
    </w:tbl>
    <w:p w14:paraId="731FF011" w14:textId="77777777" w:rsidR="00734FA1" w:rsidRDefault="00734FA1">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20"/>
        <w:gridCol w:w="2706"/>
      </w:tblGrid>
      <w:tr w:rsidR="005167E1" w14:paraId="7F30753B"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211D6174" w14:textId="7C0F543F" w:rsidR="005167E1" w:rsidRDefault="00000000">
            <w:r>
              <w:rPr>
                <w:b/>
                <w:bCs/>
                <w:color w:val="FFFFFF"/>
                <w:sz w:val="26"/>
                <w:szCs w:val="26"/>
              </w:rPr>
              <w:lastRenderedPageBreak/>
              <w:t xml:space="preserve">Folie 8 – Der Oxford SDS Service   </w:t>
            </w:r>
            <w:r>
              <w:rPr>
                <w:i/>
                <w:iCs/>
                <w:color w:val="DDEEFF"/>
                <w:sz w:val="20"/>
                <w:szCs w:val="20"/>
              </w:rPr>
              <w:t>⏱ ca. 1:00 min</w:t>
            </w:r>
          </w:p>
        </w:tc>
      </w:tr>
      <w:tr w:rsidR="005167E1" w14:paraId="069D065F" w14:textId="77777777">
        <w:tblPrEx>
          <w:tblCellMar>
            <w:top w:w="0" w:type="dxa"/>
            <w:bottom w:w="0" w:type="dxa"/>
          </w:tblCellMar>
        </w:tblPrEx>
        <w:tc>
          <w:tcPr>
            <w:tcW w:w="632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60" w:type="dxa"/>
            </w:tcMar>
          </w:tcPr>
          <w:p w14:paraId="010E4D53" w14:textId="560E8CBC" w:rsidR="005167E1" w:rsidRDefault="00000000">
            <w:pPr>
              <w:spacing w:after="160"/>
            </w:pPr>
            <w:r>
              <w:rPr>
                <w:color w:val="000000"/>
              </w:rPr>
              <w:t xml:space="preserve">Der SDS-Dienst hat drei Charakteristika, die ihn von früheren institutionellen Lösungen </w:t>
            </w:r>
            <w:r w:rsidR="00734FA1">
              <w:rPr>
                <w:color w:val="000000"/>
              </w:rPr>
              <w:t xml:space="preserve">unterscheiden. </w:t>
            </w:r>
          </w:p>
        </w:tc>
        <w:tc>
          <w:tcPr>
            <w:tcW w:w="2706" w:type="dxa"/>
            <w:tcBorders>
              <w:top w:val="none" w:sz="0" w:space="0" w:color="FFFFFF"/>
              <w:left w:val="none" w:sz="0" w:space="0" w:color="FFFFFF"/>
              <w:bottom w:val="none" w:sz="0" w:space="0" w:color="FFFFFF"/>
              <w:right w:val="none" w:sz="0" w:space="0" w:color="FFFFFF"/>
            </w:tcBorders>
            <w:shd w:val="clear" w:color="auto" w:fill="EBF3FB"/>
            <w:tcMar>
              <w:top w:w="60" w:type="dxa"/>
              <w:left w:w="160" w:type="dxa"/>
              <w:bottom w:w="60" w:type="dxa"/>
              <w:right w:w="0" w:type="dxa"/>
            </w:tcMar>
          </w:tcPr>
          <w:p w14:paraId="1CB92A6B" w14:textId="05B62A61" w:rsidR="005167E1" w:rsidRDefault="00000000">
            <w:pPr>
              <w:spacing w:after="80"/>
            </w:pPr>
            <w:r>
              <w:rPr>
                <w:i/>
                <w:iCs/>
                <w:color w:val="2E6DA4"/>
                <w:sz w:val="18"/>
                <w:szCs w:val="18"/>
              </w:rPr>
              <w:t xml:space="preserve">S. 356–358: Beschreibung der drei </w:t>
            </w:r>
            <w:r w:rsidR="00734FA1">
              <w:rPr>
                <w:i/>
                <w:iCs/>
                <w:color w:val="2E6DA4"/>
                <w:sz w:val="18"/>
                <w:szCs w:val="18"/>
              </w:rPr>
              <w:t xml:space="preserve">Charakteristika. </w:t>
            </w:r>
          </w:p>
        </w:tc>
      </w:tr>
      <w:tr w:rsidR="005167E1" w14:paraId="6D6CBF36" w14:textId="77777777">
        <w:tblPrEx>
          <w:tblCellMar>
            <w:top w:w="0" w:type="dxa"/>
            <w:bottom w:w="0" w:type="dxa"/>
          </w:tblCellMar>
        </w:tblPrEx>
        <w:tc>
          <w:tcPr>
            <w:tcW w:w="632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60" w:type="dxa"/>
            </w:tcMar>
          </w:tcPr>
          <w:p w14:paraId="510A0BAB" w14:textId="4321128B" w:rsidR="005167E1" w:rsidRDefault="00000000">
            <w:pPr>
              <w:spacing w:after="160"/>
            </w:pPr>
            <w:r>
              <w:rPr>
                <w:color w:val="000000"/>
              </w:rPr>
              <w:t xml:space="preserve">Erstens: </w:t>
            </w:r>
            <w:r w:rsidR="00734FA1">
              <w:rPr>
                <w:color w:val="000000"/>
              </w:rPr>
              <w:t>akademische</w:t>
            </w:r>
            <w:r>
              <w:rPr>
                <w:color w:val="000000"/>
              </w:rPr>
              <w:t xml:space="preserve"> Führung. Die Projektleitung liegt bei der Humanities Division, nicht bei zentralen IT-Diensten. Das ist ungewöhnlich – und genau deshalb funktioniert es. Forscher stehen im Mittelpunkt, nicht die </w:t>
            </w:r>
            <w:r w:rsidR="00734FA1">
              <w:rPr>
                <w:color w:val="000000"/>
              </w:rPr>
              <w:t xml:space="preserve">Infrastruktur. </w:t>
            </w:r>
          </w:p>
        </w:tc>
        <w:tc>
          <w:tcPr>
            <w:tcW w:w="2706" w:type="dxa"/>
            <w:tcBorders>
              <w:top w:val="none" w:sz="0" w:space="0" w:color="FFFFFF"/>
              <w:left w:val="none" w:sz="0" w:space="0" w:color="FFFFFF"/>
              <w:bottom w:val="none" w:sz="0" w:space="0" w:color="FFFFFF"/>
              <w:right w:val="none" w:sz="0" w:space="0" w:color="FFFFFF"/>
            </w:tcBorders>
            <w:shd w:val="clear" w:color="auto" w:fill="EBF3FB"/>
            <w:tcMar>
              <w:top w:w="60" w:type="dxa"/>
              <w:left w:w="160" w:type="dxa"/>
              <w:bottom w:w="60" w:type="dxa"/>
              <w:right w:w="0" w:type="dxa"/>
            </w:tcMar>
          </w:tcPr>
          <w:p w14:paraId="096E7435" w14:textId="650413F0" w:rsidR="005167E1" w:rsidRDefault="00000000">
            <w:pPr>
              <w:spacing w:after="80"/>
            </w:pPr>
            <w:r>
              <w:rPr>
                <w:i/>
                <w:iCs/>
                <w:color w:val="2E6DA4"/>
                <w:sz w:val="18"/>
                <w:szCs w:val="18"/>
              </w:rPr>
              <w:t xml:space="preserve">S. 355–356: Wechsel der Projektleitung von IT-Diensten zur Humanities </w:t>
            </w:r>
            <w:r w:rsidR="00734FA1">
              <w:rPr>
                <w:i/>
                <w:iCs/>
                <w:color w:val="2E6DA4"/>
                <w:sz w:val="18"/>
                <w:szCs w:val="18"/>
              </w:rPr>
              <w:t xml:space="preserve">Division. </w:t>
            </w:r>
          </w:p>
        </w:tc>
      </w:tr>
      <w:tr w:rsidR="005167E1" w14:paraId="09675573" w14:textId="77777777">
        <w:tblPrEx>
          <w:tblCellMar>
            <w:top w:w="0" w:type="dxa"/>
            <w:bottom w:w="0" w:type="dxa"/>
          </w:tblCellMar>
        </w:tblPrEx>
        <w:tc>
          <w:tcPr>
            <w:tcW w:w="632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60" w:type="dxa"/>
            </w:tcMar>
          </w:tcPr>
          <w:p w14:paraId="7FF07007" w14:textId="393A2340" w:rsidR="005167E1" w:rsidRDefault="00000000">
            <w:pPr>
              <w:spacing w:after="160"/>
            </w:pPr>
            <w:r>
              <w:rPr>
                <w:color w:val="000000"/>
              </w:rPr>
              <w:t xml:space="preserve">Zweitens: Agiles Framework. Einer der Kernwerte des Agile Manifesto, auf den sich die Autoren ausdrücklich beziehen, ist: Individuen und Interaktionen vor Prozessen und </w:t>
            </w:r>
            <w:r w:rsidR="00734FA1">
              <w:rPr>
                <w:color w:val="000000"/>
              </w:rPr>
              <w:t xml:space="preserve">Werkzeugen. </w:t>
            </w:r>
          </w:p>
        </w:tc>
        <w:tc>
          <w:tcPr>
            <w:tcW w:w="2706" w:type="dxa"/>
            <w:tcBorders>
              <w:top w:val="none" w:sz="0" w:space="0" w:color="FFFFFF"/>
              <w:left w:val="none" w:sz="0" w:space="0" w:color="FFFFFF"/>
              <w:bottom w:val="none" w:sz="0" w:space="0" w:color="FFFFFF"/>
              <w:right w:val="none" w:sz="0" w:space="0" w:color="FFFFFF"/>
            </w:tcBorders>
            <w:shd w:val="clear" w:color="auto" w:fill="EBF3FB"/>
            <w:tcMar>
              <w:top w:w="60" w:type="dxa"/>
              <w:left w:w="160" w:type="dxa"/>
              <w:bottom w:w="60" w:type="dxa"/>
              <w:right w:w="0" w:type="dxa"/>
            </w:tcMar>
          </w:tcPr>
          <w:p w14:paraId="4606AEA9" w14:textId="5C3992A8" w:rsidR="005167E1" w:rsidRDefault="00000000">
            <w:pPr>
              <w:spacing w:after="80"/>
            </w:pPr>
            <w:r>
              <w:rPr>
                <w:i/>
                <w:iCs/>
                <w:color w:val="2E6DA4"/>
                <w:sz w:val="18"/>
                <w:szCs w:val="18"/>
              </w:rPr>
              <w:t xml:space="preserve">S. 356: „Einer der vier Hauptwerte, die das Agile Manifest beschreibt, ist die Priorisierung von ‘Individuen und Interaktionen gegenüber Prozessen und Werkzeugen’.“  Fn. </w:t>
            </w:r>
            <w:r w:rsidR="00734FA1">
              <w:rPr>
                <w:i/>
                <w:iCs/>
                <w:color w:val="2E6DA4"/>
                <w:sz w:val="18"/>
                <w:szCs w:val="18"/>
              </w:rPr>
              <w:t xml:space="preserve">34 </w:t>
            </w:r>
          </w:p>
        </w:tc>
      </w:tr>
      <w:tr w:rsidR="005167E1" w14:paraId="06536678" w14:textId="77777777">
        <w:tblPrEx>
          <w:tblCellMar>
            <w:top w:w="0" w:type="dxa"/>
            <w:bottom w:w="0" w:type="dxa"/>
          </w:tblCellMar>
        </w:tblPrEx>
        <w:tc>
          <w:tcPr>
            <w:tcW w:w="632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60" w:type="dxa"/>
            </w:tcMar>
          </w:tcPr>
          <w:p w14:paraId="5C45DE43" w14:textId="796B032A" w:rsidR="005167E1" w:rsidRDefault="00000000">
            <w:pPr>
              <w:spacing w:after="160"/>
            </w:pPr>
            <w:r>
              <w:rPr>
                <w:color w:val="000000"/>
              </w:rPr>
              <w:t xml:space="preserve">Drittens: User-Driven Design – die 400+ Anforderungen kamen direkt aus der </w:t>
            </w:r>
            <w:r w:rsidR="00734FA1">
              <w:rPr>
                <w:color w:val="000000"/>
              </w:rPr>
              <w:t xml:space="preserve">Forschungscommunity. </w:t>
            </w:r>
          </w:p>
        </w:tc>
        <w:tc>
          <w:tcPr>
            <w:tcW w:w="2706" w:type="dxa"/>
            <w:tcBorders>
              <w:top w:val="none" w:sz="0" w:space="0" w:color="FFFFFF"/>
              <w:left w:val="none" w:sz="0" w:space="0" w:color="FFFFFF"/>
              <w:bottom w:val="none" w:sz="0" w:space="0" w:color="FFFFFF"/>
              <w:right w:val="none" w:sz="0" w:space="0" w:color="FFFFFF"/>
            </w:tcBorders>
            <w:shd w:val="clear" w:color="auto" w:fill="EBF3FB"/>
            <w:tcMar>
              <w:top w:w="60" w:type="dxa"/>
              <w:left w:w="160" w:type="dxa"/>
              <w:bottom w:w="60" w:type="dxa"/>
              <w:right w:w="0" w:type="dxa"/>
            </w:tcMar>
          </w:tcPr>
          <w:p w14:paraId="7F6CA719" w14:textId="70D975ED" w:rsidR="005167E1" w:rsidRDefault="00000000">
            <w:pPr>
              <w:spacing w:after="80"/>
            </w:pPr>
            <w:r>
              <w:rPr>
                <w:i/>
                <w:iCs/>
                <w:color w:val="2E6DA4"/>
                <w:sz w:val="18"/>
                <w:szCs w:val="18"/>
              </w:rPr>
              <w:t xml:space="preserve">S. 356: „Umfangreiche Konsultationen mit der Community [...] um Feedback zu System- und Funktionsanforderungen zu </w:t>
            </w:r>
            <w:r w:rsidR="00734FA1">
              <w:rPr>
                <w:i/>
                <w:iCs/>
                <w:color w:val="2E6DA4"/>
                <w:sz w:val="18"/>
                <w:szCs w:val="18"/>
              </w:rPr>
              <w:t xml:space="preserve">sammeln.“ </w:t>
            </w:r>
          </w:p>
        </w:tc>
      </w:tr>
      <w:tr w:rsidR="005167E1" w14:paraId="7ECE5CAE" w14:textId="77777777">
        <w:tblPrEx>
          <w:tblCellMar>
            <w:top w:w="0" w:type="dxa"/>
            <w:bottom w:w="0" w:type="dxa"/>
          </w:tblCellMar>
        </w:tblPrEx>
        <w:tc>
          <w:tcPr>
            <w:tcW w:w="632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60" w:type="dxa"/>
            </w:tcMar>
          </w:tcPr>
          <w:p w14:paraId="488EAAC9" w14:textId="26C849E2" w:rsidR="005167E1" w:rsidRDefault="00000000">
            <w:pPr>
              <w:spacing w:after="160"/>
            </w:pPr>
            <w:r>
              <w:rPr>
                <w:color w:val="000000"/>
              </w:rPr>
              <w:t xml:space="preserve">Dazu kommt eine Doppelfunktion: SDS ist einerseits technische Plattform, andererseits Beratungsdienst, der Forscher auch an andere Repositorien weiterverweist. Diese Kombination war entscheidend für seinen </w:t>
            </w:r>
            <w:r w:rsidR="00734FA1">
              <w:rPr>
                <w:color w:val="000000"/>
              </w:rPr>
              <w:t xml:space="preserve">Erfolg. </w:t>
            </w:r>
          </w:p>
        </w:tc>
        <w:tc>
          <w:tcPr>
            <w:tcW w:w="2706" w:type="dxa"/>
            <w:tcBorders>
              <w:top w:val="none" w:sz="0" w:space="0" w:color="FFFFFF"/>
              <w:left w:val="none" w:sz="0" w:space="0" w:color="FFFFFF"/>
              <w:bottom w:val="none" w:sz="0" w:space="0" w:color="FFFFFF"/>
              <w:right w:val="none" w:sz="0" w:space="0" w:color="FFFFFF"/>
            </w:tcBorders>
            <w:shd w:val="clear" w:color="auto" w:fill="EBF3FB"/>
            <w:tcMar>
              <w:top w:w="60" w:type="dxa"/>
              <w:left w:w="160" w:type="dxa"/>
              <w:bottom w:w="60" w:type="dxa"/>
              <w:right w:w="0" w:type="dxa"/>
            </w:tcMar>
          </w:tcPr>
          <w:p w14:paraId="243ACCC5" w14:textId="43925A42" w:rsidR="005167E1" w:rsidRDefault="00000000">
            <w:pPr>
              <w:spacing w:after="80"/>
            </w:pPr>
            <w:r>
              <w:rPr>
                <w:i/>
                <w:iCs/>
                <w:color w:val="2E6DA4"/>
                <w:sz w:val="18"/>
                <w:szCs w:val="18"/>
              </w:rPr>
              <w:t xml:space="preserve">S. 358: „Er dient sowohl als digitale Plattform für Forschungsdaten als auch als Beratungsdienst für Fragen von Forschenden zu </w:t>
            </w:r>
            <w:r w:rsidR="00734FA1">
              <w:rPr>
                <w:i/>
                <w:iCs/>
                <w:color w:val="2E6DA4"/>
                <w:sz w:val="18"/>
                <w:szCs w:val="18"/>
              </w:rPr>
              <w:t xml:space="preserve">Forschungsdaten.“ </w:t>
            </w:r>
          </w:p>
        </w:tc>
      </w:tr>
      <w:tr w:rsidR="005167E1" w14:paraId="6F1E717F" w14:textId="77777777">
        <w:tblPrEx>
          <w:tblCellMar>
            <w:top w:w="0" w:type="dxa"/>
            <w:bottom w:w="0" w:type="dxa"/>
          </w:tblCellMar>
        </w:tblPrEx>
        <w:tc>
          <w:tcPr>
            <w:tcW w:w="632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60" w:type="dxa"/>
            </w:tcMar>
          </w:tcPr>
          <w:p w14:paraId="4DC68B7A" w14:textId="464EEB7C" w:rsidR="005167E1" w:rsidRDefault="00000000">
            <w:pPr>
              <w:spacing w:after="160"/>
            </w:pPr>
            <w:r>
              <w:rPr>
                <w:color w:val="000000"/>
              </w:rPr>
              <w:t xml:space="preserve">Und hier ein Punkt, der im Titel des Artikels steht, aber leicht übersehen wird: Equality. Die Autoren argumentieren, dass archivarische Formate – wo man erst eine ganze Datenbank herunterladen muss, um auf einzelne Objekte zuzugreifen – de facto einen Ausschluss erzeugen: Wer nicht über die nötige Technik und Bandbreite verfügt, hat keinen Zugang. Offene, granulare Zugänglichkeit ist also nicht nur eine wissenschaftliche, sondern </w:t>
            </w:r>
            <w:r w:rsidR="00734FA1">
              <w:rPr>
                <w:color w:val="000000"/>
              </w:rPr>
              <w:t>auch eine</w:t>
            </w:r>
            <w:r>
              <w:rPr>
                <w:color w:val="000000"/>
              </w:rPr>
              <w:t xml:space="preserve"> soziale </w:t>
            </w:r>
            <w:r w:rsidR="00734FA1">
              <w:rPr>
                <w:color w:val="000000"/>
              </w:rPr>
              <w:t xml:space="preserve">Frage. </w:t>
            </w:r>
          </w:p>
        </w:tc>
        <w:tc>
          <w:tcPr>
            <w:tcW w:w="2706" w:type="dxa"/>
            <w:tcBorders>
              <w:top w:val="none" w:sz="0" w:space="0" w:color="FFFFFF"/>
              <w:left w:val="none" w:sz="0" w:space="0" w:color="FFFFFF"/>
              <w:bottom w:val="none" w:sz="0" w:space="0" w:color="FFFFFF"/>
              <w:right w:val="none" w:sz="0" w:space="0" w:color="FFFFFF"/>
            </w:tcBorders>
            <w:shd w:val="clear" w:color="auto" w:fill="EBF3FB"/>
            <w:tcMar>
              <w:top w:w="60" w:type="dxa"/>
              <w:left w:w="160" w:type="dxa"/>
              <w:bottom w:w="60" w:type="dxa"/>
              <w:right w:w="0" w:type="dxa"/>
            </w:tcMar>
          </w:tcPr>
          <w:p w14:paraId="54E1A25B" w14:textId="77777777" w:rsidR="005167E1" w:rsidRDefault="00000000">
            <w:pPr>
              <w:spacing w:after="80"/>
            </w:pPr>
            <w:r>
              <w:rPr>
                <w:i/>
                <w:iCs/>
                <w:color w:val="2E6DA4"/>
                <w:sz w:val="18"/>
                <w:szCs w:val="18"/>
              </w:rPr>
              <w:t>S. 353: „Der vorrangige Zugang zu einzelnen Bestandteilen von Forschungssammlungen ist nicht nur ein akademisches Anliegen, sondern auch eine Frage der gesellschaftlichen Gerechtigkeit und der Gleichberechtigung zwischen verschiedenen Gemeinschaften.“ – Fallbeispiel African Rock Art Image Project (British Museum), S. 353.</w:t>
            </w:r>
          </w:p>
        </w:tc>
      </w:tr>
    </w:tbl>
    <w:p w14:paraId="44994055" w14:textId="77777777" w:rsidR="00734FA1" w:rsidRDefault="00734FA1">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20"/>
        <w:gridCol w:w="2706"/>
      </w:tblGrid>
      <w:tr w:rsidR="005167E1" w14:paraId="0C23BC3B"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3010B605" w14:textId="4645DF56" w:rsidR="005167E1" w:rsidRDefault="00000000">
            <w:r>
              <w:rPr>
                <w:b/>
                <w:bCs/>
                <w:color w:val="FFFFFF"/>
                <w:sz w:val="26"/>
                <w:szCs w:val="26"/>
              </w:rPr>
              <w:lastRenderedPageBreak/>
              <w:t xml:space="preserve">Folie 9 – SaaS vs. Eigenbau   </w:t>
            </w:r>
            <w:r>
              <w:rPr>
                <w:i/>
                <w:iCs/>
                <w:color w:val="DDEEFF"/>
                <w:sz w:val="20"/>
                <w:szCs w:val="20"/>
              </w:rPr>
              <w:t>⏱ ca. 1:00 min</w:t>
            </w:r>
          </w:p>
        </w:tc>
      </w:tr>
      <w:tr w:rsidR="005167E1" w14:paraId="03022E41" w14:textId="77777777">
        <w:tblPrEx>
          <w:tblCellMar>
            <w:top w:w="0" w:type="dxa"/>
            <w:bottom w:w="0" w:type="dxa"/>
          </w:tblCellMar>
        </w:tblPrEx>
        <w:tc>
          <w:tcPr>
            <w:tcW w:w="632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60" w:type="dxa"/>
            </w:tcMar>
          </w:tcPr>
          <w:p w14:paraId="51F8D1D0" w14:textId="4093EE94" w:rsidR="005167E1" w:rsidRDefault="00000000">
            <w:pPr>
              <w:spacing w:after="160"/>
            </w:pPr>
            <w:r>
              <w:rPr>
                <w:color w:val="000000"/>
              </w:rPr>
              <w:t xml:space="preserve">Nachdem die Anforderungen klar waren, stellte sich die zentrale Frage: Eigenbau oder kaufen? Die Antwort der Autoren ist eindeutig: SaaS – konkret Figshare for </w:t>
            </w:r>
            <w:r w:rsidR="00734FA1">
              <w:rPr>
                <w:color w:val="000000"/>
              </w:rPr>
              <w:t xml:space="preserve">Institutions. </w:t>
            </w:r>
          </w:p>
        </w:tc>
        <w:tc>
          <w:tcPr>
            <w:tcW w:w="2706" w:type="dxa"/>
            <w:tcBorders>
              <w:top w:val="none" w:sz="0" w:space="0" w:color="FFFFFF"/>
              <w:left w:val="none" w:sz="0" w:space="0" w:color="FFFFFF"/>
              <w:bottom w:val="none" w:sz="0" w:space="0" w:color="FFFFFF"/>
              <w:right w:val="none" w:sz="0" w:space="0" w:color="FFFFFF"/>
            </w:tcBorders>
            <w:shd w:val="clear" w:color="auto" w:fill="EBF3FB"/>
            <w:tcMar>
              <w:top w:w="60" w:type="dxa"/>
              <w:left w:w="160" w:type="dxa"/>
              <w:bottom w:w="60" w:type="dxa"/>
              <w:right w:w="0" w:type="dxa"/>
            </w:tcMar>
          </w:tcPr>
          <w:p w14:paraId="5196031C" w14:textId="1DAE46B5" w:rsidR="005167E1" w:rsidRDefault="00000000">
            <w:pPr>
              <w:spacing w:after="80"/>
            </w:pPr>
            <w:r>
              <w:rPr>
                <w:i/>
                <w:iCs/>
                <w:color w:val="2E6DA4"/>
                <w:sz w:val="18"/>
                <w:szCs w:val="18"/>
              </w:rPr>
              <w:t xml:space="preserve">S. 356–358: ITT-Verfahren und Entscheidung für Figshare.  Fn. </w:t>
            </w:r>
            <w:r w:rsidR="00734FA1">
              <w:rPr>
                <w:i/>
                <w:iCs/>
                <w:color w:val="2E6DA4"/>
                <w:sz w:val="18"/>
                <w:szCs w:val="18"/>
              </w:rPr>
              <w:t xml:space="preserve">37. </w:t>
            </w:r>
          </w:p>
        </w:tc>
      </w:tr>
      <w:tr w:rsidR="005167E1" w14:paraId="7EC25810" w14:textId="77777777">
        <w:tblPrEx>
          <w:tblCellMar>
            <w:top w:w="0" w:type="dxa"/>
            <w:bottom w:w="0" w:type="dxa"/>
          </w:tblCellMar>
        </w:tblPrEx>
        <w:tc>
          <w:tcPr>
            <w:tcW w:w="632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60" w:type="dxa"/>
            </w:tcMar>
          </w:tcPr>
          <w:p w14:paraId="05B5285E" w14:textId="41362F39" w:rsidR="005167E1" w:rsidRDefault="00000000">
            <w:pPr>
              <w:spacing w:after="160"/>
            </w:pPr>
            <w:r>
              <w:rPr>
                <w:color w:val="000000"/>
              </w:rPr>
              <w:t xml:space="preserve">FAIR by default: Offenheit und FAIR-Konformität sind keine zusätzliche Aufgabe für Forscher – sie sind die Standardoption. Wer Daten hochlädt, erhält automatisch DOIs und </w:t>
            </w:r>
            <w:r w:rsidR="00734FA1">
              <w:rPr>
                <w:color w:val="000000"/>
              </w:rPr>
              <w:t xml:space="preserve">Metadaten-Standards. </w:t>
            </w:r>
          </w:p>
        </w:tc>
        <w:tc>
          <w:tcPr>
            <w:tcW w:w="2706" w:type="dxa"/>
            <w:tcBorders>
              <w:top w:val="none" w:sz="0" w:space="0" w:color="FFFFFF"/>
              <w:left w:val="none" w:sz="0" w:space="0" w:color="FFFFFF"/>
              <w:bottom w:val="none" w:sz="0" w:space="0" w:color="FFFFFF"/>
              <w:right w:val="none" w:sz="0" w:space="0" w:color="FFFFFF"/>
            </w:tcBorders>
            <w:shd w:val="clear" w:color="auto" w:fill="EBF3FB"/>
            <w:tcMar>
              <w:top w:w="60" w:type="dxa"/>
              <w:left w:w="160" w:type="dxa"/>
              <w:bottom w:w="60" w:type="dxa"/>
              <w:right w:w="0" w:type="dxa"/>
            </w:tcMar>
          </w:tcPr>
          <w:p w14:paraId="11DA4CD6" w14:textId="77777777" w:rsidR="005167E1" w:rsidRDefault="00000000">
            <w:pPr>
              <w:spacing w:after="80"/>
            </w:pPr>
            <w:r>
              <w:rPr>
                <w:i/>
                <w:iCs/>
                <w:color w:val="2E6DA4"/>
                <w:sz w:val="18"/>
                <w:szCs w:val="18"/>
              </w:rPr>
              <w:t>S. 358: „Dadurch werden Open Access und FAIR-Kriterien für die auf der Plattform gehosteten Daten in jedem Forschungsprojekt von vornherein gewährleistet.“</w:t>
            </w:r>
          </w:p>
        </w:tc>
      </w:tr>
      <w:tr w:rsidR="005167E1" w14:paraId="181A3BFA" w14:textId="77777777">
        <w:tblPrEx>
          <w:tblCellMar>
            <w:top w:w="0" w:type="dxa"/>
            <w:bottom w:w="0" w:type="dxa"/>
          </w:tblCellMar>
        </w:tblPrEx>
        <w:tc>
          <w:tcPr>
            <w:tcW w:w="632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60" w:type="dxa"/>
            </w:tcMar>
          </w:tcPr>
          <w:p w14:paraId="00B966D3" w14:textId="6EC518C8" w:rsidR="005167E1" w:rsidRDefault="00000000">
            <w:pPr>
              <w:spacing w:after="160"/>
            </w:pPr>
            <w:r>
              <w:rPr>
                <w:color w:val="000000"/>
              </w:rPr>
              <w:t xml:space="preserve">Wartung: Technik mieten, Inhalte kuratieren. Die eigene Energie fließt in die wissenschaftliche Pflege der Daten, nicht in </w:t>
            </w:r>
            <w:r w:rsidR="00734FA1">
              <w:rPr>
                <w:color w:val="000000"/>
              </w:rPr>
              <w:t xml:space="preserve">Serveradministration. </w:t>
            </w:r>
          </w:p>
        </w:tc>
        <w:tc>
          <w:tcPr>
            <w:tcW w:w="2706" w:type="dxa"/>
            <w:tcBorders>
              <w:top w:val="none" w:sz="0" w:space="0" w:color="FFFFFF"/>
              <w:left w:val="none" w:sz="0" w:space="0" w:color="FFFFFF"/>
              <w:bottom w:val="none" w:sz="0" w:space="0" w:color="FFFFFF"/>
              <w:right w:val="none" w:sz="0" w:space="0" w:color="FFFFFF"/>
            </w:tcBorders>
            <w:shd w:val="clear" w:color="auto" w:fill="EBF3FB"/>
            <w:tcMar>
              <w:top w:w="60" w:type="dxa"/>
              <w:left w:w="160" w:type="dxa"/>
              <w:bottom w:w="60" w:type="dxa"/>
              <w:right w:w="0" w:type="dxa"/>
            </w:tcMar>
          </w:tcPr>
          <w:p w14:paraId="63AA520A" w14:textId="3D8BAE53" w:rsidR="005167E1" w:rsidRDefault="00000000">
            <w:pPr>
              <w:spacing w:after="80"/>
            </w:pPr>
            <w:r>
              <w:rPr>
                <w:i/>
                <w:iCs/>
                <w:color w:val="2E6DA4"/>
                <w:sz w:val="18"/>
                <w:szCs w:val="18"/>
              </w:rPr>
              <w:t xml:space="preserve">S. 358: „Der Vorteil dieses SaaS-Ansatzes besteht darin, dass Offenheit ebenso wie FAIRness die Standardoption ist, was bedeutet, dass Forscher diese Elemente nicht in ihre Forschung integrieren </w:t>
            </w:r>
            <w:r w:rsidR="00734FA1">
              <w:rPr>
                <w:i/>
                <w:iCs/>
                <w:color w:val="2E6DA4"/>
                <w:sz w:val="18"/>
                <w:szCs w:val="18"/>
              </w:rPr>
              <w:t xml:space="preserve">müssen.“ </w:t>
            </w:r>
          </w:p>
        </w:tc>
      </w:tr>
      <w:tr w:rsidR="005167E1" w14:paraId="41B1308A" w14:textId="77777777">
        <w:tblPrEx>
          <w:tblCellMar>
            <w:top w:w="0" w:type="dxa"/>
            <w:bottom w:w="0" w:type="dxa"/>
          </w:tblCellMar>
        </w:tblPrEx>
        <w:tc>
          <w:tcPr>
            <w:tcW w:w="632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60" w:type="dxa"/>
            </w:tcMar>
          </w:tcPr>
          <w:p w14:paraId="417BABCE" w14:textId="0CBBFDA3" w:rsidR="005167E1" w:rsidRDefault="00000000">
            <w:pPr>
              <w:spacing w:after="160"/>
            </w:pPr>
            <w:r>
              <w:rPr>
                <w:color w:val="000000"/>
              </w:rPr>
              <w:t xml:space="preserve">Kosteneffizienz: Die Implementierung und Wartung von Figshare kostet nur 10 bis 20 Prozent dessen, was eine Eigenentwicklung über 10 Jahre kalkuliert hätte kosten </w:t>
            </w:r>
            <w:r w:rsidR="00734FA1">
              <w:rPr>
                <w:color w:val="000000"/>
              </w:rPr>
              <w:t xml:space="preserve">können. </w:t>
            </w:r>
          </w:p>
        </w:tc>
        <w:tc>
          <w:tcPr>
            <w:tcW w:w="2706" w:type="dxa"/>
            <w:tcBorders>
              <w:top w:val="none" w:sz="0" w:space="0" w:color="FFFFFF"/>
              <w:left w:val="none" w:sz="0" w:space="0" w:color="FFFFFF"/>
              <w:bottom w:val="none" w:sz="0" w:space="0" w:color="FFFFFF"/>
              <w:right w:val="none" w:sz="0" w:space="0" w:color="FFFFFF"/>
            </w:tcBorders>
            <w:shd w:val="clear" w:color="auto" w:fill="EBF3FB"/>
            <w:tcMar>
              <w:top w:w="60" w:type="dxa"/>
              <w:left w:w="160" w:type="dxa"/>
              <w:bottom w:w="60" w:type="dxa"/>
              <w:right w:w="0" w:type="dxa"/>
            </w:tcMar>
          </w:tcPr>
          <w:p w14:paraId="407ACA57" w14:textId="77777777" w:rsidR="005167E1" w:rsidRDefault="00000000">
            <w:pPr>
              <w:spacing w:after="80"/>
            </w:pPr>
            <w:r>
              <w:rPr>
                <w:i/>
                <w:iCs/>
                <w:color w:val="2E6DA4"/>
                <w:sz w:val="18"/>
                <w:szCs w:val="18"/>
              </w:rPr>
              <w:t>S. 358: „Die Kosten für die Implementierung und Wartung eines SaaS-Produkts wie Figshare [betragen] nur einen Bruchteil (ca. 10–20 %) der geschätzten Kosten für die Entwicklung [...] über einen [...] Zeitraum von 10 Jahren.“  Fn. 41.</w:t>
            </w:r>
          </w:p>
        </w:tc>
      </w:tr>
      <w:tr w:rsidR="005167E1" w14:paraId="19AF3E42" w14:textId="77777777">
        <w:tblPrEx>
          <w:tblCellMar>
            <w:top w:w="0" w:type="dxa"/>
            <w:bottom w:w="0" w:type="dxa"/>
          </w:tblCellMar>
        </w:tblPrEx>
        <w:tc>
          <w:tcPr>
            <w:tcW w:w="632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60" w:type="dxa"/>
            </w:tcMar>
          </w:tcPr>
          <w:p w14:paraId="459FFC2B" w14:textId="77777777" w:rsidR="005167E1" w:rsidRDefault="00000000">
            <w:pPr>
              <w:spacing w:after="160"/>
            </w:pPr>
            <w:r>
              <w:rPr>
                <w:color w:val="000000"/>
              </w:rPr>
              <w:t>Die Autoren betonen dabei: Figshare ist proprietäre Software, das Risiko ist bekannt, es gibt eine explizite Ausstiegsstrategie. Aber sie vergleichen es mit anderer unverzichtbarer Universitätsinfrastruktur – Bibliothekssysteme, Sammlungsverwaltung – und argumentieren: kein System ist risikolos.</w:t>
            </w:r>
          </w:p>
        </w:tc>
        <w:tc>
          <w:tcPr>
            <w:tcW w:w="2706" w:type="dxa"/>
            <w:tcBorders>
              <w:top w:val="none" w:sz="0" w:space="0" w:color="FFFFFF"/>
              <w:left w:val="none" w:sz="0" w:space="0" w:color="FFFFFF"/>
              <w:bottom w:val="none" w:sz="0" w:space="0" w:color="FFFFFF"/>
              <w:right w:val="none" w:sz="0" w:space="0" w:color="FFFFFF"/>
            </w:tcBorders>
            <w:shd w:val="clear" w:color="auto" w:fill="EBF3FB"/>
            <w:tcMar>
              <w:top w:w="60" w:type="dxa"/>
              <w:left w:w="160" w:type="dxa"/>
              <w:bottom w:w="60" w:type="dxa"/>
              <w:right w:w="0" w:type="dxa"/>
            </w:tcMar>
          </w:tcPr>
          <w:p w14:paraId="2599D5E3" w14:textId="77777777" w:rsidR="005167E1" w:rsidRDefault="00000000">
            <w:pPr>
              <w:spacing w:after="80"/>
            </w:pPr>
            <w:r>
              <w:rPr>
                <w:i/>
                <w:iCs/>
                <w:color w:val="2E6DA4"/>
                <w:sz w:val="18"/>
                <w:szCs w:val="18"/>
              </w:rPr>
              <w:t>S. 359: „Wie bei allen Softwareentscheidungen [...] verfügen wir über eine gut ausgearbeitete ‘Ausstiegsstrategie’ in unserem Risikoregister.“  Fn. 42.</w:t>
            </w:r>
          </w:p>
        </w:tc>
      </w:tr>
    </w:tbl>
    <w:p w14:paraId="28EDA4AB" w14:textId="77777777" w:rsidR="00734FA1" w:rsidRDefault="00734FA1">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20"/>
        <w:gridCol w:w="2706"/>
      </w:tblGrid>
      <w:tr w:rsidR="005167E1" w:rsidRPr="00734FA1" w14:paraId="1ED67816"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672C055C" w14:textId="77777777" w:rsidR="005167E1" w:rsidRPr="00734FA1" w:rsidRDefault="00000000">
            <w:pPr>
              <w:rPr>
                <w:lang w:val="en-GB"/>
              </w:rPr>
            </w:pPr>
            <w:r w:rsidRPr="00734FA1">
              <w:rPr>
                <w:b/>
                <w:bCs/>
                <w:color w:val="FFFFFF"/>
                <w:sz w:val="26"/>
                <w:szCs w:val="26"/>
                <w:lang w:val="en-GB"/>
              </w:rPr>
              <w:lastRenderedPageBreak/>
              <w:t xml:space="preserve">Folie 10 – Das Suitability Factors Assessment   </w:t>
            </w:r>
            <w:r w:rsidRPr="00734FA1">
              <w:rPr>
                <w:i/>
                <w:iCs/>
                <w:color w:val="DDEEFF"/>
                <w:sz w:val="20"/>
                <w:szCs w:val="20"/>
                <w:lang w:val="en-GB"/>
              </w:rPr>
              <w:t>⏱ ca. 1:00 min</w:t>
            </w:r>
          </w:p>
        </w:tc>
      </w:tr>
      <w:tr w:rsidR="005167E1" w14:paraId="1A9ED341" w14:textId="77777777">
        <w:tblPrEx>
          <w:tblCellMar>
            <w:top w:w="0" w:type="dxa"/>
            <w:bottom w:w="0" w:type="dxa"/>
          </w:tblCellMar>
        </w:tblPrEx>
        <w:tc>
          <w:tcPr>
            <w:tcW w:w="632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60" w:type="dxa"/>
            </w:tcMar>
          </w:tcPr>
          <w:p w14:paraId="24C9996B" w14:textId="77777777" w:rsidR="005167E1" w:rsidRDefault="00000000">
            <w:pPr>
              <w:spacing w:after="160"/>
            </w:pPr>
            <w:r>
              <w:rPr>
                <w:color w:val="000000"/>
              </w:rPr>
              <w:t>Nicht jedes Projekt ist für SDS geeignet – das war von Anfang an klar. Um das systematisch zu beurteilen, entwickelten die Autoren das Suitability Factors Assessment: sieben Kriterien auf einer Skala von 0 bis 5.</w:t>
            </w:r>
          </w:p>
        </w:tc>
        <w:tc>
          <w:tcPr>
            <w:tcW w:w="2706" w:type="dxa"/>
            <w:tcBorders>
              <w:top w:val="none" w:sz="0" w:space="0" w:color="FFFFFF"/>
              <w:left w:val="none" w:sz="0" w:space="0" w:color="FFFFFF"/>
              <w:bottom w:val="none" w:sz="0" w:space="0" w:color="FFFFFF"/>
              <w:right w:val="none" w:sz="0" w:space="0" w:color="FFFFFF"/>
            </w:tcBorders>
            <w:shd w:val="clear" w:color="auto" w:fill="EBF3FB"/>
            <w:tcMar>
              <w:top w:w="60" w:type="dxa"/>
              <w:left w:w="160" w:type="dxa"/>
              <w:bottom w:w="60" w:type="dxa"/>
              <w:right w:w="0" w:type="dxa"/>
            </w:tcMar>
          </w:tcPr>
          <w:p w14:paraId="650F64E7" w14:textId="77777777" w:rsidR="005167E1" w:rsidRDefault="00000000">
            <w:pPr>
              <w:spacing w:after="80"/>
            </w:pPr>
            <w:r>
              <w:rPr>
                <w:i/>
                <w:iCs/>
                <w:color w:val="2E6DA4"/>
                <w:sz w:val="18"/>
                <w:szCs w:val="18"/>
              </w:rPr>
              <w:t>S. 361: „Diese Methodik zur ‘Bewertung der Eignungsfaktoren’ [...] ermöglichte es uns, die Schlüsselbereiche zu erfassen, die bei der Eignungsprüfung von Forschungsprojekten zu berücksichtigen sind.“  Abb. 3 und 4.</w:t>
            </w:r>
          </w:p>
        </w:tc>
      </w:tr>
      <w:tr w:rsidR="005167E1" w14:paraId="6007D6FB" w14:textId="77777777">
        <w:tblPrEx>
          <w:tblCellMar>
            <w:top w:w="0" w:type="dxa"/>
            <w:bottom w:w="0" w:type="dxa"/>
          </w:tblCellMar>
        </w:tblPrEx>
        <w:tc>
          <w:tcPr>
            <w:tcW w:w="632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60" w:type="dxa"/>
            </w:tcMar>
          </w:tcPr>
          <w:p w14:paraId="5A1B1637" w14:textId="77777777" w:rsidR="005167E1" w:rsidRDefault="00000000">
            <w:pPr>
              <w:spacing w:after="160"/>
            </w:pPr>
            <w:r>
              <w:rPr>
                <w:color w:val="000000"/>
              </w:rPr>
              <w:t>Die Kriterien sind auf der Folie vollständig – ich möchte zwei hervorheben, weil sie das Denkkader besonders gut charakterisieren:</w:t>
            </w:r>
          </w:p>
          <w:p w14:paraId="5C301F42" w14:textId="66C9DE82" w:rsidR="005167E1" w:rsidRDefault="00000000">
            <w:pPr>
              <w:spacing w:after="160"/>
              <w:ind w:left="360"/>
            </w:pPr>
            <w:r>
              <w:rPr>
                <w:color w:val="000000"/>
              </w:rPr>
              <w:t xml:space="preserve">Kompromissbereitschaft: Ist der Forscher bereit, auf bestimmte Funktionen zu verzichten, um Nachhaltigkeit zu gewinnen? Das ist kein technisches Kriterium – das ist eine Frage der wissenschaftlichen </w:t>
            </w:r>
            <w:r w:rsidR="00734FA1">
              <w:rPr>
                <w:color w:val="000000"/>
              </w:rPr>
              <w:t xml:space="preserve">Haltung. </w:t>
            </w:r>
          </w:p>
        </w:tc>
        <w:tc>
          <w:tcPr>
            <w:tcW w:w="2706" w:type="dxa"/>
            <w:tcBorders>
              <w:top w:val="none" w:sz="0" w:space="0" w:color="FFFFFF"/>
              <w:left w:val="none" w:sz="0" w:space="0" w:color="FFFFFF"/>
              <w:bottom w:val="none" w:sz="0" w:space="0" w:color="FFFFFF"/>
              <w:right w:val="none" w:sz="0" w:space="0" w:color="FFFFFF"/>
            </w:tcBorders>
            <w:shd w:val="clear" w:color="auto" w:fill="EBF3FB"/>
            <w:tcMar>
              <w:top w:w="60" w:type="dxa"/>
              <w:left w:w="160" w:type="dxa"/>
              <w:bottom w:w="60" w:type="dxa"/>
              <w:right w:w="0" w:type="dxa"/>
            </w:tcMar>
          </w:tcPr>
          <w:p w14:paraId="3D2C1AAB" w14:textId="77777777" w:rsidR="005167E1" w:rsidRDefault="00000000">
            <w:pPr>
              <w:spacing w:after="80"/>
            </w:pPr>
            <w:r>
              <w:rPr>
                <w:i/>
                <w:iCs/>
                <w:color w:val="2E6DA4"/>
                <w:sz w:val="18"/>
                <w:szCs w:val="18"/>
              </w:rPr>
              <w:t>S. 361: Kriterium „Motivation to move / Willingness to Compromise“ in Abb. 4. – S. 361: „Als professionelles Support-Team gibt das SDS-Team bei dieser Bewertung kein Werturteil über die Qualität der Forschung [...] ab.“</w:t>
            </w:r>
          </w:p>
        </w:tc>
      </w:tr>
      <w:tr w:rsidR="005167E1" w14:paraId="4EF74EA1" w14:textId="77777777">
        <w:tblPrEx>
          <w:tblCellMar>
            <w:top w:w="0" w:type="dxa"/>
            <w:bottom w:w="0" w:type="dxa"/>
          </w:tblCellMar>
        </w:tblPrEx>
        <w:tc>
          <w:tcPr>
            <w:tcW w:w="632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60" w:type="dxa"/>
            </w:tcMar>
          </w:tcPr>
          <w:p w14:paraId="27CF3241" w14:textId="1CF84DE6" w:rsidR="005167E1" w:rsidRDefault="00000000">
            <w:pPr>
              <w:spacing w:after="160"/>
              <w:ind w:left="360"/>
            </w:pPr>
            <w:r>
              <w:rPr>
                <w:color w:val="000000"/>
              </w:rPr>
              <w:t xml:space="preserve">Dringlichkeit: Wie akut ist die Gefährdung des Projekts? Hier kommt zum Tragen, was die Autoren den „Scream Test“ nennen: die lautstarke Reaktion, die Website-Betreiber erhalten, wenn eine Ressource offline geht. Genau das hat viele Forscher zu SDS </w:t>
            </w:r>
            <w:r w:rsidR="00734FA1">
              <w:rPr>
                <w:color w:val="000000"/>
              </w:rPr>
              <w:t xml:space="preserve">geführt. </w:t>
            </w:r>
          </w:p>
        </w:tc>
        <w:tc>
          <w:tcPr>
            <w:tcW w:w="2706" w:type="dxa"/>
            <w:tcBorders>
              <w:top w:val="none" w:sz="0" w:space="0" w:color="FFFFFF"/>
              <w:left w:val="none" w:sz="0" w:space="0" w:color="FFFFFF"/>
              <w:bottom w:val="none" w:sz="0" w:space="0" w:color="FFFFFF"/>
              <w:right w:val="none" w:sz="0" w:space="0" w:color="FFFFFF"/>
            </w:tcBorders>
            <w:shd w:val="clear" w:color="auto" w:fill="EBF3FB"/>
            <w:tcMar>
              <w:top w:w="60" w:type="dxa"/>
              <w:left w:w="160" w:type="dxa"/>
              <w:bottom w:w="60" w:type="dxa"/>
              <w:right w:w="0" w:type="dxa"/>
            </w:tcMar>
          </w:tcPr>
          <w:p w14:paraId="52C79DA3" w14:textId="77777777" w:rsidR="005167E1" w:rsidRDefault="00000000">
            <w:pPr>
              <w:spacing w:after="80"/>
            </w:pPr>
            <w:r>
              <w:rPr>
                <w:i/>
                <w:iCs/>
                <w:color w:val="2E6DA4"/>
                <w:sz w:val="18"/>
                <w:szCs w:val="18"/>
              </w:rPr>
              <w:t>S. 350: „Der sogenannte ‘Scream Test’ ist die lautstarke Reaktion, die Website-Betreiber erhalten, wenn eine Ressource offline geht [...]. Diese Reaktion hat Forscher zu uns geführt.“ – Kriterium „Dringlichkeit“ in Abb. 4, S. 361.</w:t>
            </w:r>
          </w:p>
        </w:tc>
      </w:tr>
      <w:tr w:rsidR="005167E1" w14:paraId="7C6CC805" w14:textId="77777777">
        <w:tblPrEx>
          <w:tblCellMar>
            <w:top w:w="0" w:type="dxa"/>
            <w:bottom w:w="0" w:type="dxa"/>
          </w:tblCellMar>
        </w:tblPrEx>
        <w:tc>
          <w:tcPr>
            <w:tcW w:w="632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60" w:type="dxa"/>
            </w:tcMar>
          </w:tcPr>
          <w:p w14:paraId="00905D38" w14:textId="72881527" w:rsidR="005167E1" w:rsidRDefault="00000000">
            <w:pPr>
              <w:spacing w:after="160"/>
            </w:pPr>
            <w:r>
              <w:rPr>
                <w:color w:val="000000"/>
              </w:rPr>
              <w:t xml:space="preserve">Das Ergebnis: Von über 120 Projekten, die sich bis Januar 2023 an SDS gewandt hatten, wurden 17 als nicht kompatibel eingestuft. Der häufigste Ablehnungsgrund: fehlende komplexe Abfrage- und </w:t>
            </w:r>
            <w:r w:rsidR="00734FA1">
              <w:rPr>
                <w:color w:val="000000"/>
              </w:rPr>
              <w:t xml:space="preserve">Präsentationsfunktionen. </w:t>
            </w:r>
          </w:p>
        </w:tc>
        <w:tc>
          <w:tcPr>
            <w:tcW w:w="2706" w:type="dxa"/>
            <w:tcBorders>
              <w:top w:val="none" w:sz="0" w:space="0" w:color="FFFFFF"/>
              <w:left w:val="none" w:sz="0" w:space="0" w:color="FFFFFF"/>
              <w:bottom w:val="none" w:sz="0" w:space="0" w:color="FFFFFF"/>
              <w:right w:val="none" w:sz="0" w:space="0" w:color="FFFFFF"/>
            </w:tcBorders>
            <w:shd w:val="clear" w:color="auto" w:fill="EBF3FB"/>
            <w:tcMar>
              <w:top w:w="60" w:type="dxa"/>
              <w:left w:w="160" w:type="dxa"/>
              <w:bottom w:w="60" w:type="dxa"/>
              <w:right w:w="0" w:type="dxa"/>
            </w:tcMar>
          </w:tcPr>
          <w:p w14:paraId="3D54E1F2" w14:textId="77777777" w:rsidR="005167E1" w:rsidRDefault="00000000">
            <w:pPr>
              <w:spacing w:after="80"/>
            </w:pPr>
            <w:r>
              <w:rPr>
                <w:i/>
                <w:iCs/>
                <w:color w:val="2E6DA4"/>
                <w:sz w:val="18"/>
                <w:szCs w:val="18"/>
              </w:rPr>
              <w:t>S. 363: „Der SDS-Dienst hat bis heute (Januar 2023) mit über 120 Forschungsprojekten Kontakt aufgenommen [...]. Davon wurden 17 Projekte als nicht kompatibel [...] eingestuft.“</w:t>
            </w:r>
          </w:p>
        </w:tc>
      </w:tr>
    </w:tbl>
    <w:p w14:paraId="5989417F" w14:textId="77777777" w:rsidR="00734FA1" w:rsidRDefault="00734FA1">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20"/>
        <w:gridCol w:w="2706"/>
      </w:tblGrid>
      <w:tr w:rsidR="005167E1" w:rsidRPr="00734FA1" w14:paraId="3FA973CD"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57D91FE5" w14:textId="77777777" w:rsidR="005167E1" w:rsidRPr="00734FA1" w:rsidRDefault="00000000">
            <w:pPr>
              <w:rPr>
                <w:lang w:val="en-GB"/>
              </w:rPr>
            </w:pPr>
            <w:r w:rsidRPr="00734FA1">
              <w:rPr>
                <w:b/>
                <w:bCs/>
                <w:color w:val="FFFFFF"/>
                <w:sz w:val="26"/>
                <w:szCs w:val="26"/>
                <w:lang w:val="en-GB"/>
              </w:rPr>
              <w:lastRenderedPageBreak/>
              <w:t xml:space="preserve">Folie 11 – Sustainability by Design   </w:t>
            </w:r>
            <w:r w:rsidRPr="00734FA1">
              <w:rPr>
                <w:i/>
                <w:iCs/>
                <w:color w:val="DDEEFF"/>
                <w:sz w:val="20"/>
                <w:szCs w:val="20"/>
                <w:lang w:val="en-GB"/>
              </w:rPr>
              <w:t>⏱ ca. 1:00 min</w:t>
            </w:r>
          </w:p>
        </w:tc>
      </w:tr>
      <w:tr w:rsidR="005167E1" w14:paraId="00FEC160" w14:textId="77777777">
        <w:tblPrEx>
          <w:tblCellMar>
            <w:top w:w="0" w:type="dxa"/>
            <w:bottom w:w="0" w:type="dxa"/>
          </w:tblCellMar>
        </w:tblPrEx>
        <w:tc>
          <w:tcPr>
            <w:tcW w:w="632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60" w:type="dxa"/>
            </w:tcMar>
          </w:tcPr>
          <w:p w14:paraId="62CC509E" w14:textId="4E309E41" w:rsidR="005167E1" w:rsidRDefault="00000000">
            <w:pPr>
              <w:spacing w:after="160"/>
            </w:pPr>
            <w:r>
              <w:rPr>
                <w:color w:val="000000"/>
              </w:rPr>
              <w:t xml:space="preserve">Die Folie zeigt zwei grundlegend verschiedene </w:t>
            </w:r>
            <w:r w:rsidR="00734FA1">
              <w:rPr>
                <w:color w:val="000000"/>
              </w:rPr>
              <w:t xml:space="preserve">Ausgangssituationen. </w:t>
            </w:r>
          </w:p>
        </w:tc>
        <w:tc>
          <w:tcPr>
            <w:tcW w:w="2706" w:type="dxa"/>
            <w:tcBorders>
              <w:top w:val="none" w:sz="0" w:space="0" w:color="FFFFFF"/>
              <w:left w:val="none" w:sz="0" w:space="0" w:color="FFFFFF"/>
              <w:bottom w:val="none" w:sz="0" w:space="0" w:color="FFFFFF"/>
              <w:right w:val="none" w:sz="0" w:space="0" w:color="FFFFFF"/>
            </w:tcBorders>
            <w:shd w:val="clear" w:color="auto" w:fill="EBF3FB"/>
            <w:tcMar>
              <w:top w:w="60" w:type="dxa"/>
              <w:left w:w="160" w:type="dxa"/>
              <w:bottom w:w="60" w:type="dxa"/>
              <w:right w:w="0" w:type="dxa"/>
            </w:tcMar>
          </w:tcPr>
          <w:p w14:paraId="533DB2BC" w14:textId="77777777" w:rsidR="005167E1" w:rsidRDefault="00000000">
            <w:pPr>
              <w:spacing w:after="80"/>
            </w:pPr>
            <w:r>
              <w:rPr>
                <w:i/>
                <w:iCs/>
                <w:color w:val="2E6DA4"/>
                <w:sz w:val="18"/>
                <w:szCs w:val="18"/>
              </w:rPr>
              <w:t>S. 359–361: „Ein praktischer Ansatz, um Forschung von Grund auf nachhaltig zu gestalten“ (Abschnittstitel).</w:t>
            </w:r>
          </w:p>
        </w:tc>
      </w:tr>
      <w:tr w:rsidR="005167E1" w14:paraId="1C2B1E63" w14:textId="77777777">
        <w:tblPrEx>
          <w:tblCellMar>
            <w:top w:w="0" w:type="dxa"/>
            <w:bottom w:w="0" w:type="dxa"/>
          </w:tblCellMar>
        </w:tblPrEx>
        <w:tc>
          <w:tcPr>
            <w:tcW w:w="632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60" w:type="dxa"/>
            </w:tcMar>
          </w:tcPr>
          <w:p w14:paraId="484D22A4" w14:textId="48F37F1F" w:rsidR="005167E1" w:rsidRDefault="00000000">
            <w:pPr>
              <w:spacing w:after="160"/>
            </w:pPr>
            <w:r>
              <w:rPr>
                <w:color w:val="000000"/>
              </w:rPr>
              <w:t xml:space="preserve">Bei neuen Projekten baut SDS die Nachhaltigkeit von Anfang an ein. Datenstruktur, Metadaten-Schema, Zugangsbeschränkungen – all das wird in einer frühen Planungssitzung geklärt. Forscher erfassen ihre Daten von Beginn an SDS-kompatibel. Kein </w:t>
            </w:r>
            <w:r w:rsidR="00734FA1">
              <w:rPr>
                <w:color w:val="000000"/>
              </w:rPr>
              <w:t>Data-Wrangling</w:t>
            </w:r>
            <w:r>
              <w:rPr>
                <w:color w:val="000000"/>
              </w:rPr>
              <w:t xml:space="preserve"> </w:t>
            </w:r>
            <w:r w:rsidR="00734FA1">
              <w:rPr>
                <w:color w:val="000000"/>
              </w:rPr>
              <w:t xml:space="preserve">nötig. </w:t>
            </w:r>
          </w:p>
        </w:tc>
        <w:tc>
          <w:tcPr>
            <w:tcW w:w="2706" w:type="dxa"/>
            <w:tcBorders>
              <w:top w:val="none" w:sz="0" w:space="0" w:color="FFFFFF"/>
              <w:left w:val="none" w:sz="0" w:space="0" w:color="FFFFFF"/>
              <w:bottom w:val="none" w:sz="0" w:space="0" w:color="FFFFFF"/>
              <w:right w:val="none" w:sz="0" w:space="0" w:color="FFFFFF"/>
            </w:tcBorders>
            <w:shd w:val="clear" w:color="auto" w:fill="EBF3FB"/>
            <w:tcMar>
              <w:top w:w="60" w:type="dxa"/>
              <w:left w:w="160" w:type="dxa"/>
              <w:bottom w:w="60" w:type="dxa"/>
              <w:right w:w="0" w:type="dxa"/>
            </w:tcMar>
          </w:tcPr>
          <w:p w14:paraId="5236D235" w14:textId="77777777" w:rsidR="005167E1" w:rsidRDefault="00000000">
            <w:pPr>
              <w:spacing w:after="80"/>
            </w:pPr>
            <w:r>
              <w:rPr>
                <w:i/>
                <w:iCs/>
                <w:color w:val="2E6DA4"/>
                <w:sz w:val="18"/>
                <w:szCs w:val="18"/>
              </w:rPr>
              <w:t>S. 359–360: „In diesen Fällen kann der SDS-Dienst Beratung und Unterstützung anbieten [...]. Bei neuen Projekten benötigt das Forschungsteam diese Datenbereinigungsphase meist nicht.“</w:t>
            </w:r>
          </w:p>
        </w:tc>
      </w:tr>
      <w:tr w:rsidR="005167E1" w14:paraId="273E3E37" w14:textId="77777777">
        <w:tblPrEx>
          <w:tblCellMar>
            <w:top w:w="0" w:type="dxa"/>
            <w:bottom w:w="0" w:type="dxa"/>
          </w:tblCellMar>
        </w:tblPrEx>
        <w:tc>
          <w:tcPr>
            <w:tcW w:w="632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60" w:type="dxa"/>
            </w:tcMar>
          </w:tcPr>
          <w:p w14:paraId="3D397B5B" w14:textId="60FF47BB" w:rsidR="005167E1" w:rsidRDefault="00000000">
            <w:pPr>
              <w:spacing w:after="160"/>
            </w:pPr>
            <w:r>
              <w:rPr>
                <w:color w:val="000000"/>
              </w:rPr>
              <w:t xml:space="preserve">Bei Legacy-Projekten ist es komplizierter. Forscher haben oft Jahre in maßgeschneiderte Systeme investiert und sind an deren Funktionen gewöhnt. Wenn SDS diese nicht vollständig replizieren kann, müssen sie eine schwierige Entscheidung treffen: Nachhaltigkeit gewinnen, aber Funktionen </w:t>
            </w:r>
            <w:r w:rsidR="00734FA1">
              <w:rPr>
                <w:color w:val="000000"/>
              </w:rPr>
              <w:t xml:space="preserve">verlieren. </w:t>
            </w:r>
          </w:p>
        </w:tc>
        <w:tc>
          <w:tcPr>
            <w:tcW w:w="2706" w:type="dxa"/>
            <w:tcBorders>
              <w:top w:val="none" w:sz="0" w:space="0" w:color="FFFFFF"/>
              <w:left w:val="none" w:sz="0" w:space="0" w:color="FFFFFF"/>
              <w:bottom w:val="none" w:sz="0" w:space="0" w:color="FFFFFF"/>
              <w:right w:val="none" w:sz="0" w:space="0" w:color="FFFFFF"/>
            </w:tcBorders>
            <w:shd w:val="clear" w:color="auto" w:fill="EBF3FB"/>
            <w:tcMar>
              <w:top w:w="60" w:type="dxa"/>
              <w:left w:w="160" w:type="dxa"/>
              <w:bottom w:w="60" w:type="dxa"/>
              <w:right w:w="0" w:type="dxa"/>
            </w:tcMar>
          </w:tcPr>
          <w:p w14:paraId="613E1F28" w14:textId="77777777" w:rsidR="005167E1" w:rsidRDefault="00000000">
            <w:pPr>
              <w:spacing w:after="80"/>
            </w:pPr>
            <w:r>
              <w:rPr>
                <w:i/>
                <w:iCs/>
                <w:color w:val="2E6DA4"/>
                <w:sz w:val="18"/>
                <w:szCs w:val="18"/>
              </w:rPr>
              <w:t>S. 360–361: „Für manche Forscher sind der Verlust von Funktionen oder die Kompromisse [...] nicht mit ihren Forschungszielen vereinbar, und ihre Projekte sind einfach zu komplex oder für eine Migration zu SDS ungeeignet.“</w:t>
            </w:r>
          </w:p>
        </w:tc>
      </w:tr>
      <w:tr w:rsidR="005167E1" w14:paraId="349312D7" w14:textId="77777777">
        <w:tblPrEx>
          <w:tblCellMar>
            <w:top w:w="0" w:type="dxa"/>
            <w:bottom w:w="0" w:type="dxa"/>
          </w:tblCellMar>
        </w:tblPrEx>
        <w:tc>
          <w:tcPr>
            <w:tcW w:w="632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60" w:type="dxa"/>
            </w:tcMar>
          </w:tcPr>
          <w:p w14:paraId="19E5810D" w14:textId="77777777" w:rsidR="005167E1" w:rsidRDefault="00000000">
            <w:pPr>
              <w:spacing w:after="160"/>
            </w:pPr>
            <w:r>
              <w:rPr>
                <w:color w:val="000000"/>
              </w:rPr>
              <w:t>Manche können diesen Kompromiss nicht eingehen. Für diese Projekte bleibt die Datenzukunft gefährdet. Das sagen die Autoren offen. Das Ziel ist die 80/20-Regel: eine einheitliche, verwaltete Infrastruktur für 80 Prozent der Projekte – nur 20 Prozent brauchen maßgeschneiderte Lösungen.</w:t>
            </w:r>
          </w:p>
          <w:p w14:paraId="149484A0" w14:textId="77777777" w:rsidR="005167E1" w:rsidRDefault="00000000">
            <w:pPr>
              <w:pBdr>
                <w:left w:val="single" w:sz="6" w:space="8" w:color="AAAAAA"/>
              </w:pBdr>
              <w:spacing w:before="60" w:after="100"/>
              <w:ind w:left="200"/>
            </w:pPr>
            <w:r>
              <w:rPr>
                <w:i/>
                <w:iCs/>
                <w:color w:val="888888"/>
                <w:sz w:val="19"/>
                <w:szCs w:val="19"/>
              </w:rPr>
              <w:t>[Regie: Batch-Migration via Figshare-Tool ist auf der Folie erwähnt – nur bei Nachfragen erläutern.]</w:t>
            </w:r>
          </w:p>
        </w:tc>
        <w:tc>
          <w:tcPr>
            <w:tcW w:w="2706" w:type="dxa"/>
            <w:tcBorders>
              <w:top w:val="none" w:sz="0" w:space="0" w:color="FFFFFF"/>
              <w:left w:val="none" w:sz="0" w:space="0" w:color="FFFFFF"/>
              <w:bottom w:val="none" w:sz="0" w:space="0" w:color="FFFFFF"/>
              <w:right w:val="none" w:sz="0" w:space="0" w:color="FFFFFF"/>
            </w:tcBorders>
            <w:shd w:val="clear" w:color="auto" w:fill="EBF3FB"/>
            <w:tcMar>
              <w:top w:w="60" w:type="dxa"/>
              <w:left w:w="160" w:type="dxa"/>
              <w:bottom w:w="60" w:type="dxa"/>
              <w:right w:w="0" w:type="dxa"/>
            </w:tcMar>
          </w:tcPr>
          <w:p w14:paraId="20B0AABF" w14:textId="77777777" w:rsidR="005167E1" w:rsidRDefault="00000000">
            <w:pPr>
              <w:spacing w:after="80"/>
            </w:pPr>
            <w:r>
              <w:rPr>
                <w:i/>
                <w:iCs/>
                <w:color w:val="2E6DA4"/>
                <w:sz w:val="18"/>
                <w:szCs w:val="18"/>
              </w:rPr>
              <w:t>S. 362: „Die 80/20-Regel, was bedeutet, dass wir darauf abzielen, eine einheitliche und verwaltete Infrastruktur für 80 % der Projekte im Bereich der Digital Humanities anzubieten.“ – Fn. 45–46 (Batch-Migration).</w:t>
            </w:r>
          </w:p>
        </w:tc>
      </w:tr>
    </w:tbl>
    <w:p w14:paraId="55B3E30A" w14:textId="77777777" w:rsidR="00734FA1" w:rsidRDefault="00734FA1">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20"/>
        <w:gridCol w:w="2706"/>
      </w:tblGrid>
      <w:tr w:rsidR="005167E1" w14:paraId="48F68B3C"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7A73D670" w14:textId="77777777" w:rsidR="005167E1" w:rsidRDefault="00000000">
            <w:r>
              <w:rPr>
                <w:b/>
                <w:bCs/>
                <w:color w:val="FFFFFF"/>
                <w:sz w:val="26"/>
                <w:szCs w:val="26"/>
              </w:rPr>
              <w:lastRenderedPageBreak/>
              <w:t xml:space="preserve">Folie 12 – Fallstudie: Grave Goods / Novum Inventorium Sepulchrale   </w:t>
            </w:r>
            <w:r>
              <w:rPr>
                <w:i/>
                <w:iCs/>
                <w:color w:val="DDEEFF"/>
                <w:sz w:val="20"/>
                <w:szCs w:val="20"/>
              </w:rPr>
              <w:t>⏱ ca. 1:15 min</w:t>
            </w:r>
          </w:p>
        </w:tc>
      </w:tr>
      <w:tr w:rsidR="005167E1" w14:paraId="67DC93B4" w14:textId="77777777">
        <w:tblPrEx>
          <w:tblCellMar>
            <w:top w:w="0" w:type="dxa"/>
            <w:bottom w:w="0" w:type="dxa"/>
          </w:tblCellMar>
        </w:tblPrEx>
        <w:tc>
          <w:tcPr>
            <w:tcW w:w="632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60" w:type="dxa"/>
            </w:tcMar>
          </w:tcPr>
          <w:p w14:paraId="35486313" w14:textId="27A309CE" w:rsidR="005167E1" w:rsidRDefault="00000000">
            <w:pPr>
              <w:spacing w:after="160"/>
            </w:pPr>
            <w:r>
              <w:rPr>
                <w:color w:val="000000"/>
              </w:rPr>
              <w:t>Ich möchte mit einem konkreten Fallbeispiel schließen, das all diese Prinzipien lebendig macht. Das Novum Inventorium Sepulchrale – eine Sammlung ke</w:t>
            </w:r>
            <w:r w:rsidR="00734FA1">
              <w:rPr>
                <w:color w:val="000000"/>
              </w:rPr>
              <w:t>l</w:t>
            </w:r>
            <w:r>
              <w:rPr>
                <w:color w:val="000000"/>
              </w:rPr>
              <w:t>tischer und angelsächsischer Grabbeigaben aus dem Sonia Hawkes Archive.</w:t>
            </w:r>
          </w:p>
        </w:tc>
        <w:tc>
          <w:tcPr>
            <w:tcW w:w="2706" w:type="dxa"/>
            <w:tcBorders>
              <w:top w:val="none" w:sz="0" w:space="0" w:color="FFFFFF"/>
              <w:left w:val="none" w:sz="0" w:space="0" w:color="FFFFFF"/>
              <w:bottom w:val="none" w:sz="0" w:space="0" w:color="FFFFFF"/>
              <w:right w:val="none" w:sz="0" w:space="0" w:color="FFFFFF"/>
            </w:tcBorders>
            <w:shd w:val="clear" w:color="auto" w:fill="EBF3FB"/>
            <w:tcMar>
              <w:top w:w="60" w:type="dxa"/>
              <w:left w:w="160" w:type="dxa"/>
              <w:bottom w:w="60" w:type="dxa"/>
              <w:right w:w="0" w:type="dxa"/>
            </w:tcMar>
          </w:tcPr>
          <w:p w14:paraId="350DA76B" w14:textId="77777777" w:rsidR="005167E1" w:rsidRDefault="00000000">
            <w:pPr>
              <w:spacing w:after="80"/>
            </w:pPr>
            <w:r>
              <w:rPr>
                <w:i/>
                <w:iCs/>
                <w:color w:val="2E6DA4"/>
                <w:sz w:val="18"/>
                <w:szCs w:val="18"/>
              </w:rPr>
              <w:t>S. 363–364: „Das Projekt ‘Novum Inventorium Sepulchrale – Kentische und angelsächsische Grabbeigaben im Sonia-Hawkes-Archiv’.“  Fn. 49.</w:t>
            </w:r>
          </w:p>
        </w:tc>
      </w:tr>
      <w:tr w:rsidR="005167E1" w14:paraId="090D4061" w14:textId="77777777">
        <w:tblPrEx>
          <w:tblCellMar>
            <w:top w:w="0" w:type="dxa"/>
            <w:bottom w:w="0" w:type="dxa"/>
          </w:tblCellMar>
        </w:tblPrEx>
        <w:tc>
          <w:tcPr>
            <w:tcW w:w="632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60" w:type="dxa"/>
            </w:tcMar>
          </w:tcPr>
          <w:p w14:paraId="141B4672" w14:textId="55CC9957" w:rsidR="005167E1" w:rsidRDefault="00000000">
            <w:pPr>
              <w:spacing w:after="160"/>
            </w:pPr>
            <w:r>
              <w:rPr>
                <w:color w:val="000000"/>
              </w:rPr>
              <w:t xml:space="preserve">Das Projekt hatte ursprünglich eine voll funktionsfähige Datenbank mit durchsuchbarem Web-Frontend, Tausenden von Bildern und umfangreichen Metadaten für rund 1.000 Gräber. 2018 ging es auf unbestimmte Zeit offline. Was blieb: zwei Metadaten-Tabellen auf einer einzigen Projektwebseite. Keine Suche, keine Bilder, kaum </w:t>
            </w:r>
            <w:r w:rsidR="00734FA1">
              <w:rPr>
                <w:color w:val="000000"/>
              </w:rPr>
              <w:t xml:space="preserve">Zugang. </w:t>
            </w:r>
          </w:p>
        </w:tc>
        <w:tc>
          <w:tcPr>
            <w:tcW w:w="2706" w:type="dxa"/>
            <w:tcBorders>
              <w:top w:val="none" w:sz="0" w:space="0" w:color="FFFFFF"/>
              <w:left w:val="none" w:sz="0" w:space="0" w:color="FFFFFF"/>
              <w:bottom w:val="none" w:sz="0" w:space="0" w:color="FFFFFF"/>
              <w:right w:val="none" w:sz="0" w:space="0" w:color="FFFFFF"/>
            </w:tcBorders>
            <w:shd w:val="clear" w:color="auto" w:fill="EBF3FB"/>
            <w:tcMar>
              <w:top w:w="60" w:type="dxa"/>
              <w:left w:w="160" w:type="dxa"/>
              <w:bottom w:w="60" w:type="dxa"/>
              <w:right w:w="0" w:type="dxa"/>
            </w:tcMar>
          </w:tcPr>
          <w:p w14:paraId="756A4606" w14:textId="77777777" w:rsidR="005167E1" w:rsidRDefault="00000000">
            <w:pPr>
              <w:spacing w:after="80"/>
            </w:pPr>
            <w:r>
              <w:rPr>
                <w:i/>
                <w:iCs/>
                <w:color w:val="2E6DA4"/>
                <w:sz w:val="18"/>
                <w:szCs w:val="18"/>
              </w:rPr>
              <w:t>S. 363–364: „Da das Projekt jedoch 2018 auf unbestimmte Zeit offline ging, blieb lediglich der Zugriff auf zwei Metadaten-Tabellen auf einer einzigen Projektwebseite.“</w:t>
            </w:r>
          </w:p>
        </w:tc>
      </w:tr>
      <w:tr w:rsidR="005167E1" w14:paraId="218ACB61" w14:textId="77777777">
        <w:tblPrEx>
          <w:tblCellMar>
            <w:top w:w="0" w:type="dxa"/>
            <w:bottom w:w="0" w:type="dxa"/>
          </w:tblCellMar>
        </w:tblPrEx>
        <w:tc>
          <w:tcPr>
            <w:tcW w:w="632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60" w:type="dxa"/>
            </w:tcMar>
          </w:tcPr>
          <w:p w14:paraId="5C6B87CD" w14:textId="24719708" w:rsidR="005167E1" w:rsidRDefault="00000000">
            <w:pPr>
              <w:spacing w:after="160"/>
            </w:pPr>
            <w:r>
              <w:rPr>
                <w:color w:val="000000"/>
              </w:rPr>
              <w:t xml:space="preserve">2021 kontaktierte Prof. Helena Hamerow von der School of Archaeology das SDS-Team. Nach den üblichen Schritten – Abstimmung, Metadaten-Bereinigung, Mapping – war das Projekt innerhalb von circa 6 Arbeitstagen vollständig </w:t>
            </w:r>
            <w:r w:rsidR="00734FA1">
              <w:rPr>
                <w:color w:val="000000"/>
              </w:rPr>
              <w:t xml:space="preserve">migriert. </w:t>
            </w:r>
          </w:p>
        </w:tc>
        <w:tc>
          <w:tcPr>
            <w:tcW w:w="2706" w:type="dxa"/>
            <w:tcBorders>
              <w:top w:val="none" w:sz="0" w:space="0" w:color="FFFFFF"/>
              <w:left w:val="none" w:sz="0" w:space="0" w:color="FFFFFF"/>
              <w:bottom w:val="none" w:sz="0" w:space="0" w:color="FFFFFF"/>
              <w:right w:val="none" w:sz="0" w:space="0" w:color="FFFFFF"/>
            </w:tcBorders>
            <w:shd w:val="clear" w:color="auto" w:fill="EBF3FB"/>
            <w:tcMar>
              <w:top w:w="60" w:type="dxa"/>
              <w:left w:w="160" w:type="dxa"/>
              <w:bottom w:w="60" w:type="dxa"/>
              <w:right w:w="0" w:type="dxa"/>
            </w:tcMar>
          </w:tcPr>
          <w:p w14:paraId="2445B704" w14:textId="77777777" w:rsidR="005167E1" w:rsidRDefault="00000000">
            <w:pPr>
              <w:spacing w:after="80"/>
            </w:pPr>
            <w:r>
              <w:rPr>
                <w:i/>
                <w:iCs/>
                <w:color w:val="2E6DA4"/>
                <w:sz w:val="18"/>
                <w:szCs w:val="18"/>
              </w:rPr>
              <w:t>S. 364: „[I]nnerhalb von etwa 6 Tagen vollständig migriert, und die Daten waren wieder offen und verfügbar.“</w:t>
            </w:r>
          </w:p>
        </w:tc>
      </w:tr>
      <w:tr w:rsidR="005167E1" w14:paraId="72F57C93" w14:textId="77777777">
        <w:tblPrEx>
          <w:tblCellMar>
            <w:top w:w="0" w:type="dxa"/>
            <w:bottom w:w="0" w:type="dxa"/>
          </w:tblCellMar>
        </w:tblPrEx>
        <w:tc>
          <w:tcPr>
            <w:tcW w:w="632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60" w:type="dxa"/>
            </w:tcMar>
          </w:tcPr>
          <w:p w14:paraId="64A9012F" w14:textId="6E38FB6B" w:rsidR="005167E1" w:rsidRDefault="00000000">
            <w:pPr>
              <w:spacing w:after="160"/>
            </w:pPr>
            <w:r>
              <w:rPr>
                <w:color w:val="000000"/>
              </w:rPr>
              <w:t xml:space="preserve">Das Ergebnis: 4.800 Datensätze und über 6.000 Bilddateien sind wieder offen und </w:t>
            </w:r>
            <w:r w:rsidR="00734FA1">
              <w:rPr>
                <w:color w:val="000000"/>
              </w:rPr>
              <w:t xml:space="preserve">verfügbar. </w:t>
            </w:r>
          </w:p>
        </w:tc>
        <w:tc>
          <w:tcPr>
            <w:tcW w:w="2706" w:type="dxa"/>
            <w:tcBorders>
              <w:top w:val="none" w:sz="0" w:space="0" w:color="FFFFFF"/>
              <w:left w:val="none" w:sz="0" w:space="0" w:color="FFFFFF"/>
              <w:bottom w:val="none" w:sz="0" w:space="0" w:color="FFFFFF"/>
              <w:right w:val="none" w:sz="0" w:space="0" w:color="FFFFFF"/>
            </w:tcBorders>
            <w:shd w:val="clear" w:color="auto" w:fill="EBF3FB"/>
            <w:tcMar>
              <w:top w:w="60" w:type="dxa"/>
              <w:left w:w="160" w:type="dxa"/>
              <w:bottom w:w="60" w:type="dxa"/>
              <w:right w:w="0" w:type="dxa"/>
            </w:tcMar>
          </w:tcPr>
          <w:p w14:paraId="429F43B6" w14:textId="77777777" w:rsidR="005167E1" w:rsidRDefault="00000000">
            <w:pPr>
              <w:spacing w:after="80"/>
            </w:pPr>
            <w:r>
              <w:rPr>
                <w:i/>
                <w:iCs/>
                <w:color w:val="2E6DA4"/>
                <w:sz w:val="18"/>
                <w:szCs w:val="18"/>
              </w:rPr>
              <w:t>S. 364: „Dieses Projekt, das Metadaten für ca. 4.800 Datensätze und über 6.000 Bilder umfasst.“</w:t>
            </w:r>
          </w:p>
        </w:tc>
      </w:tr>
      <w:tr w:rsidR="005167E1" w14:paraId="56BEEC01" w14:textId="77777777">
        <w:tblPrEx>
          <w:tblCellMar>
            <w:top w:w="0" w:type="dxa"/>
            <w:bottom w:w="0" w:type="dxa"/>
          </w:tblCellMar>
        </w:tblPrEx>
        <w:tc>
          <w:tcPr>
            <w:tcW w:w="632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60" w:type="dxa"/>
            </w:tcMar>
          </w:tcPr>
          <w:p w14:paraId="4EB8FCFA" w14:textId="77777777" w:rsidR="005167E1" w:rsidRDefault="00000000">
            <w:pPr>
              <w:spacing w:after="160"/>
            </w:pPr>
            <w:r>
              <w:rPr>
                <w:color w:val="000000"/>
              </w:rPr>
              <w:t>Und das Urteil von Prof. Hamerow selbst:</w:t>
            </w:r>
          </w:p>
          <w:p w14:paraId="29CDDA1D" w14:textId="77777777" w:rsidR="005167E1" w:rsidRDefault="00000000">
            <w:pPr>
              <w:spacing w:before="80" w:after="100"/>
            </w:pPr>
            <w:r>
              <w:rPr>
                <w:b/>
                <w:bCs/>
                <w:i/>
                <w:iCs/>
                <w:color w:val="000000"/>
              </w:rPr>
              <w:t>„Eine wertvolle, webbasierte archäologische Ressource, die vor Jahren offline gegangen war und nun wieder genutzt wird.“</w:t>
            </w:r>
          </w:p>
          <w:p w14:paraId="59355576" w14:textId="77777777" w:rsidR="005167E1" w:rsidRDefault="00000000">
            <w:pPr>
              <w:spacing w:after="160"/>
            </w:pPr>
            <w:r>
              <w:rPr>
                <w:color w:val="000000"/>
              </w:rPr>
              <w:t>Kein großes Versprechen. Keine Digitalstrategie. Eine schlichte Feststellung – und gerade deshalb so überzeugend.</w:t>
            </w:r>
          </w:p>
        </w:tc>
        <w:tc>
          <w:tcPr>
            <w:tcW w:w="2706" w:type="dxa"/>
            <w:tcBorders>
              <w:top w:val="none" w:sz="0" w:space="0" w:color="FFFFFF"/>
              <w:left w:val="none" w:sz="0" w:space="0" w:color="FFFFFF"/>
              <w:bottom w:val="none" w:sz="0" w:space="0" w:color="FFFFFF"/>
              <w:right w:val="none" w:sz="0" w:space="0" w:color="FFFFFF"/>
            </w:tcBorders>
            <w:shd w:val="clear" w:color="auto" w:fill="EBF3FB"/>
            <w:tcMar>
              <w:top w:w="60" w:type="dxa"/>
              <w:left w:w="160" w:type="dxa"/>
              <w:bottom w:w="60" w:type="dxa"/>
              <w:right w:w="0" w:type="dxa"/>
            </w:tcMar>
          </w:tcPr>
          <w:p w14:paraId="6E1C8248" w14:textId="77777777" w:rsidR="005167E1" w:rsidRDefault="00000000">
            <w:pPr>
              <w:spacing w:after="80"/>
            </w:pPr>
            <w:r>
              <w:rPr>
                <w:i/>
                <w:iCs/>
                <w:color w:val="2E6DA4"/>
                <w:sz w:val="18"/>
                <w:szCs w:val="18"/>
              </w:rPr>
              <w:t>S. 364 (wörtliches Zitat Prof. Hamerow, Fn. 50): Die Autoren zitieren diese Aussage als Beleg für den praktischen Erfolg retroaktiver Nachhaltigkeit.</w:t>
            </w:r>
          </w:p>
        </w:tc>
      </w:tr>
    </w:tbl>
    <w:p w14:paraId="05C45615" w14:textId="77777777" w:rsidR="00734FA1" w:rsidRDefault="00734FA1">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20"/>
        <w:gridCol w:w="2706"/>
      </w:tblGrid>
      <w:tr w:rsidR="005167E1" w14:paraId="42F4D708"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57CF336E" w14:textId="77777777" w:rsidR="005167E1" w:rsidRDefault="00000000">
            <w:r>
              <w:rPr>
                <w:b/>
                <w:bCs/>
                <w:color w:val="FFFFFF"/>
                <w:sz w:val="26"/>
                <w:szCs w:val="26"/>
              </w:rPr>
              <w:lastRenderedPageBreak/>
              <w:t xml:space="preserve">Schluss und Diskussion   </w:t>
            </w:r>
            <w:r>
              <w:rPr>
                <w:i/>
                <w:iCs/>
                <w:color w:val="DDEEFF"/>
                <w:sz w:val="20"/>
                <w:szCs w:val="20"/>
              </w:rPr>
              <w:t>⏱ ca. 0:30 min</w:t>
            </w:r>
          </w:p>
        </w:tc>
      </w:tr>
      <w:tr w:rsidR="005167E1" w14:paraId="0C7893FF" w14:textId="77777777">
        <w:tblPrEx>
          <w:tblCellMar>
            <w:top w:w="0" w:type="dxa"/>
            <w:bottom w:w="0" w:type="dxa"/>
          </w:tblCellMar>
        </w:tblPrEx>
        <w:tc>
          <w:tcPr>
            <w:tcW w:w="632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60" w:type="dxa"/>
            </w:tcMar>
          </w:tcPr>
          <w:p w14:paraId="45EA201A" w14:textId="77777777" w:rsidR="005167E1" w:rsidRDefault="00000000">
            <w:pPr>
              <w:spacing w:after="160"/>
            </w:pPr>
            <w:r>
              <w:rPr>
                <w:color w:val="000000"/>
              </w:rPr>
              <w:t>Was lehrt uns die Oxford Case Study? Drei Beobachtungen:</w:t>
            </w:r>
          </w:p>
        </w:tc>
        <w:tc>
          <w:tcPr>
            <w:tcW w:w="2706" w:type="dxa"/>
            <w:tcBorders>
              <w:top w:val="none" w:sz="0" w:space="0" w:color="FFFFFF"/>
              <w:left w:val="none" w:sz="0" w:space="0" w:color="FFFFFF"/>
              <w:bottom w:val="none" w:sz="0" w:space="0" w:color="FFFFFF"/>
              <w:right w:val="none" w:sz="0" w:space="0" w:color="FFFFFF"/>
            </w:tcBorders>
            <w:shd w:val="clear" w:color="auto" w:fill="EBF3FB"/>
            <w:tcMar>
              <w:top w:w="60" w:type="dxa"/>
              <w:left w:w="160" w:type="dxa"/>
              <w:bottom w:w="60" w:type="dxa"/>
              <w:right w:w="0" w:type="dxa"/>
            </w:tcMar>
          </w:tcPr>
          <w:p w14:paraId="41DE6940" w14:textId="77777777" w:rsidR="005167E1" w:rsidRDefault="00000000">
            <w:pPr>
              <w:spacing w:after="80"/>
            </w:pPr>
            <w:r>
              <w:rPr>
                <w:i/>
                <w:iCs/>
                <w:color w:val="2E6DA4"/>
                <w:sz w:val="18"/>
                <w:szCs w:val="18"/>
              </w:rPr>
              <w:t>S. 364–365: Fazit-Abschnitt.</w:t>
            </w:r>
          </w:p>
        </w:tc>
      </w:tr>
      <w:tr w:rsidR="005167E1" w14:paraId="36665C5F" w14:textId="77777777">
        <w:tblPrEx>
          <w:tblCellMar>
            <w:top w:w="0" w:type="dxa"/>
            <w:bottom w:w="0" w:type="dxa"/>
          </w:tblCellMar>
        </w:tblPrEx>
        <w:tc>
          <w:tcPr>
            <w:tcW w:w="632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60" w:type="dxa"/>
            </w:tcMar>
          </w:tcPr>
          <w:p w14:paraId="08D245A7" w14:textId="14A3DFA4" w:rsidR="005167E1" w:rsidRDefault="00000000">
            <w:pPr>
              <w:spacing w:after="160"/>
            </w:pPr>
            <w:r>
              <w:rPr>
                <w:color w:val="000000"/>
              </w:rPr>
              <w:t xml:space="preserve">Erstens: Nachhaltigkeit ist keine Frage der Technologie allein, sondern der Kombination aus Technologie, Prozessen und Menschen. SDS ist ein Dienst, kein </w:t>
            </w:r>
            <w:r w:rsidR="00734FA1">
              <w:rPr>
                <w:color w:val="000000"/>
              </w:rPr>
              <w:t xml:space="preserve">System. </w:t>
            </w:r>
          </w:p>
        </w:tc>
        <w:tc>
          <w:tcPr>
            <w:tcW w:w="2706" w:type="dxa"/>
            <w:tcBorders>
              <w:top w:val="none" w:sz="0" w:space="0" w:color="FFFFFF"/>
              <w:left w:val="none" w:sz="0" w:space="0" w:color="FFFFFF"/>
              <w:bottom w:val="none" w:sz="0" w:space="0" w:color="FFFFFF"/>
              <w:right w:val="none" w:sz="0" w:space="0" w:color="FFFFFF"/>
            </w:tcBorders>
            <w:shd w:val="clear" w:color="auto" w:fill="EBF3FB"/>
            <w:tcMar>
              <w:top w:w="60" w:type="dxa"/>
              <w:left w:w="160" w:type="dxa"/>
              <w:bottom w:w="60" w:type="dxa"/>
              <w:right w:w="0" w:type="dxa"/>
            </w:tcMar>
          </w:tcPr>
          <w:p w14:paraId="05C6CAFF" w14:textId="77777777" w:rsidR="005167E1" w:rsidRDefault="00000000">
            <w:pPr>
              <w:spacing w:after="80"/>
            </w:pPr>
            <w:r>
              <w:rPr>
                <w:i/>
                <w:iCs/>
                <w:color w:val="2E6DA4"/>
                <w:sz w:val="18"/>
                <w:szCs w:val="18"/>
              </w:rPr>
              <w:t>S. 359: „Digitale Nachhaltigkeit ist für viele Institutionen ein großes und wachsendes Thema, dessen Herausforderungen nicht nur technischer Natur sind, sondern auch mit der kulturellen Akzeptanz des Forschungsdatenmanagements durch die Forschenden zusammenhängen.“  Fn. 44.</w:t>
            </w:r>
          </w:p>
        </w:tc>
      </w:tr>
      <w:tr w:rsidR="005167E1" w14:paraId="353A5C2B" w14:textId="77777777">
        <w:tblPrEx>
          <w:tblCellMar>
            <w:top w:w="0" w:type="dxa"/>
            <w:bottom w:w="0" w:type="dxa"/>
          </w:tblCellMar>
        </w:tblPrEx>
        <w:tc>
          <w:tcPr>
            <w:tcW w:w="632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60" w:type="dxa"/>
            </w:tcMar>
          </w:tcPr>
          <w:p w14:paraId="0FF28A26" w14:textId="77777777" w:rsidR="005167E1" w:rsidRDefault="00000000">
            <w:pPr>
              <w:spacing w:after="160"/>
            </w:pPr>
            <w:r>
              <w:rPr>
                <w:color w:val="000000"/>
              </w:rPr>
              <w:t>Zweitens: Das Finanzierungsmodell ist Teil der Lösung. SDS ist als kleine Forschungseinheit eingerichtet – Forscher können es als Posten in Förderanträgen angeben. Nachhaltigkeit muss sich selbst tragen können.</w:t>
            </w:r>
          </w:p>
        </w:tc>
        <w:tc>
          <w:tcPr>
            <w:tcW w:w="2706" w:type="dxa"/>
            <w:tcBorders>
              <w:top w:val="none" w:sz="0" w:space="0" w:color="FFFFFF"/>
              <w:left w:val="none" w:sz="0" w:space="0" w:color="FFFFFF"/>
              <w:bottom w:val="none" w:sz="0" w:space="0" w:color="FFFFFF"/>
              <w:right w:val="none" w:sz="0" w:space="0" w:color="FFFFFF"/>
            </w:tcBorders>
            <w:shd w:val="clear" w:color="auto" w:fill="EBF3FB"/>
            <w:tcMar>
              <w:top w:w="60" w:type="dxa"/>
              <w:left w:w="160" w:type="dxa"/>
              <w:bottom w:w="60" w:type="dxa"/>
              <w:right w:w="0" w:type="dxa"/>
            </w:tcMar>
          </w:tcPr>
          <w:p w14:paraId="66AA7AEA" w14:textId="77777777" w:rsidR="005167E1" w:rsidRDefault="00000000">
            <w:pPr>
              <w:spacing w:after="80"/>
            </w:pPr>
            <w:r>
              <w:rPr>
                <w:i/>
                <w:iCs/>
                <w:color w:val="2E6DA4"/>
                <w:sz w:val="18"/>
                <w:szCs w:val="18"/>
              </w:rPr>
              <w:t>S. 364: „Der Dienst ist als kleine Forschungseinrichtung an der Universität eingerichtet, was es Forschern [...] ermöglicht, SDS als Posten in Forschungsanträgen anzugeben.“</w:t>
            </w:r>
          </w:p>
        </w:tc>
      </w:tr>
      <w:tr w:rsidR="005167E1" w14:paraId="359AF319" w14:textId="77777777">
        <w:tblPrEx>
          <w:tblCellMar>
            <w:top w:w="0" w:type="dxa"/>
            <w:bottom w:w="0" w:type="dxa"/>
          </w:tblCellMar>
        </w:tblPrEx>
        <w:tc>
          <w:tcPr>
            <w:tcW w:w="632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60" w:type="dxa"/>
            </w:tcMar>
          </w:tcPr>
          <w:p w14:paraId="1AEEAC73" w14:textId="77777777" w:rsidR="005167E1" w:rsidRDefault="00000000">
            <w:pPr>
              <w:spacing w:after="160"/>
            </w:pPr>
            <w:r>
              <w:rPr>
                <w:color w:val="000000"/>
              </w:rPr>
              <w:t>Drittens: Der Artikel selbst ist Open Access, CC BY 4.0. Das ist symptomatisch für einen Ansatz, der Offenheit nicht nur fordert, sondern vorlebt.</w:t>
            </w:r>
          </w:p>
          <w:p w14:paraId="515A6E8D" w14:textId="77777777" w:rsidR="005167E1" w:rsidRDefault="00000000">
            <w:pPr>
              <w:pBdr>
                <w:left w:val="single" w:sz="6" w:space="8" w:color="AAAAAA"/>
              </w:pBdr>
              <w:spacing w:before="60" w:after="100"/>
              <w:ind w:left="200"/>
            </w:pPr>
            <w:r>
              <w:rPr>
                <w:i/>
                <w:iCs/>
                <w:color w:val="888888"/>
                <w:sz w:val="19"/>
                <w:szCs w:val="19"/>
              </w:rPr>
              <w:t>[Diskussionsfragen: Wie übertragbar ist das Oxford-Modell auf kleinere Universitäten? Erzeugt die Abhängigkeit von Figshare eine neue Form von Lock-in? Wer sichert langfristig die Finanzierung des SDS-Dienstes selbst?]</w:t>
            </w:r>
          </w:p>
        </w:tc>
        <w:tc>
          <w:tcPr>
            <w:tcW w:w="2706" w:type="dxa"/>
            <w:tcBorders>
              <w:top w:val="none" w:sz="0" w:space="0" w:color="FFFFFF"/>
              <w:left w:val="none" w:sz="0" w:space="0" w:color="FFFFFF"/>
              <w:bottom w:val="none" w:sz="0" w:space="0" w:color="FFFFFF"/>
              <w:right w:val="none" w:sz="0" w:space="0" w:color="FFFFFF"/>
            </w:tcBorders>
            <w:shd w:val="clear" w:color="auto" w:fill="EBF3FB"/>
            <w:tcMar>
              <w:top w:w="60" w:type="dxa"/>
              <w:left w:w="160" w:type="dxa"/>
              <w:bottom w:w="60" w:type="dxa"/>
              <w:right w:w="0" w:type="dxa"/>
            </w:tcMar>
          </w:tcPr>
          <w:p w14:paraId="154FE899" w14:textId="77777777" w:rsidR="005167E1" w:rsidRDefault="00000000">
            <w:pPr>
              <w:spacing w:after="80"/>
            </w:pPr>
            <w:r>
              <w:rPr>
                <w:i/>
                <w:iCs/>
                <w:color w:val="2E6DA4"/>
                <w:sz w:val="18"/>
                <w:szCs w:val="18"/>
              </w:rPr>
              <w:t>Artikelkopf, S. 348: CC BY 4.0-Lizenz (Open Access). – Zur Lock-in-Frage: S. 359, Ausstiegsstrategie.</w:t>
            </w:r>
          </w:p>
        </w:tc>
      </w:tr>
    </w:tbl>
    <w:p w14:paraId="146CE4CB" w14:textId="77777777" w:rsidR="00994B63" w:rsidRDefault="00994B63"/>
    <w:sectPr w:rsidR="00994B63">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07F3E"/>
    <w:multiLevelType w:val="hybridMultilevel"/>
    <w:tmpl w:val="6AB0420E"/>
    <w:lvl w:ilvl="0" w:tplc="68AAC4B8">
      <w:start w:val="1"/>
      <w:numFmt w:val="bullet"/>
      <w:lvlText w:val="●"/>
      <w:lvlJc w:val="left"/>
      <w:pPr>
        <w:ind w:left="720" w:hanging="360"/>
      </w:pPr>
    </w:lvl>
    <w:lvl w:ilvl="1" w:tplc="47A4D528">
      <w:start w:val="1"/>
      <w:numFmt w:val="bullet"/>
      <w:lvlText w:val="○"/>
      <w:lvlJc w:val="left"/>
      <w:pPr>
        <w:ind w:left="1440" w:hanging="360"/>
      </w:pPr>
    </w:lvl>
    <w:lvl w:ilvl="2" w:tplc="1F6CEB5E">
      <w:start w:val="1"/>
      <w:numFmt w:val="bullet"/>
      <w:lvlText w:val="■"/>
      <w:lvlJc w:val="left"/>
      <w:pPr>
        <w:ind w:left="2160" w:hanging="360"/>
      </w:pPr>
    </w:lvl>
    <w:lvl w:ilvl="3" w:tplc="12DAB76E">
      <w:start w:val="1"/>
      <w:numFmt w:val="bullet"/>
      <w:lvlText w:val="●"/>
      <w:lvlJc w:val="left"/>
      <w:pPr>
        <w:ind w:left="2880" w:hanging="360"/>
      </w:pPr>
    </w:lvl>
    <w:lvl w:ilvl="4" w:tplc="6E5E811C">
      <w:start w:val="1"/>
      <w:numFmt w:val="bullet"/>
      <w:lvlText w:val="○"/>
      <w:lvlJc w:val="left"/>
      <w:pPr>
        <w:ind w:left="3600" w:hanging="360"/>
      </w:pPr>
    </w:lvl>
    <w:lvl w:ilvl="5" w:tplc="7D30302E">
      <w:start w:val="1"/>
      <w:numFmt w:val="bullet"/>
      <w:lvlText w:val="■"/>
      <w:lvlJc w:val="left"/>
      <w:pPr>
        <w:ind w:left="4320" w:hanging="360"/>
      </w:pPr>
    </w:lvl>
    <w:lvl w:ilvl="6" w:tplc="A89036D4">
      <w:start w:val="1"/>
      <w:numFmt w:val="bullet"/>
      <w:lvlText w:val="●"/>
      <w:lvlJc w:val="left"/>
      <w:pPr>
        <w:ind w:left="5040" w:hanging="360"/>
      </w:pPr>
    </w:lvl>
    <w:lvl w:ilvl="7" w:tplc="B6F0BC60">
      <w:start w:val="1"/>
      <w:numFmt w:val="bullet"/>
      <w:lvlText w:val="●"/>
      <w:lvlJc w:val="left"/>
      <w:pPr>
        <w:ind w:left="5760" w:hanging="360"/>
      </w:pPr>
    </w:lvl>
    <w:lvl w:ilvl="8" w:tplc="4A38CD3A">
      <w:start w:val="1"/>
      <w:numFmt w:val="bullet"/>
      <w:lvlText w:val="●"/>
      <w:lvlJc w:val="left"/>
      <w:pPr>
        <w:ind w:left="6480" w:hanging="360"/>
      </w:pPr>
    </w:lvl>
  </w:abstractNum>
  <w:num w:numId="1" w16cid:durableId="6398425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7E1"/>
    <w:rsid w:val="005167E1"/>
    <w:rsid w:val="00734FA1"/>
    <w:rsid w:val="00994B63"/>
    <w:rsid w:val="00DE6D86"/>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5C16E"/>
  <w15:docId w15:val="{F6DD227A-5548-4A8F-9844-C1CFD4F1A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AT" w:eastAsia="de-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1986</Words>
  <Characters>12518</Characters>
  <Application>Microsoft Office Word</Application>
  <DocSecurity>0</DocSecurity>
  <Lines>104</Lines>
  <Paragraphs>28</Paragraphs>
  <ScaleCrop>false</ScaleCrop>
  <Company/>
  <LinksUpToDate>false</LinksUpToDate>
  <CharactersWithSpaces>14476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Albert Brugnara</cp:lastModifiedBy>
  <cp:revision>2</cp:revision>
  <dcterms:created xsi:type="dcterms:W3CDTF">2026-04-29T22:13:00Z</dcterms:created>
  <dcterms:modified xsi:type="dcterms:W3CDTF">2026-04-29T22:13:00Z</dcterms:modified>
</cp:coreProperties>
</file>