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TibetanTEI</w:t>
      </w:r>
    </w:p>
    <w:p>
      <w:pPr>
        <w:spacing w:after="100"/>
        <w:jc w:val="center"/>
      </w:pPr>
      <w:r>
        <w:rPr>
          <w:sz w:val="36"/>
          <w:szCs w:val="36"/>
        </w:rPr>
        <w:t xml:space="preserve">Editorial Guidelines</w:t>
      </w:r>
    </w:p>
    <w:p>
      <w:pPr>
        <w:spacing w:after="400"/>
        <w:jc w:val="center"/>
      </w:pPr>
      <w:r>
        <w:rPr>
          <w:i/>
          <w:iCs/>
          <w:sz w:val="24"/>
          <w:szCs w:val="24"/>
        </w:rPr>
        <w:t xml:space="preserve">Digital Edition of Classical Tibetan Texts</w:t>
      </w:r>
    </w:p>
    <w:p>
      <w:pPr>
        <w:spacing w:after="60"/>
        <w:jc w:val="center"/>
      </w:pPr>
      <w:r>
        <w:rPr>
          <w:sz w:val="22"/>
          <w:szCs w:val="22"/>
        </w:rPr>
        <w:t xml:space="preserve">Institute for South Asian, Tibetan and Buddhist Studies</w:t>
      </w:r>
    </w:p>
    <w:p>
      <w:pPr>
        <w:spacing w:after="400"/>
        <w:jc w:val="center"/>
      </w:pPr>
      <w:r>
        <w:rPr>
          <w:sz w:val="22"/>
          <w:szCs w:val="22"/>
        </w:rPr>
        <w:t xml:space="preserve">University of Vienna</w:t>
      </w:r>
    </w:p>
    <w:p>
      <w:pPr>
        <w:jc w:val="center"/>
      </w:pPr>
      <w:r>
        <w:rPr>
          <w:sz w:val="20"/>
          <w:szCs w:val="20"/>
        </w:rPr>
        <w:t xml:space="preserve">Version 1.0 — 18 May 2026</w:t>
      </w:r>
    </w:p>
    <w:p>
      <w:r>
        <w:br w:type="page"/>
      </w:r>
    </w:p>
    <w:p>
      <w:pPr>
        <w:pStyle w:val="Heading1"/>
        <w:spacing w:after="160" w:before="280"/>
      </w:pPr>
      <w:r>
        <w:t xml:space="preserve">1. Introduction and Project Goal</w:t>
      </w:r>
    </w:p>
    <w:p>
      <w:pPr>
        <w:spacing w:after="160"/>
      </w:pPr>
      <w:r>
        <w:t xml:space="preserve">TibetanTEI is a digital edition of classical Tibetan texts created within the framework of the seminar Digital Edition (directed by Prof. Viehhauser, Chair of Digital Editing, Institute for European and Comparative Literature and Language Studies, University of Vienna, and Horst Lasic, Institute for South Asian, Tibetan and Buddhist Studies, University of Vienna). The edition currently comprises seven textual witnesses from various literary genres of the Tibetan Buddhist tradition.</w:t>
      </w:r>
    </w:p>
    <w:p>
      <w:pPr>
        <w:spacing w:after="160"/>
      </w:pPr>
      <w:r>
        <w:t xml:space="preserve">The aim of the edition is to make historically significant Tibetan texts accessible in a scholarly valid, web-based form. The encoding follows the TEI P5 standard (Text Encoding Initiative, Guidelines P5) and is published as a static GitHub Pages website at https://www.brugnara.at.</w:t>
      </w:r>
    </w:p>
    <w:p>
      <w:pPr>
        <w:spacing w:after="160"/>
      </w:pPr>
      <w:r>
        <w:rPr>
          <w:b/>
          <w:bCs/>
        </w:rPr>
        <w:t xml:space="preserve">Technical basis: </w:t>
      </w:r>
      <w:r>
        <w:t xml:space="preserve">TEI P5 XML, JavaScript (fetch() + DOMParser), HTML5/CSS3, GitHub Pages. The texts are encoded in TEI P5-compliant XML and presented through a browser-based interface with tab navigation, facsimile display, zoom function, and person, place, role, and vocabulary registers (“Voc.” tab).</w:t>
      </w:r>
    </w:p>
    <w:p>
      <w:pPr>
        <w:pStyle w:val="Heading1"/>
        <w:spacing w:after="160" w:before="280"/>
      </w:pPr>
      <w:r>
        <w:t xml:space="preserve">2. File Structure and Naming</w:t>
      </w:r>
    </w:p>
    <w:p>
      <w:pPr>
        <w:pStyle w:val="Heading2"/>
        <w:spacing w:after="160" w:before="280"/>
      </w:pPr>
      <w:r>
        <w:t xml:space="preserve">2.1 XML File Names</w:t>
      </w:r>
    </w:p>
    <w:p>
      <w:pPr>
        <w:spacing w:after="160"/>
      </w:pPr>
      <w:r>
        <w:t xml:space="preserve">Each textual witness is given a sequential number followed by a short identifier. The format is:</w:t>
      </w:r>
    </w:p>
    <w:p>
      <w:pPr>
        <w:shd w:fill="F2F2F2" w:val="clear"/>
        <w:spacing w:after="60"/>
      </w:pPr>
      <w:r>
        <w:rPr>
          <w:rFonts w:ascii="Consolas" w:cs="Consolas" w:eastAsia="Consolas" w:hAnsi="Consolas"/>
          <w:sz w:val="19"/>
          <w:szCs w:val="19"/>
        </w:rPr>
        <w:t xml:space="preserve">N_short-identifier.xml</w:t>
      </w:r>
    </w:p>
    <w:p>
      <w:pPr>
        <w:spacing w:after="160"/>
      </w:pPr>
      <w:r>
        <w:t xml:space="preserve">The current seven textual witnesses: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File name</w:t>
            </w:r>
          </w:p>
        </w:tc>
        <w:tc>
          <w:tcPr>
            <w:tcW w:type="dxa" w:w="50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Text designation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1_gompopa.xml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Gampopa — Dwags po thar rgyan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2_dignaga.xml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Dignāga — Biography</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3_ganden.xml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Ganden — History of Religion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4_shrisena.xml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Śrīsena — Lam rim</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5_klong_chen_ran_'byam.xml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Klong chen rab 'byams — Chos bzhi</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6_shantideva_bca.xml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Śāntideva — Bodhicaryāvatāra</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7_r103.xml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Gong dkar rDo rje gdan pa — rNam thar</w:t>
            </w:r>
          </w:p>
        </w:tc>
      </w:tr>
    </w:tbl>
    <w:p>
      <w:pPr>
        <w:spacing w:after="160"/>
      </w:pPr>
      <w:r>
        <w:rPr>
          <w:b/>
          <w:bCs/>
        </w:rPr>
        <w:t xml:space="preserve">Rule: </w:t>
      </w:r>
      <w:r>
        <w:t xml:space="preserve">File names contain no spaces (exception: an apostrophe in Wylie transliteration is permitted, e.g. 5_klong_chen_ran_'byam.xml).</w:t>
      </w:r>
    </w:p>
    <w:p>
      <w:pPr>
        <w:pStyle w:val="Heading2"/>
        <w:spacing w:after="160" w:before="280"/>
      </w:pPr>
      <w:r>
        <w:t xml:space="preserve">2.2 Image Files and facs Paths</w:t>
      </w:r>
    </w:p>
    <w:p>
      <w:pPr>
        <w:spacing w:after="160"/>
      </w:pPr>
      <w:r>
        <w:t xml:space="preserve">Facsimile images are located in subfolders of content/images/ and are referenced in the @facs attribute of the &lt;pb&gt; element:</w:t>
      </w:r>
    </w:p>
    <w:p>
      <w:pPr>
        <w:shd w:fill="F2F2F2" w:val="clear"/>
        <w:spacing w:after="60"/>
      </w:pPr>
      <w:r>
        <w:rPr>
          <w:rFonts w:ascii="Consolas" w:cs="Consolas" w:eastAsia="Consolas" w:hAnsi="Consolas"/>
          <w:sz w:val="19"/>
          <w:szCs w:val="19"/>
        </w:rPr>
        <w:t xml:space="preserve">facs="../content/images/[folder]/[filename]"</w:t>
      </w:r>
    </w:p>
    <w:p>
      <w:pPr>
        <w:spacing w:after="160"/>
      </w:pPr>
      <w:r>
        <w:t xml:space="preserve">The path is relative to the XML file (in content/), so ../ leads to the root directory.</w:t>
      </w:r>
    </w:p>
    <w:p>
      <w:pPr>
        <w:spacing w:after="160"/>
      </w:pPr>
      <w:r>
        <w:rPr>
          <w:b/>
          <w:bCs/>
        </w:rPr>
        <w:t xml:space="preserve">Folder names: </w:t>
      </w:r>
      <w:r>
        <w:t xml:space="preserve">Folder names correspond exactly to the GitHub directory name (capitalisation, spaces, apostrophes).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Text</w:t>
            </w:r>
          </w:p>
        </w:tc>
        <w:tc>
          <w:tcPr>
            <w:tcW w:type="dxa" w:w="50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Image folder</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1_gompopa.xml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content/images/1_gompopa/</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2_dignaga.xml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content/images/2_dignaga/</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3_ganden.xml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content/images/Ganden history/</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4_shrisena.xml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content/images/Shrisena_dpal_gyi_sde_lam_rim/</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5_klong_chen_ran_'byam.xml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content/images/5_klong chen ran 'byam/</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6_shantideva_bca.xml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content/images/6_shantideva/</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7_r103.xml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content/images/r103/</w:t>
            </w:r>
          </w:p>
        </w:tc>
      </w:tr>
    </w:tbl>
    <w:p>
      <w:pPr>
        <w:pStyle w:val="Heading1"/>
        <w:spacing w:after="160" w:before="280"/>
      </w:pPr>
      <w:r>
        <w:t xml:space="preserve">3. TEI Header</w:t>
      </w:r>
    </w:p>
    <w:p>
      <w:pPr>
        <w:pStyle w:val="Heading2"/>
        <w:spacing w:after="160" w:before="280"/>
      </w:pPr>
      <w:r>
        <w:t xml:space="preserve">3.1 Mandatory Fields</w:t>
      </w:r>
    </w:p>
    <w:p>
      <w:pPr>
        <w:spacing w:after="160"/>
      </w:pPr>
      <w:r>
        <w:t xml:space="preserve">Every XML file must contain the following elements within &lt;teiHeader&gt;: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Element</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Content / Requirement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&lt;titleStmt&gt;&lt;title&gt;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Full title of the textual witness (Tibetan + German/English)</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&lt;titleStmt&gt;&lt;author&gt;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Author in Tibetan (xml:lang="bo") and Wylie (xml:lang="bo-Latn")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&lt;publicationStmt&gt;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publisher, distributor, licence (CC BY-SA 4.0)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&lt;sourceDesc&gt;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Description of the source, witnesses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&lt;encodingDesc&gt;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Encoding guidelines, tagsDecl, editorialDecl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&lt;profileDesc&gt;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Languages: bo, bo-Latn, de, en, sa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&lt;revisionDesc&gt;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Chronological change history with @when and @who</w:t>
            </w:r>
          </w:p>
        </w:tc>
      </w:tr>
    </w:tbl>
    <w:p>
      <w:pPr>
        <w:pStyle w:val="Heading2"/>
        <w:spacing w:after="160" w:before="280"/>
      </w:pPr>
      <w:r>
        <w:t xml:space="preserve">3.2 Language Codes (xml:lang)</w:t>
      </w:r>
    </w:p>
    <w:p>
      <w:pPr>
        <w:spacing w:after="160"/>
      </w:pPr>
      <w:r>
        <w:t xml:space="preserve">The following language codes are mandatory (BCP-47 compliant):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Language code</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Use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Tibetan in u-chen script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bo-Latn</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Tibetan in Wylie transliteration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Sanskrit (Devanagari or transliteration)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German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English</w:t>
            </w:r>
          </w:p>
        </w:tc>
      </w:tr>
    </w:tbl>
    <w:p>
      <w:pPr>
        <w:spacing w:after="160"/>
      </w:pPr>
      <w:r>
        <w:rPr>
          <w:b/>
          <w:bCs/>
        </w:rPr>
        <w:t xml:space="preserve">Forbidden: </w:t>
      </w:r>
      <w:r>
        <w:t xml:space="preserve">wylie, tib, english — these codes are not BCP-47 compliant.</w:t>
      </w:r>
    </w:p>
    <w:p>
      <w:pPr>
        <w:pStyle w:val="Heading2"/>
        <w:spacing w:after="160" w:before="280"/>
      </w:pPr>
      <w:r>
        <w:t xml:space="preserve">3.3 Witnesses</w:t>
      </w:r>
    </w:p>
    <w:p>
      <w:pPr>
        <w:spacing w:after="160"/>
      </w:pPr>
      <w:r>
        <w:t xml:space="preserve">All known witnesses are listed in &lt;sourceDesc&gt;&lt;listWit&gt; with xml:id="A", xml:id="B", etc. At least one witness must be present.</w:t>
      </w:r>
    </w:p>
    <w:p>
      <w:pPr>
        <w:shd w:fill="F2F2F2" w:val="clear"/>
        <w:spacing w:after="60"/>
      </w:pPr>
      <w:r>
        <w:rPr>
          <w:rFonts w:ascii="Consolas" w:cs="Consolas" w:eastAsia="Consolas" w:hAnsi="Consolas"/>
          <w:sz w:val="19"/>
          <w:szCs w:val="19"/>
        </w:rPr>
        <w:t xml:space="preserve">&lt;witness xml:id="A"&gt;&lt;bibl&gt;Full bibliographic reference&lt;/bibl&gt;&lt;/witness&gt;</w:t>
      </w:r>
    </w:p>
    <w:p>
      <w:pPr>
        <w:pStyle w:val="Heading2"/>
        <w:spacing w:after="160" w:before="280"/>
      </w:pPr>
      <w:r>
        <w:t xml:space="preserve">3.4 Revision History (revisionDesc)</w:t>
      </w:r>
    </w:p>
    <w:p>
      <w:pPr>
        <w:spacing w:after="160"/>
      </w:pPr>
      <w:r>
        <w:t xml:space="preserve">Every substantive change is documented with a &lt;change&gt; element:</w:t>
      </w:r>
    </w:p>
    <w:p>
      <w:pPr>
        <w:shd w:fill="F2F2F2" w:val="clear"/>
        <w:spacing w:after="60"/>
      </w:pPr>
      <w:r>
        <w:rPr>
          <w:rFonts w:ascii="Consolas" w:cs="Consolas" w:eastAsia="Consolas" w:hAnsi="Consolas"/>
          <w:sz w:val="19"/>
          <w:szCs w:val="19"/>
        </w:rPr>
        <w:t xml:space="preserve">&lt;change when="YYYY-MM-DD" who="#initials"&gt;Description of the change&lt;/change&gt;</w:t>
      </w:r>
    </w:p>
    <w:p>
      <w:pPr>
        <w:spacing w:after="160"/>
      </w:pPr>
      <w:r>
        <w:rPr>
          <w:b/>
          <w:bCs/>
        </w:rPr>
        <w:t xml:space="preserve">Mandatory: </w:t>
      </w:r>
      <w:r>
        <w:t xml:space="preserve">The date must correspond to the actual date of the change. The current year is 2026.</w:t>
      </w:r>
    </w:p>
    <w:p>
      <w:pPr>
        <w:pStyle w:val="Heading1"/>
        <w:spacing w:after="160" w:before="280"/>
      </w:pPr>
      <w:r>
        <w:t xml:space="preserve">4. Text Structure in &lt;body&gt;</w:t>
      </w:r>
    </w:p>
    <w:p>
      <w:pPr>
        <w:pStyle w:val="Heading2"/>
        <w:spacing w:after="160" w:before="280"/>
      </w:pPr>
      <w:r>
        <w:t xml:space="preserve">4.1 Page Structure</w:t>
      </w:r>
    </w:p>
    <w:p>
      <w:pPr>
        <w:spacing w:after="160"/>
      </w:pPr>
      <w:r>
        <w:t xml:space="preserve">Each page of the witness is captured in a &lt;div&gt; element:</w:t>
      </w:r>
    </w:p>
    <w:p>
      <w:pPr>
        <w:shd w:fill="F2F2F2" w:val="clear"/>
        <w:spacing w:after="60"/>
      </w:pPr>
      <w:r>
        <w:rPr>
          <w:rFonts w:ascii="Consolas" w:cs="Consolas" w:eastAsia="Consolas" w:hAnsi="Consolas"/>
          <w:sz w:val="19"/>
          <w:szCs w:val="19"/>
        </w:rPr>
        <w:t xml:space="preserve">&lt;div&gt;</w:t>
      </w:r>
    </w:p>
    <w:p>
      <w:pPr>
        <w:shd w:fill="F2F2F2" w:val="clear"/>
        <w:spacing w:after="60"/>
      </w:pPr>
      <w:r>
        <w:rPr>
          <w:rFonts w:ascii="Consolas" w:cs="Consolas" w:eastAsia="Consolas" w:hAnsi="Consolas"/>
          <w:sz w:val="19"/>
          <w:szCs w:val="19"/>
        </w:rPr>
        <w:t xml:space="preserve">&lt;pb ed="A" n="1" facs="../content/images/..."/&gt;</w:t>
      </w:r>
    </w:p>
    <w:p>
      <w:pPr>
        <w:shd w:fill="F2F2F2" w:val="clear"/>
        <w:spacing w:after="60"/>
      </w:pPr>
      <w:r>
        <w:rPr>
          <w:rFonts w:ascii="Consolas" w:cs="Consolas" w:eastAsia="Consolas" w:hAnsi="Consolas"/>
          <w:sz w:val="19"/>
          <w:szCs w:val="19"/>
        </w:rPr>
        <w:t xml:space="preserve">&lt;p xml:lang="bo"&gt;Tibetan text...&lt;/p&gt;</w:t>
      </w:r>
    </w:p>
    <w:p>
      <w:pPr>
        <w:shd w:fill="F2F2F2" w:val="clear"/>
        <w:spacing w:after="60"/>
      </w:pPr>
      <w:r>
        <w:rPr>
          <w:rFonts w:ascii="Consolas" w:cs="Consolas" w:eastAsia="Consolas" w:hAnsi="Consolas"/>
          <w:sz w:val="19"/>
          <w:szCs w:val="19"/>
        </w:rPr>
        <w:t xml:space="preserve">&lt;p xml:lang="de"&gt;German translation...&lt;/p&gt;</w:t>
      </w:r>
    </w:p>
    <w:p>
      <w:pPr>
        <w:shd w:fill="F2F2F2" w:val="clear"/>
        <w:spacing w:after="60"/>
      </w:pPr>
      <w:r>
        <w:rPr>
          <w:rFonts w:ascii="Consolas" w:cs="Consolas" w:eastAsia="Consolas" w:hAnsi="Consolas"/>
          <w:sz w:val="19"/>
          <w:szCs w:val="19"/>
        </w:rPr>
        <w:t xml:space="preserve">&lt;/div&gt;</w:t>
      </w:r>
    </w:p>
    <w:p>
      <w:pPr>
        <w:spacing w:after="160"/>
      </w:pPr>
      <w:r>
        <w:rPr>
          <w:b/>
          <w:bCs/>
        </w:rPr>
        <w:t xml:space="preserve">Rule: </w:t>
      </w:r>
      <w:r>
        <w:t xml:space="preserve">The &lt;pb&gt; element always precedes the &lt;p&gt; element, never inside it.</w:t>
      </w:r>
    </w:p>
    <w:p>
      <w:pPr>
        <w:spacing w:after="160"/>
      </w:pPr>
      <w:r>
        <w:rPr>
          <w:b/>
          <w:bCs/>
        </w:rPr>
        <w:t xml:space="preserve">@n attribute: </w:t>
      </w:r>
      <w:r>
        <w:t xml:space="preserve">Contains the page designation of the witness (e.g. 1, 2, 60a, 60b). No spaces.</w:t>
      </w:r>
    </w:p>
    <w:p>
      <w:pPr>
        <w:spacing w:after="160"/>
      </w:pPr>
      <w:r>
        <w:rPr>
          <w:b/>
          <w:bCs/>
        </w:rPr>
        <w:t xml:space="preserve">@ed attribute: </w:t>
      </w:r>
      <w:r>
        <w:t xml:space="preserve">References the witness (xml:id from &lt;witness&gt;), e.g. ed="A".</w:t>
      </w:r>
    </w:p>
    <w:p>
      <w:pPr>
        <w:pStyle w:val="Heading2"/>
        <w:spacing w:after="160" w:before="280"/>
      </w:pPr>
      <w:r>
        <w:t xml:space="preserve">4.2 Mandatory Languages</w:t>
      </w:r>
    </w:p>
    <w:p>
      <w:pPr>
        <w:spacing w:after="160"/>
      </w:pPr>
      <w:r>
        <w:t xml:space="preserve">Every page must contain at least one &lt;p xml:lang="bo"&gt;. Further languages (de, en, bo-Latn) are optional. Content not yet captured receives an XML comment as a placeholder:</w:t>
      </w:r>
    </w:p>
    <w:p>
      <w:pPr>
        <w:shd w:fill="F2F2F2" w:val="clear"/>
        <w:spacing w:after="60"/>
      </w:pPr>
      <w:r>
        <w:rPr>
          <w:rFonts w:ascii="Consolas" w:cs="Consolas" w:eastAsia="Consolas" w:hAnsi="Consolas"/>
          <w:sz w:val="19"/>
          <w:szCs w:val="19"/>
        </w:rPr>
        <w:t xml:space="preserve">&lt;p xml:lang="bo"&gt;&lt;!-- Placeholder: Tibetan text not yet captured --&gt;&lt;/p&gt;</w:t>
      </w:r>
    </w:p>
    <w:p>
      <w:pPr>
        <w:pStyle w:val="Heading2"/>
        <w:spacing w:after="160" w:before="280"/>
      </w:pPr>
      <w:r>
        <w:t xml:space="preserve">4.3 Line Breaks</w:t>
      </w:r>
    </w:p>
    <w:p>
      <w:pPr>
        <w:spacing w:after="160"/>
      </w:pPr>
      <w:r>
        <w:t xml:space="preserve">Line breaks within the Tibetan text are marked with &lt;lb/&gt;. The element &lt;br/&gt; is not TEI P5-compliant and must not be used.</w:t>
      </w:r>
    </w:p>
    <w:p>
      <w:pPr>
        <w:pStyle w:val="Heading2"/>
        <w:spacing w:after="160" w:before="280"/>
      </w:pPr>
      <w:r>
        <w:t xml:space="preserve">4.4 Critical Apparatus</w:t>
      </w:r>
    </w:p>
    <w:p>
      <w:pPr>
        <w:spacing w:after="160"/>
      </w:pPr>
      <w:r>
        <w:t xml:space="preserve">Textual variants are encoded with &lt;app&gt;, &lt;lem&gt; (lemma) and &lt;rdg wit="#A"&gt; (reading):</w:t>
      </w:r>
    </w:p>
    <w:p>
      <w:pPr>
        <w:shd w:fill="F2F2F2" w:val="clear"/>
        <w:spacing w:after="60"/>
      </w:pPr>
      <w:r>
        <w:rPr>
          <w:rFonts w:ascii="Consolas" w:cs="Consolas" w:eastAsia="Consolas" w:hAnsi="Consolas"/>
          <w:sz w:val="19"/>
          <w:szCs w:val="19"/>
        </w:rPr>
        <w:t xml:space="preserve">&lt;app&gt;&lt;lem wit="#A"&gt;Text&lt;/lem&gt;&lt;rdg wit="#B"&gt;Variant&lt;/rdg&gt;&lt;/app&gt;</w:t>
      </w:r>
    </w:p>
    <w:p>
      <w:pPr>
        <w:pStyle w:val="Heading2"/>
        <w:spacing w:after="160" w:before="280"/>
      </w:pPr>
      <w:r>
        <w:t xml:space="preserve">4.5 Colophons (&lt;div type="colophon"&gt;)</w:t>
      </w:r>
    </w:p>
    <w:p>
      <w:pPr>
        <w:spacing w:after="160"/>
      </w:pPr>
      <w:r>
        <w:t xml:space="preserve">Colophons (mjug byang) are additionally classified via @subtype on the enclosing &lt;div type="colophon"&gt;. Four basic types are provided for:</w:t>
      </w:r>
    </w:p>
    <w:p>
      <w:pPr>
        <w:pStyle w:val="ListParagraph"/>
        <w:numPr>
          <w:ilvl w:val="0"/>
          <w:numId w:val="2"/>
        </w:numPr>
        <w:spacing w:after="100"/>
      </w:pPr>
      <w:r>
        <w:t xml:space="preserve">subtype="author" — author colophon (rtsom pa po'i mjug byang)</w:t>
      </w:r>
    </w:p>
    <w:p>
      <w:pPr>
        <w:pStyle w:val="ListParagraph"/>
        <w:numPr>
          <w:ilvl w:val="0"/>
          <w:numId w:val="2"/>
        </w:numPr>
        <w:spacing w:after="100"/>
      </w:pPr>
      <w:r>
        <w:t xml:space="preserve">subtype="translator" — translator colophon (lo tsā ba'i mjug byang)</w:t>
      </w:r>
    </w:p>
    <w:p>
      <w:pPr>
        <w:pStyle w:val="ListParagraph"/>
        <w:numPr>
          <w:ilvl w:val="0"/>
          <w:numId w:val="2"/>
        </w:numPr>
        <w:spacing w:after="100"/>
      </w:pPr>
      <w:r>
        <w:t xml:space="preserve">subtype="scribal" — scribal/print colophon (bris byang / par byang)</w:t>
      </w:r>
    </w:p>
    <w:p>
      <w:pPr>
        <w:pStyle w:val="ListParagraph"/>
        <w:numPr>
          <w:ilvl w:val="0"/>
          <w:numId w:val="2"/>
        </w:numPr>
        <w:spacing w:after="100"/>
      </w:pPr>
      <w:r>
        <w:t xml:space="preserve">subtype="patron" — patron colophon (sbyin bdag/yon bdag gi mjug byang)</w:t>
      </w:r>
    </w:p>
    <w:p>
      <w:pPr>
        <w:spacing w:after="160"/>
      </w:pPr>
      <w:r>
        <w:rPr>
          <w:b/>
          <w:bCs/>
        </w:rPr>
        <w:t xml:space="preserve">Rule: </w:t>
      </w:r>
      <w:r>
        <w:t xml:space="preserve">If a colophon contains several of these components (the standard case with bKa'-'gyur/bsTan-'gyur translations, which often name author, translator and patron in succession), several </w:t>
      </w:r>
      <w:r>
        <w:rPr>
          <w:rFonts w:ascii="Consolas" w:cs="Consolas" w:eastAsia="Consolas" w:hAnsi="Consolas"/>
        </w:rPr>
        <w:t xml:space="preserve">&lt;div type="colophon" subtype="..."&gt;</w:t>
      </w:r>
      <w:r>
        <w:t xml:space="preserve"> elements are encoded immediately one after another — not a single &lt;div&gt; with several @subtype values.</w:t>
      </w:r>
    </w:p>
    <w:p>
      <w:pPr>
        <w:spacing w:after="160"/>
      </w:pPr>
      <w:r>
        <w:t xml:space="preserve">Example (translator colophon):</w:t>
      </w:r>
    </w:p>
    <w:p>
      <w:pPr>
        <w:shd w:fill="F2F2F2" w:val="clear"/>
        <w:spacing w:after="60"/>
      </w:pPr>
      <w:r>
        <w:rPr>
          <w:rFonts w:ascii="Consolas" w:cs="Consolas" w:eastAsia="Consolas" w:hAnsi="Consolas"/>
          <w:sz w:val="19"/>
          <w:szCs w:val="19"/>
        </w:rPr>
        <w:t xml:space="preserve">&lt;div type="colophon" subtype="translator"&gt;&lt;s xml:id="s184b06"&gt;...&lt;/s&gt;&lt;/div&gt;</w:t>
      </w:r>
    </w:p>
    <w:p>
      <w:pPr>
        <w:pStyle w:val="Heading1"/>
        <w:spacing w:after="160" w:before="280"/>
      </w:pPr>
      <w:r>
        <w:t xml:space="preserve">5. Standoff Annotations (&lt;standOff&gt;)</w:t>
      </w:r>
    </w:p>
    <w:p>
      <w:pPr>
        <w:spacing w:after="160"/>
      </w:pPr>
      <w:r>
        <w:t xml:space="preserve">Since May 2026 all shared registers (persons, places, vocabulary) reside in the central &lt;standOff&gt; in the file standoff.xml at the repository root. Every XML file references it via @source (TEI P5-compliant). File-specific entries remain in the local &lt;standOff&gt; of the respective file.</w:t>
      </w:r>
    </w:p>
    <w:p>
      <w:pPr>
        <w:pStyle w:val="Heading2"/>
        <w:spacing w:after="160" w:before="280"/>
      </w:pPr>
      <w:r>
        <w:t xml:space="preserve">5.1 Person Register (&lt;listPerson&gt;)</w:t>
      </w:r>
    </w:p>
    <w:p>
      <w:pPr>
        <w:spacing w:after="160"/>
      </w:pPr>
      <w:r>
        <w:t xml:space="preserve">All persons mentioned by name in the text are recorded in the standOff:</w:t>
      </w:r>
    </w:p>
    <w:p>
      <w:pPr>
        <w:shd w:fill="F2F2F2" w:val="clear"/>
        <w:spacing w:after="60"/>
      </w:pPr>
      <w:r>
        <w:rPr>
          <w:rFonts w:ascii="Consolas" w:cs="Consolas" w:eastAsia="Consolas" w:hAnsi="Consolas"/>
          <w:sz w:val="19"/>
          <w:szCs w:val="19"/>
        </w:rPr>
        <w:t xml:space="preserve">&lt;person xml:id="vasubandhu"&gt;</w:t>
      </w:r>
    </w:p>
    <w:p>
      <w:pPr>
        <w:shd w:fill="F2F2F2" w:val="clear"/>
        <w:spacing w:after="60"/>
      </w:pPr>
      <w:r>
        <w:rPr>
          <w:rFonts w:ascii="Microsoft Himalaya" w:cs="Microsoft Himalaya" w:eastAsia="Microsoft Himalaya" w:hAnsi="Microsoft Himalaya"/>
          <w:sz w:val="19"/>
          <w:szCs w:val="19"/>
        </w:rPr>
        <w:t xml:space="preserve">&lt;persName xml:lang="bo"&gt;དབྱིག་གཉེན་&lt;/persName&gt;</w:t>
      </w:r>
    </w:p>
    <w:p>
      <w:pPr>
        <w:shd w:fill="F2F2F2" w:val="clear"/>
        <w:spacing w:after="60"/>
      </w:pPr>
      <w:r>
        <w:rPr>
          <w:rFonts w:ascii="Consolas" w:cs="Consolas" w:eastAsia="Consolas" w:hAnsi="Consolas"/>
          <w:sz w:val="19"/>
          <w:szCs w:val="19"/>
        </w:rPr>
        <w:t xml:space="preserve">&lt;persName xml:lang="bo-Latn"&gt;dbyig gnyen&lt;/persName&gt;</w:t>
      </w:r>
    </w:p>
    <w:p>
      <w:pPr>
        <w:shd w:fill="F2F2F2" w:val="clear"/>
        <w:spacing w:after="60"/>
      </w:pPr>
      <w:r>
        <w:rPr>
          <w:rFonts w:ascii="Consolas" w:cs="Consolas" w:eastAsia="Consolas" w:hAnsi="Consolas"/>
          <w:sz w:val="19"/>
          <w:szCs w:val="19"/>
        </w:rPr>
        <w:t xml:space="preserve">&lt;persName xml:lang="sa"&gt;Vasubandhu&lt;/persName&gt;</w:t>
      </w:r>
    </w:p>
    <w:p>
      <w:pPr>
        <w:shd w:fill="F2F2F2" w:val="clear"/>
        <w:spacing w:after="60"/>
      </w:pPr>
      <w:r>
        <w:rPr>
          <w:rFonts w:ascii="Consolas" w:cs="Consolas" w:eastAsia="Consolas" w:hAnsi="Consolas"/>
          <w:sz w:val="19"/>
          <w:szCs w:val="19"/>
        </w:rPr>
        <w:t xml:space="preserve">&lt;note type="role"&gt;Philosopher&lt;/note&gt;</w:t>
      </w:r>
    </w:p>
    <w:p>
      <w:pPr>
        <w:shd w:fill="F2F2F2" w:val="clear"/>
        <w:spacing w:after="60"/>
      </w:pPr>
      <w:r>
        <w:rPr>
          <w:rFonts w:ascii="Consolas" w:cs="Consolas" w:eastAsia="Consolas" w:hAnsi="Consolas"/>
          <w:sz w:val="19"/>
          <w:szCs w:val="19"/>
        </w:rPr>
        <w:t xml:space="preserve">&lt;idno type="URI"&gt;https://library.bdrc.io/show/bdr:P4CN29&lt;/idno&gt;</w:t>
      </w:r>
    </w:p>
    <w:p>
      <w:pPr>
        <w:shd w:fill="F2F2F2" w:val="clear"/>
        <w:spacing w:after="60"/>
      </w:pPr>
      <w:r>
        <w:rPr>
          <w:rFonts w:ascii="Consolas" w:cs="Consolas" w:eastAsia="Consolas" w:hAnsi="Consolas"/>
          <w:sz w:val="19"/>
          <w:szCs w:val="19"/>
        </w:rPr>
        <w:t xml:space="preserve">&lt;/person&gt;</w:t>
      </w:r>
    </w:p>
    <w:p>
      <w:pPr>
        <w:spacing w:after="160"/>
      </w:pPr>
      <w:r>
        <w:rPr>
          <w:b/>
          <w:bCs/>
        </w:rPr>
        <w:t xml:space="preserve">Mandatory: </w:t>
      </w:r>
      <w:r>
        <w:t xml:space="preserve">Every person must contain at least one &lt;persName&gt;, one &lt;note type="role"&gt; and one &lt;idno type="URI"&gt;.</w:t>
      </w:r>
    </w:p>
    <w:p>
      <w:pPr>
        <w:spacing w:after="160"/>
      </w:pPr>
      <w:r>
        <w:rPr>
          <w:b/>
          <w:bCs/>
        </w:rPr>
        <w:t xml:space="preserve">xml:id: </w:t>
      </w:r>
      <w:r>
        <w:t xml:space="preserve">Lower-case letters, ASCII, no spaces. Examples: vasubandhu, asanga, src_p16.</w:t>
      </w:r>
    </w:p>
    <w:p>
      <w:pPr>
        <w:pStyle w:val="Heading2"/>
        <w:spacing w:after="160" w:before="280"/>
      </w:pPr>
      <w:r>
        <w:t xml:space="preserve">5.2 Role Designations (&lt;note type="role"&gt;)</w:t>
      </w:r>
    </w:p>
    <w:p>
      <w:pPr>
        <w:spacing w:after="160"/>
      </w:pPr>
      <w:r>
        <w:t xml:space="preserve">Role designations are given in German and kept consistent across all files. Standard 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Value</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Meaning</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Autor</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Author of the edited work</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Lehrer</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Spiritual or academic teacher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Schüler</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Student in relation to a teacher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König</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Secular ruler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Philosoph</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Philosophical thinker / logician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Bodhisattva</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Bodhisattva figure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Kommentator</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Author of a commentary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noch zu erschließen</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Placeholder: role is known but not yet determined</w:t>
            </w:r>
          </w:p>
        </w:tc>
      </w:tr>
    </w:tbl>
    <w:p>
      <w:pPr>
        <w:spacing w:after="160"/>
      </w:pPr>
      <w:r>
        <w:rPr>
          <w:b/>
          <w:bCs/>
        </w:rPr>
        <w:t xml:space="preserve">Rule: </w:t>
      </w:r>
      <w:r>
        <w:t xml:space="preserve">The value "unbekannt" (unknown) must not be used — it implies that the person is unknown. "Noch zu erschließen" is correct when only the role has not yet been determined.</w:t>
      </w:r>
    </w:p>
    <w:p>
      <w:pPr>
        <w:spacing w:after="160"/>
      </w:pPr>
      <w:r>
        <w:t xml:space="preserve">Multiple roles per person are possible through multiple &lt;note type="role"&gt; elements.</w:t>
      </w:r>
    </w:p>
    <w:p>
      <w:pPr>
        <w:pStyle w:val="Heading2"/>
        <w:spacing w:after="160" w:before="280"/>
      </w:pPr>
      <w:r>
        <w:t xml:space="preserve">5.3 Reference Systems (&lt;idno type="URI"&gt;)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Reference system</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URL pattern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BUDA (BDRC)</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https://library.bdrc.io/show/bdr:[Key]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rKTs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http://www.rkts.org/[Key]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SRC Persons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https://sakyaresearch.org/persons/[Key]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SRC Places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https://sakyaresearch.org/places/[Key]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SRC Sources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https://sakyaresearch.org/sources/[Key]</w:t>
            </w:r>
          </w:p>
        </w:tc>
      </w:tr>
    </w:tbl>
    <w:p>
      <w:pPr>
        <w:pStyle w:val="Heading2"/>
        <w:spacing w:after="160" w:before="280"/>
      </w:pPr>
      <w:r>
        <w:t xml:space="preserve">5.4 BUDA Key States</w:t>
      </w:r>
    </w:p>
    <w:p>
      <w:pPr>
        <w:spacing w:after="160"/>
      </w:pPr>
      <w:r>
        <w:t xml:space="preserve">The @key attribute on &lt;persName&gt; and &lt;placeName&gt; recognises three states:</w:t>
      </w:r>
    </w:p>
    <w:p>
      <w:pPr>
        <w:spacing w:after="160"/>
      </w:pPr>
      <w:r>
        <w:rPr>
          <w:rFonts w:ascii="Consolas" w:cs="Consolas" w:eastAsia="Consolas" w:hAnsi="Consolas"/>
          <w:b/>
          <w:bCs/>
        </w:rPr>
        <w:t xml:space="preserve">@key="P1234"</w:t>
      </w:r>
      <w:r>
        <w:t xml:space="preserve"> — BUDA key known and verified. Module 04: OK.</w:t>
      </w:r>
    </w:p>
    <w:p>
      <w:pPr>
        <w:spacing w:after="160"/>
      </w:pPr>
      <w:r>
        <w:rPr>
          <w:rFonts w:ascii="Consolas" w:cs="Consolas" w:eastAsia="Consolas" w:hAnsi="Consolas"/>
          <w:b/>
          <w:bCs/>
        </w:rPr>
        <w:t xml:space="preserve">@key="???"</w:t>
      </w:r>
      <w:r>
        <w:t xml:space="preserve"> — Research pending. Module 04: WARNING. Must be researched (BDRC, rKTs, SRC).</w:t>
      </w:r>
    </w:p>
    <w:p>
      <w:pPr>
        <w:spacing w:after="160"/>
      </w:pPr>
      <w:r>
        <w:rPr>
          <w:rFonts w:ascii="Consolas" w:cs="Consolas" w:eastAsia="Consolas" w:hAnsi="Consolas"/>
          <w:b/>
          <w:bCs/>
        </w:rPr>
        <w:t xml:space="preserve">@key="N/A"</w:t>
      </w:r>
      <w:r>
        <w:t xml:space="preserve"> — Not attestable in any authority source (BDRC, rKTs, SRC). Module 04: INFO (not an error). @key="N/A" is set deliberately after thorough research.</w:t>
      </w:r>
    </w:p>
    <w:p>
      <w:pPr>
        <w:pStyle w:val="Heading2"/>
        <w:spacing w:after="160" w:before="280"/>
      </w:pPr>
      <w:r>
        <w:t xml:space="preserve">5.5 Separating Titles from Person Names</w:t>
      </w:r>
    </w:p>
    <w:p>
      <w:pPr>
        <w:spacing w:after="160"/>
      </w:pPr>
      <w:r>
        <w:t xml:space="preserve">Titles (rgyal po, slob dpon etc.) are recorded as their own &lt;persName type="title"&gt;, not as part of the proper name:</w:t>
      </w:r>
    </w:p>
    <w:p>
      <w:pPr>
        <w:shd w:fill="F2F2F2" w:val="clear"/>
        <w:spacing w:after="60"/>
      </w:pPr>
      <w:r>
        <w:rPr>
          <w:rFonts w:ascii="Consolas" w:cs="Consolas" w:eastAsia="Consolas" w:hAnsi="Consolas"/>
          <w:sz w:val="19"/>
          <w:szCs w:val="19"/>
        </w:rPr>
        <w:t xml:space="preserve">&lt;persName xml:lang="sa"&gt;Śrīharṣa&lt;/persName&gt;</w:t>
      </w:r>
    </w:p>
    <w:p>
      <w:pPr>
        <w:shd w:fill="F2F2F2" w:val="clear"/>
        <w:spacing w:after="60"/>
      </w:pPr>
      <w:r>
        <w:rPr>
          <w:rFonts w:ascii="Microsoft Himalaya" w:cs="Microsoft Himalaya" w:eastAsia="Microsoft Himalaya" w:hAnsi="Microsoft Himalaya"/>
          <w:sz w:val="19"/>
          <w:szCs w:val="19"/>
        </w:rPr>
        <w:t xml:space="preserve">&lt;persName xml:lang="bo"&gt;ཤྲཱི་ཧརྴ་&lt;/persName&gt;</w:t>
      </w:r>
    </w:p>
    <w:p>
      <w:pPr>
        <w:shd w:fill="F2F2F2" w:val="clear"/>
        <w:spacing w:after="60"/>
      </w:pPr>
      <w:r>
        <w:rPr>
          <w:rFonts w:ascii="Consolas" w:cs="Consolas" w:eastAsia="Consolas" w:hAnsi="Consolas"/>
          <w:sz w:val="19"/>
          <w:szCs w:val="19"/>
        </w:rPr>
        <w:t xml:space="preserve">&lt;persName xml:lang="bo-Latn"&gt;shrI har+sha&lt;/persName&gt;</w:t>
      </w:r>
    </w:p>
    <w:p>
      <w:pPr>
        <w:shd w:fill="F2F2F2" w:val="clear"/>
        <w:spacing w:after="60"/>
      </w:pPr>
      <w:r>
        <w:rPr>
          <w:rFonts w:ascii="Consolas" w:cs="Consolas" w:eastAsia="Consolas" w:hAnsi="Consolas"/>
          <w:sz w:val="19"/>
          <w:szCs w:val="19"/>
        </w:rPr>
        <w:t xml:space="preserve">&lt;persName xml:lang="bo-Latn" type="title"&gt;rgyal po&lt;/persName&gt;</w:t>
      </w:r>
    </w:p>
    <w:p>
      <w:pPr>
        <w:shd w:fill="F2F2F2" w:val="clear"/>
        <w:spacing w:after="60"/>
      </w:pPr>
      <w:r>
        <w:rPr>
          <w:rFonts w:ascii="Consolas" w:cs="Consolas" w:eastAsia="Consolas" w:hAnsi="Consolas"/>
          <w:sz w:val="19"/>
          <w:szCs w:val="19"/>
        </w:rPr>
        <w:t xml:space="preserve">&lt;note type="role"&gt;König&lt;/note&gt;</w:t>
      </w:r>
    </w:p>
    <w:p>
      <w:pPr>
        <w:spacing w:after="160"/>
      </w:pPr>
      <w:r>
        <w:rPr>
          <w:b/>
          <w:bCs/>
        </w:rPr>
        <w:t xml:space="preserve">Placeholder: </w:t>
      </w:r>
      <w:r>
        <w:t xml:space="preserve">If the URL has not yet been determined: &lt;!-- URL not yet determined --&gt; as a comment within the &lt;idno&gt; element.</w:t>
      </w:r>
    </w:p>
    <w:p>
      <w:pPr>
        <w:pStyle w:val="Heading2"/>
        <w:spacing w:after="160" w:before="280"/>
      </w:pPr>
      <w:r>
        <w:t xml:space="preserve">5.4 Place Register (&lt;listPlace&gt;)</w:t>
      </w:r>
    </w:p>
    <w:p>
      <w:pPr>
        <w:spacing w:after="160"/>
      </w:pPr>
      <w:r>
        <w:t xml:space="preserve">All places mentioned by name in the text are recorded. Place registers not yet compiled receive a placeholder:</w:t>
      </w:r>
    </w:p>
    <w:p>
      <w:pPr>
        <w:shd w:fill="F2F2F2" w:val="clear"/>
        <w:spacing w:after="60"/>
      </w:pPr>
      <w:r>
        <w:rPr>
          <w:rFonts w:ascii="Consolas" w:cs="Consolas" w:eastAsia="Consolas" w:hAnsi="Consolas"/>
          <w:sz w:val="19"/>
          <w:szCs w:val="19"/>
        </w:rPr>
        <w:t xml:space="preserve">&lt;place xml:id="place_placeholder"&gt;</w:t>
      </w:r>
    </w:p>
    <w:p>
      <w:pPr>
        <w:shd w:fill="F2F2F2" w:val="clear"/>
        <w:spacing w:after="60"/>
      </w:pPr>
      <w:r>
        <w:rPr>
          <w:rFonts w:ascii="Consolas" w:cs="Consolas" w:eastAsia="Consolas" w:hAnsi="Consolas"/>
          <w:sz w:val="19"/>
          <w:szCs w:val="19"/>
        </w:rPr>
        <w:t xml:space="preserve">&lt;placeName xml:lang="de"&gt;Placeholder — place register not yet compiled&lt;/placeName&gt;</w:t>
      </w:r>
    </w:p>
    <w:p>
      <w:pPr>
        <w:shd w:fill="F2F2F2" w:val="clear"/>
        <w:spacing w:after="60"/>
      </w:pPr>
      <w:r>
        <w:rPr>
          <w:rFonts w:ascii="Consolas" w:cs="Consolas" w:eastAsia="Consolas" w:hAnsi="Consolas"/>
          <w:sz w:val="19"/>
          <w:szCs w:val="19"/>
        </w:rPr>
        <w:t xml:space="preserve">&lt;note type="status"&gt;pending&lt;/note&gt;</w:t>
      </w:r>
    </w:p>
    <w:p>
      <w:pPr>
        <w:shd w:fill="F2F2F2" w:val="clear"/>
        <w:spacing w:after="60"/>
      </w:pPr>
      <w:r>
        <w:rPr>
          <w:rFonts w:ascii="Consolas" w:cs="Consolas" w:eastAsia="Consolas" w:hAnsi="Consolas"/>
          <w:sz w:val="19"/>
          <w:szCs w:val="19"/>
        </w:rPr>
        <w:t xml:space="preserve">&lt;/place&gt;</w:t>
      </w:r>
    </w:p>
    <w:p>
      <w:pPr>
        <w:pStyle w:val="Heading2"/>
        <w:spacing w:after="160" w:before="280"/>
      </w:pPr>
      <w:r>
        <w:t xml:space="preserve">5.5 List of Works (&lt;listBibl&gt;)</w:t>
      </w:r>
    </w:p>
    <w:p>
      <w:pPr>
        <w:spacing w:after="160"/>
      </w:pPr>
      <w:r>
        <w:t xml:space="preserve">All works cited or mentioned in the text are recorded:</w:t>
      </w:r>
    </w:p>
    <w:p>
      <w:pPr>
        <w:shd w:fill="F2F2F2" w:val="clear"/>
        <w:spacing w:after="60"/>
      </w:pPr>
      <w:r>
        <w:rPr>
          <w:rFonts w:ascii="Consolas" w:cs="Consolas" w:eastAsia="Consolas" w:hAnsi="Consolas"/>
          <w:sz w:val="19"/>
          <w:szCs w:val="19"/>
        </w:rPr>
        <w:t xml:space="preserve">&lt;bibl xml:id="bca"&gt;</w:t>
      </w:r>
    </w:p>
    <w:p>
      <w:pPr>
        <w:shd w:fill="F2F2F2" w:val="clear"/>
        <w:spacing w:after="60"/>
      </w:pPr>
      <w:r>
        <w:rPr>
          <w:rFonts w:ascii="Microsoft Himalaya" w:cs="Microsoft Himalaya" w:eastAsia="Microsoft Himalaya" w:hAnsi="Microsoft Himalaya"/>
          <w:sz w:val="19"/>
          <w:szCs w:val="19"/>
        </w:rPr>
        <w:t xml:space="preserve">&lt;title xml:lang="bo"&gt;བྱང་ཆུབ་སེམས་དཔའི་སྤྱོད་པ་ལ་འཇུག་པ་&lt;/title&gt;</w:t>
      </w:r>
    </w:p>
    <w:p>
      <w:pPr>
        <w:shd w:fill="F2F2F2" w:val="clear"/>
        <w:spacing w:after="60"/>
      </w:pPr>
      <w:r>
        <w:rPr>
          <w:rFonts w:ascii="Consolas" w:cs="Consolas" w:eastAsia="Consolas" w:hAnsi="Consolas"/>
          <w:sz w:val="19"/>
          <w:szCs w:val="19"/>
        </w:rPr>
        <w:t xml:space="preserve">&lt;title xml:lang="sa"&gt;Bodhicaryāvatāra&lt;/title&gt;</w:t>
      </w:r>
    </w:p>
    <w:p>
      <w:pPr>
        <w:shd w:fill="F2F2F2" w:val="clear"/>
        <w:spacing w:after="60"/>
      </w:pPr>
      <w:r>
        <w:rPr>
          <w:rFonts w:ascii="Consolas" w:cs="Consolas" w:eastAsia="Consolas" w:hAnsi="Consolas"/>
          <w:sz w:val="19"/>
          <w:szCs w:val="19"/>
        </w:rPr>
        <w:t xml:space="preserve">&lt;title xml:lang="de"&gt;Entering the Conduct of the Bodhisattvas&lt;/title&gt;</w:t>
      </w:r>
    </w:p>
    <w:p>
      <w:pPr>
        <w:shd w:fill="F2F2F2" w:val="clear"/>
        <w:spacing w:after="60"/>
      </w:pPr>
      <w:r>
        <w:rPr>
          <w:rFonts w:ascii="Consolas" w:cs="Consolas" w:eastAsia="Consolas" w:hAnsi="Consolas"/>
          <w:sz w:val="19"/>
          <w:szCs w:val="19"/>
        </w:rPr>
        <w:t xml:space="preserve">&lt;author corresp="#shantideva"/&gt;</w:t>
      </w:r>
    </w:p>
    <w:p>
      <w:pPr>
        <w:shd w:fill="F2F2F2" w:val="clear"/>
        <w:spacing w:after="60"/>
      </w:pPr>
      <w:r>
        <w:rPr>
          <w:rFonts w:ascii="Consolas" w:cs="Consolas" w:eastAsia="Consolas" w:hAnsi="Consolas"/>
          <w:sz w:val="19"/>
          <w:szCs w:val="19"/>
        </w:rPr>
        <w:t xml:space="preserve">&lt;idno type="URI"&gt;https://library.bdrc.io/show/bdr:W22084&lt;/idno&gt;</w:t>
      </w:r>
    </w:p>
    <w:p>
      <w:pPr>
        <w:shd w:fill="F2F2F2" w:val="clear"/>
        <w:spacing w:after="60"/>
      </w:pPr>
      <w:r>
        <w:rPr>
          <w:rFonts w:ascii="Consolas" w:cs="Consolas" w:eastAsia="Consolas" w:hAnsi="Consolas"/>
          <w:sz w:val="19"/>
          <w:szCs w:val="19"/>
        </w:rPr>
        <w:t xml:space="preserve">&lt;/bibl&gt;</w:t>
      </w:r>
    </w:p>
    <w:p>
      <w:pPr>
        <w:pStyle w:val="Heading2"/>
        <w:spacing w:after="160" w:before="280"/>
      </w:pPr>
      <w:r>
        <w:t xml:space="preserve">5.6 Vocabulary Register (&lt;fvLib&gt;)</w:t>
      </w:r>
    </w:p>
    <w:p>
      <w:pPr>
        <w:spacing w:after="160"/>
      </w:pPr>
      <w:r>
        <w:t xml:space="preserve">The vocabulary register contains lemmata with grammatical information and definitions. It is encoded as &lt;fvLib&gt; (Feature Value Library) directly within &lt;standOff&gt;. Each entry is an &lt;fs&gt; element with a unique xml:id. Within the text, @ana refers to the respective entry.</w:t>
      </w:r>
    </w:p>
    <w:p>
      <w:pPr>
        <w:spacing w:after="160"/>
      </w:pPr>
      <w:r>
        <w:t xml:space="preserve">Structure of a vocabulary entry:</w:t>
      </w:r>
    </w:p>
    <w:p>
      <w:pPr>
        <w:shd w:fill="F2F2F2" w:val="clear"/>
        <w:spacing w:after="60"/>
      </w:pPr>
      <w:r>
        <w:rPr>
          <w:rFonts w:ascii="Consolas" w:cs="Consolas" w:eastAsia="Consolas" w:hAnsi="Consolas"/>
          <w:sz w:val="19"/>
          <w:szCs w:val="19"/>
        </w:rPr>
        <w:t xml:space="preserve">&lt;fvLib n="vocab"&gt;</w:t>
      </w:r>
    </w:p>
    <w:p>
      <w:pPr>
        <w:shd w:fill="F2F2F2" w:val="clear"/>
        <w:spacing w:after="60"/>
      </w:pPr>
      <w:r>
        <w:rPr>
          <w:rFonts w:ascii="Consolas" w:cs="Consolas" w:eastAsia="Consolas" w:hAnsi="Consolas"/>
          <w:sz w:val="19"/>
          <w:szCs w:val="19"/>
        </w:rPr>
        <w:t xml:space="preserve">&lt;fs xml:id="lex_btang" type="vocab"&gt;</w:t>
      </w:r>
    </w:p>
    <w:p>
      <w:pPr>
        <w:shd w:fill="F2F2F2" w:val="clear"/>
        <w:spacing w:after="60"/>
      </w:pPr>
      <w:r>
        <w:rPr>
          <w:rFonts w:ascii="Consolas" w:cs="Consolas" w:eastAsia="Consolas" w:hAnsi="Consolas"/>
          <w:sz w:val="19"/>
          <w:szCs w:val="19"/>
        </w:rPr>
        <w:t xml:space="preserve">&lt;f name="wylie"&gt; &lt;string&gt;btang&lt;/string&gt;&lt;/f&gt;</w:t>
      </w:r>
    </w:p>
    <w:p>
      <w:pPr>
        <w:shd w:fill="F2F2F2" w:val="clear"/>
        <w:spacing w:after="60"/>
      </w:pPr>
      <w:r>
        <w:rPr>
          <w:rFonts w:ascii="Microsoft Himalaya" w:cs="Microsoft Himalaya" w:eastAsia="Microsoft Himalaya" w:hAnsi="Microsoft Himalaya"/>
          <w:sz w:val="19"/>
          <w:szCs w:val="19"/>
        </w:rPr>
        <w:t xml:space="preserve">&lt;f name="uchen"&gt; &lt;string&gt;བཏང་&lt;/string&gt;&lt;/f&gt;</w:t>
      </w:r>
    </w:p>
    <w:p>
      <w:pPr>
        <w:shd w:fill="F2F2F2" w:val="clear"/>
        <w:spacing w:after="60"/>
      </w:pPr>
      <w:r>
        <w:rPr>
          <w:rFonts w:ascii="Consolas" w:cs="Consolas" w:eastAsia="Consolas" w:hAnsi="Consolas"/>
          <w:sz w:val="19"/>
          <w:szCs w:val="19"/>
        </w:rPr>
        <w:t xml:space="preserve">&lt;f name="lemma_wylie"&gt; &lt;string&gt;gtong ba&lt;/string&gt;&lt;/f&gt;</w:t>
      </w:r>
    </w:p>
    <w:p>
      <w:pPr>
        <w:shd w:fill="F2F2F2" w:val="clear"/>
        <w:spacing w:after="60"/>
      </w:pPr>
      <w:r>
        <w:rPr>
          <w:rFonts w:ascii="Microsoft Himalaya" w:cs="Microsoft Himalaya" w:eastAsia="Microsoft Himalaya" w:hAnsi="Microsoft Himalaya"/>
          <w:sz w:val="19"/>
          <w:szCs w:val="19"/>
        </w:rPr>
        <w:t xml:space="preserve">&lt;f name="lemma_uchen"&gt; &lt;string&gt;གཏོང་བ་&lt;/string&gt;&lt;/f&gt;</w:t>
      </w:r>
    </w:p>
    <w:p>
      <w:pPr>
        <w:shd w:fill="F2F2F2" w:val="clear"/>
        <w:spacing w:after="60"/>
      </w:pPr>
      <w:r>
        <w:rPr>
          <w:rFonts w:ascii="Consolas" w:cs="Consolas" w:eastAsia="Consolas" w:hAnsi="Consolas"/>
          <w:sz w:val="19"/>
          <w:szCs w:val="19"/>
        </w:rPr>
        <w:t xml:space="preserve">&lt;f name="stem1"&gt; &lt;string&gt;gtong&lt;/string&gt;&lt;/f&gt;</w:t>
      </w:r>
    </w:p>
    <w:p>
      <w:pPr>
        <w:shd w:fill="F2F2F2" w:val="clear"/>
        <w:spacing w:after="60"/>
      </w:pPr>
      <w:r>
        <w:rPr>
          <w:rFonts w:ascii="Consolas" w:cs="Consolas" w:eastAsia="Consolas" w:hAnsi="Consolas"/>
          <w:sz w:val="19"/>
          <w:szCs w:val="19"/>
        </w:rPr>
        <w:t xml:space="preserve">&lt;f name="stem2"&gt; &lt;string&gt;btang&lt;/string&gt;&lt;/f&gt;</w:t>
      </w:r>
    </w:p>
    <w:p>
      <w:pPr>
        <w:shd w:fill="F2F2F2" w:val="clear"/>
        <w:spacing w:after="60"/>
      </w:pPr>
      <w:r>
        <w:rPr>
          <w:rFonts w:ascii="Consolas" w:cs="Consolas" w:eastAsia="Consolas" w:hAnsi="Consolas"/>
          <w:sz w:val="19"/>
          <w:szCs w:val="19"/>
        </w:rPr>
        <w:t xml:space="preserve">&lt;f name="stem3"&gt; &lt;string&gt;gtong&lt;/string&gt;&lt;/f&gt;</w:t>
      </w:r>
    </w:p>
    <w:p>
      <w:pPr>
        <w:shd w:fill="F2F2F2" w:val="clear"/>
        <w:spacing w:after="60"/>
      </w:pPr>
      <w:r>
        <w:rPr>
          <w:rFonts w:ascii="Consolas" w:cs="Consolas" w:eastAsia="Consolas" w:hAnsi="Consolas"/>
          <w:sz w:val="19"/>
          <w:szCs w:val="19"/>
        </w:rPr>
        <w:t xml:space="preserve">&lt;f name="stem4"&gt; &lt;string&gt;thong&lt;/string&gt;&lt;/f&gt;</w:t>
      </w:r>
    </w:p>
    <w:p>
      <w:pPr>
        <w:shd w:fill="F2F2F2" w:val="clear"/>
        <w:spacing w:after="60"/>
      </w:pPr>
      <w:r>
        <w:rPr>
          <w:rFonts w:ascii="Consolas" w:cs="Consolas" w:eastAsia="Consolas" w:hAnsi="Consolas"/>
          <w:sz w:val="19"/>
          <w:szCs w:val="19"/>
        </w:rPr>
        <w:t xml:space="preserve">&lt;f name="pos"&gt; &lt;string&gt;V.past&lt;/string&gt;&lt;/f&gt;</w:t>
      </w:r>
    </w:p>
    <w:p>
      <w:pPr>
        <w:shd w:fill="F2F2F2" w:val="clear"/>
        <w:spacing w:after="60"/>
      </w:pPr>
      <w:r>
        <w:rPr>
          <w:rFonts w:ascii="Consolas" w:cs="Consolas" w:eastAsia="Consolas" w:hAnsi="Consolas"/>
          <w:sz w:val="19"/>
          <w:szCs w:val="19"/>
        </w:rPr>
        <w:t xml:space="preserve">&lt;f name="subc"&gt; &lt;string&gt;tdV&lt;/string&gt;&lt;/f&gt;</w:t>
      </w:r>
    </w:p>
    <w:p>
      <w:pPr>
        <w:shd w:fill="F2F2F2" w:val="clear"/>
        <w:spacing w:after="60"/>
      </w:pPr>
      <w:r>
        <w:rPr>
          <w:rFonts w:ascii="Consolas" w:cs="Consolas" w:eastAsia="Consolas" w:hAnsi="Consolas"/>
          <w:sz w:val="19"/>
          <w:szCs w:val="19"/>
        </w:rPr>
        <w:t xml:space="preserve">&lt;f name="def_de"&gt; &lt;string&gt;schicken, loslassen&lt;/string&gt;&lt;/f&gt;</w:t>
      </w:r>
    </w:p>
    <w:p>
      <w:pPr>
        <w:shd w:fill="F2F2F2" w:val="clear"/>
        <w:spacing w:after="60"/>
      </w:pPr>
      <w:r>
        <w:rPr>
          <w:rFonts w:ascii="Consolas" w:cs="Consolas" w:eastAsia="Consolas" w:hAnsi="Consolas"/>
          <w:sz w:val="19"/>
          <w:szCs w:val="19"/>
        </w:rPr>
        <w:t xml:space="preserve">&lt;f name="def_en"&gt; &lt;string&gt;to send, to release&lt;/string&gt;&lt;/f&gt;</w:t>
      </w:r>
    </w:p>
    <w:p>
      <w:pPr>
        <w:shd w:fill="F2F2F2" w:val="clear"/>
        <w:spacing w:after="60"/>
      </w:pPr>
      <w:r>
        <w:rPr>
          <w:rFonts w:ascii="Consolas" w:cs="Consolas" w:eastAsia="Consolas" w:hAnsi="Consolas"/>
          <w:sz w:val="19"/>
          <w:szCs w:val="19"/>
        </w:rPr>
        <w:t xml:space="preserve">&lt;/fs&gt;</w:t>
      </w:r>
    </w:p>
    <w:p>
      <w:pPr>
        <w:shd w:fill="F2F2F2" w:val="clear"/>
        <w:spacing w:after="60"/>
      </w:pPr>
      <w:r>
        <w:rPr>
          <w:rFonts w:ascii="Consolas" w:cs="Consolas" w:eastAsia="Consolas" w:hAnsi="Consolas"/>
          <w:sz w:val="19"/>
          <w:szCs w:val="19"/>
        </w:rPr>
        <w:t xml:space="preserve">&lt;/fvLib&gt;</w:t>
      </w:r>
    </w:p>
    <w:p>
      <w:pPr>
        <w:spacing w:after="160"/>
      </w:pPr>
      <w:r>
        <w:t xml:space="preserve">Reference in the text:</w:t>
      </w:r>
    </w:p>
    <w:p>
      <w:pPr>
        <w:shd w:fill="F2F2F2" w:val="clear"/>
        <w:spacing w:after="60"/>
      </w:pPr>
      <w:r>
        <w:rPr>
          <w:rFonts w:ascii="Consolas" w:cs="Consolas" w:eastAsia="Consolas" w:hAnsi="Consolas"/>
          <w:sz w:val="19"/>
          <w:szCs w:val="19"/>
        </w:rPr>
        <w:t xml:space="preserve">&lt;w xml:id="w65b03_05" pos="V.past" ana="#lex_btang"&gt;བཏང་&lt;/w&gt;</w:t>
      </w:r>
    </w:p>
    <w:p>
      <w:pPr>
        <w:spacing w:after="160"/>
      </w:pPr>
      <w:r>
        <w:t xml:space="preserve">Rules:</w:t>
      </w:r>
    </w:p>
    <w:p>
      <w:pPr>
        <w:pStyle w:val="ListParagraph"/>
        <w:numPr>
          <w:ilvl w:val="0"/>
          <w:numId w:val="2"/>
        </w:numPr>
        <w:spacing w:after="100"/>
      </w:pPr>
      <w:r>
        <w:t xml:space="preserve">xml:id format: lex_[wylie], e.g. lex_btang, lex_slob_dpon</w:t>
      </w:r>
    </w:p>
    <w:p>
      <w:pPr>
        <w:pStyle w:val="ListParagraph"/>
        <w:numPr>
          <w:ilvl w:val="0"/>
          <w:numId w:val="2"/>
        </w:numPr>
        <w:spacing w:after="100"/>
      </w:pPr>
      <w:r>
        <w:t xml:space="preserve">Stem forms (stem1–stem4) only for verbs</w:t>
      </w:r>
    </w:p>
    <w:p>
      <w:pPr>
        <w:pStyle w:val="ListParagraph"/>
        <w:numPr>
          <w:ilvl w:val="0"/>
          <w:numId w:val="2"/>
        </w:numPr>
        <w:spacing w:after="100"/>
      </w:pPr>
      <w:r>
        <w:t xml:space="preserve">Particles (PART.*) are not recorded</w:t>
      </w:r>
    </w:p>
    <w:p>
      <w:pPr>
        <w:pStyle w:val="ListParagraph"/>
        <w:numPr>
          <w:ilvl w:val="0"/>
          <w:numId w:val="2"/>
        </w:numPr>
        <w:spacing w:after="100"/>
      </w:pPr>
      <w:r>
        <w:t xml:space="preserve">@ana must reference an existing xml:id in &lt;fvLib&gt;</w:t>
      </w:r>
    </w:p>
    <w:p>
      <w:pPr>
        <w:pStyle w:val="ListParagraph"/>
        <w:numPr>
          <w:ilvl w:val="0"/>
          <w:numId w:val="2"/>
        </w:numPr>
        <w:spacing w:after="100"/>
      </w:pPr>
      <w:r>
        <w:t xml:space="preserve">The consistency check (F12) reports missing and unused entries</w:t>
      </w:r>
    </w:p>
    <w:p>
      <w:pPr>
        <w:pStyle w:val="Heading1"/>
        <w:spacing w:after="160" w:before="280"/>
      </w:pPr>
      <w:r>
        <w:t xml:space="preserve">6. Inline Annotations in the Text</w:t>
      </w:r>
    </w:p>
    <w:p>
      <w:pPr>
        <w:pStyle w:val="Heading2"/>
        <w:spacing w:after="160" w:before="280"/>
      </w:pPr>
      <w:r>
        <w:t xml:space="preserve">6.1 Person Names (&lt;persName&gt;)</w:t>
      </w:r>
    </w:p>
    <w:p>
      <w:pPr>
        <w:spacing w:after="160"/>
      </w:pPr>
      <w:r>
        <w:t xml:space="preserve">Person names in the text are annotated with &lt;persName&gt; and linked to the standOff via @corresp:</w:t>
      </w:r>
    </w:p>
    <w:p>
      <w:pPr>
        <w:shd w:fill="F2F2F2" w:val="clear"/>
        <w:spacing w:after="60"/>
      </w:pPr>
      <w:r>
        <w:rPr>
          <w:rFonts w:ascii="Consolas" w:cs="Consolas" w:eastAsia="Consolas" w:hAnsi="Consolas"/>
          <w:sz w:val="19"/>
          <w:szCs w:val="19"/>
        </w:rPr>
        <w:t xml:space="preserve">&lt;persName type="BUDA" key="P4CN29" corresp="#vasubandhu"&gt;དབྱིག་གཉེན་&lt;/persName&gt;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Attribute</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Content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@type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Reference system: BUDA, SRC</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@key</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Key in the reference system (e.g. P4CN29, 16)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@corresp</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#xml:id of the person in the standOff</w:t>
            </w:r>
          </w:p>
        </w:tc>
      </w:tr>
    </w:tbl>
    <w:p>
      <w:pPr>
        <w:pStyle w:val="Heading2"/>
        <w:spacing w:after="160" w:before="280"/>
      </w:pPr>
      <w:r>
        <w:t xml:space="preserve">6.2 Place Names (&lt;placeName&gt;)</w:t>
      </w:r>
    </w:p>
    <w:p>
      <w:pPr>
        <w:spacing w:after="160"/>
      </w:pPr>
      <w:r>
        <w:t xml:space="preserve">Analogous to &lt;persName&gt;:</w:t>
      </w:r>
    </w:p>
    <w:p>
      <w:pPr>
        <w:shd w:fill="F2F2F2" w:val="clear"/>
        <w:spacing w:after="60"/>
      </w:pPr>
      <w:r>
        <w:rPr>
          <w:rFonts w:ascii="Consolas" w:cs="Consolas" w:eastAsia="Consolas" w:hAnsi="Consolas"/>
          <w:sz w:val="19"/>
          <w:szCs w:val="19"/>
        </w:rPr>
        <w:t xml:space="preserve">&lt;placeName type="BUDA" key="G2DB25458" corresp="#kashmir"&gt;ཀཤྨཱིར་&lt;/placeName&gt;</w:t>
      </w:r>
    </w:p>
    <w:p>
      <w:pPr>
        <w:pStyle w:val="Heading2"/>
        <w:spacing w:after="160" w:before="280"/>
      </w:pPr>
      <w:r>
        <w:t xml:space="preserve">6.3 Work Titles (&lt;title&gt;)</w:t>
      </w:r>
    </w:p>
    <w:p>
      <w:pPr>
        <w:shd w:fill="F2F2F2" w:val="clear"/>
        <w:spacing w:after="60"/>
      </w:pPr>
      <w:r>
        <w:rPr>
          <w:rFonts w:ascii="Consolas" w:cs="Consolas" w:eastAsia="Consolas" w:hAnsi="Consolas"/>
          <w:sz w:val="19"/>
          <w:szCs w:val="19"/>
        </w:rPr>
        <w:t xml:space="preserve">&lt;title type="BUDA" key="W22084" corresp="#bca"&gt;བྱང་ཆུབ་སེམས་དཔའི་སྤྱོད་པ་ལ་འཇུག་པ་&lt;/title&gt;</w:t>
      </w:r>
    </w:p>
    <w:p>
      <w:pPr>
        <w:pStyle w:val="Heading2"/>
        <w:spacing w:after="160" w:before="280"/>
      </w:pPr>
      <w:r>
        <w:t xml:space="preserve">6.4 Disallowed Elements and Attributes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Not allowed</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Correct alternative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&lt;br/&gt;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&lt;lb/&gt;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&lt;trans&gt;...&lt;/trans&gt;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&lt;p xml:lang="de"&gt;...&lt;/p&gt;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render="..."</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rend="..."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xml:lang="wylie"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xml:lang="bo-Latn"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xml:lang="tib"</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xml:lang="bo"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xml:lang="english"</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xml:lang="en"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&lt;div name="..."&gt;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&lt;div type="..."&gt;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role= on &lt;person&gt;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&lt;note type="role"&gt;...&lt;/note&gt;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keynote=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remove</w:t>
            </w:r>
          </w:p>
        </w:tc>
      </w:tr>
    </w:tbl>
    <w:p>
      <w:pPr>
        <w:pStyle w:val="Heading1"/>
        <w:spacing w:after="160" w:before="280"/>
      </w:pPr>
      <w:r>
        <w:t xml:space="preserve">7. Consistency Rules</w:t>
      </w:r>
    </w:p>
    <w:p>
      <w:pPr>
        <w:pStyle w:val="Heading2"/>
        <w:spacing w:after="160" w:before="280"/>
      </w:pPr>
      <w:r>
        <w:t xml:space="preserve">7.1 xml:id Rules</w:t>
      </w:r>
    </w:p>
    <w:p>
      <w:pPr>
        <w:pStyle w:val="ListParagraph"/>
        <w:numPr>
          <w:ilvl w:val="0"/>
          <w:numId w:val="2"/>
        </w:numPr>
        <w:spacing w:after="100"/>
      </w:pPr>
      <w:r>
        <w:t xml:space="preserve">ASCII lower-case letters, digits and underscore only</w:t>
      </w:r>
    </w:p>
    <w:p>
      <w:pPr>
        <w:pStyle w:val="ListParagraph"/>
        <w:numPr>
          <w:ilvl w:val="0"/>
          <w:numId w:val="2"/>
        </w:numPr>
        <w:spacing w:after="100"/>
      </w:pPr>
      <w:r>
        <w:t xml:space="preserve">No duplicates within a file</w:t>
      </w:r>
    </w:p>
    <w:p>
      <w:pPr>
        <w:pStyle w:val="ListParagraph"/>
        <w:numPr>
          <w:ilvl w:val="0"/>
          <w:numId w:val="2"/>
        </w:numPr>
        <w:spacing w:after="100"/>
      </w:pPr>
      <w:r>
        <w:t xml:space="preserve">Descriptive and unambiguous (e.g. vasubandhu, src_p16, place_kashmir)</w:t>
      </w:r>
    </w:p>
    <w:p>
      <w:pPr>
        <w:pStyle w:val="ListParagraph"/>
        <w:numPr>
          <w:ilvl w:val="0"/>
          <w:numId w:val="2"/>
        </w:numPr>
        <w:spacing w:after="100"/>
      </w:pPr>
      <w:r>
        <w:t xml:space="preserve">Placeholders: person_placeholder, place_placeholder</w:t>
      </w:r>
    </w:p>
    <w:p>
      <w:pPr>
        <w:pStyle w:val="Heading2"/>
        <w:spacing w:after="160" w:before="280"/>
      </w:pPr>
      <w:r>
        <w:t xml:space="preserve">7.2 @n Attribute on &lt;pb&gt;</w:t>
      </w:r>
    </w:p>
    <w:p>
      <w:pPr>
        <w:spacing w:after="160"/>
      </w:pPr>
      <w:r>
        <w:t xml:space="preserve">No leading or trailing spaces. Permitted formats:</w:t>
      </w:r>
    </w:p>
    <w:p>
      <w:pPr>
        <w:pStyle w:val="ListParagraph"/>
        <w:numPr>
          <w:ilvl w:val="0"/>
          <w:numId w:val="2"/>
        </w:numPr>
        <w:spacing w:after="100"/>
      </w:pPr>
      <w:r>
        <w:t xml:space="preserve">Arabic numerals: 1, 2, 3 ...</w:t>
      </w:r>
    </w:p>
    <w:p>
      <w:pPr>
        <w:pStyle w:val="ListParagraph"/>
        <w:numPr>
          <w:ilvl w:val="0"/>
          <w:numId w:val="2"/>
        </w:numPr>
        <w:spacing w:after="100"/>
      </w:pPr>
      <w:r>
        <w:t xml:space="preserve">Folio notation: 1a, 1b, 2a, 2b ...</w:t>
      </w:r>
    </w:p>
    <w:p>
      <w:pPr>
        <w:pStyle w:val="ListParagraph"/>
        <w:numPr>
          <w:ilvl w:val="0"/>
          <w:numId w:val="2"/>
        </w:numPr>
        <w:spacing w:after="100"/>
      </w:pPr>
      <w:r>
        <w:t xml:space="preserve">Combined: 60a, 60b, 61a ...</w:t>
      </w:r>
    </w:p>
    <w:p>
      <w:pPr>
        <w:pStyle w:val="Heading2"/>
        <w:spacing w:after="160" w:before="280"/>
      </w:pPr>
      <w:r>
        <w:t xml:space="preserve">7.3 Date Specifications</w:t>
      </w:r>
    </w:p>
    <w:p>
      <w:pPr>
        <w:spacing w:after="160"/>
      </w:pPr>
      <w:r>
        <w:t xml:space="preserve">All @when attributes must be ISO 8601-compliant: YYYY, YYYY-MM or YYYY-MM-DD. Question marks (1501?) are not permitted.</w:t>
      </w:r>
    </w:p>
    <w:p>
      <w:pPr>
        <w:pStyle w:val="Heading2"/>
        <w:spacing w:after="160" w:before="280"/>
      </w:pPr>
      <w:r>
        <w:t xml:space="preserve">7.4 Empty Elements</w:t>
      </w:r>
    </w:p>
    <w:p>
      <w:pPr>
        <w:spacing w:after="160"/>
      </w:pPr>
      <w:r>
        <w:t xml:space="preserve">TEI P5 elements that require text content (e.g. &lt;p&gt;, &lt;desc&gt;, &lt;interpretation&gt;, &lt;hyphenation&gt;, &lt;quotation&gt;) must not be empty. Placeholders are inserted as XML comments:</w:t>
      </w:r>
    </w:p>
    <w:p>
      <w:pPr>
        <w:shd w:fill="F2F2F2" w:val="clear"/>
        <w:spacing w:after="60"/>
      </w:pPr>
      <w:r>
        <w:rPr>
          <w:rFonts w:ascii="Consolas" w:cs="Consolas" w:eastAsia="Consolas" w:hAnsi="Consolas"/>
          <w:sz w:val="19"/>
          <w:szCs w:val="19"/>
        </w:rPr>
        <w:t xml:space="preserve">&lt;p&gt;&lt;!-- Placeholder: description not yet captured --&gt;&lt;/p&gt;</w:t>
      </w:r>
    </w:p>
    <w:p>
      <w:pPr>
        <w:pStyle w:val="Heading1"/>
        <w:spacing w:after="160" w:before="280"/>
      </w:pPr>
      <w:r>
        <w:t xml:space="preserve">8. Validation</w:t>
      </w:r>
    </w:p>
    <w:p>
      <w:pPr>
        <w:pStyle w:val="Heading2"/>
        <w:spacing w:after="160" w:before="280"/>
      </w:pPr>
      <w:r>
        <w:t xml:space="preserve">8.1 TEI P5 Validation</w:t>
      </w:r>
    </w:p>
    <w:p>
      <w:pPr>
        <w:spacing w:after="160"/>
      </w:pPr>
      <w:r>
        <w:t xml:space="preserve">Every file is validated against the TEI P5 schema (tei_all.rng) with the Oxygen XML Editor before each commit. A green validation is mandatory.</w:t>
      </w:r>
    </w:p>
    <w:p>
      <w:pPr>
        <w:pStyle w:val="Heading2"/>
        <w:spacing w:after="160" w:before="280"/>
      </w:pPr>
      <w:r>
        <w:t xml:space="preserve">8.2 Consistency Check in the Browser</w:t>
      </w:r>
    </w:p>
    <w:p>
      <w:pPr>
        <w:spacing w:after="160"/>
      </w:pPr>
      <w:r>
        <w:t xml:space="preserve">The JavaScript system (detail.js) performs an automatic consistency check on load (F12 → Console):</w:t>
      </w:r>
    </w:p>
    <w:p>
      <w:pPr>
        <w:pStyle w:val="ListParagraph"/>
        <w:numPr>
          <w:ilvl w:val="0"/>
          <w:numId w:val="2"/>
        </w:numPr>
        <w:spacing w:after="100"/>
      </w:pPr>
      <w:r>
        <w:t xml:space="preserve">Errors (yellow): duplicate xml:id, unresolved @corresp references</w:t>
      </w:r>
    </w:p>
    <w:p>
      <w:pPr>
        <w:pStyle w:val="ListParagraph"/>
        <w:numPr>
          <w:ilvl w:val="0"/>
          <w:numId w:val="2"/>
        </w:numPr>
        <w:spacing w:after="100"/>
      </w:pPr>
      <w:r>
        <w:t xml:space="preserve">Notices (blue, collapsed): missing BUDA URLs for known persons/places</w:t>
      </w:r>
    </w:p>
    <w:p>
      <w:pPr>
        <w:pStyle w:val="ListParagraph"/>
        <w:numPr>
          <w:ilvl w:val="0"/>
          <w:numId w:val="2"/>
        </w:numPr>
        <w:spacing w:after="100"/>
      </w:pPr>
      <w:r>
        <w:t xml:space="preserve">Placeholders (place_placeholder, person_placeholder) are suppressed in the check</w:t>
      </w:r>
    </w:p>
    <w:p>
      <w:pPr>
        <w:pStyle w:val="Heading2"/>
        <w:spacing w:after="160" w:before="280"/>
      </w:pPr>
      <w:r>
        <w:t xml:space="preserve">8.3 Checklist Before Every Commit</w:t>
      </w:r>
    </w:p>
    <w:p>
      <w:pPr>
        <w:pStyle w:val="ListParagraph"/>
        <w:numPr>
          <w:ilvl w:val="0"/>
          <w:numId w:val="2"/>
        </w:numPr>
        <w:spacing w:after="100"/>
      </w:pPr>
      <w:r>
        <w:t xml:space="preserve">Oxygen: validation green (no errors, no warnings)</w:t>
      </w:r>
    </w:p>
    <w:p>
      <w:pPr>
        <w:pStyle w:val="ListParagraph"/>
        <w:numPr>
          <w:ilvl w:val="0"/>
          <w:numId w:val="2"/>
        </w:numPr>
        <w:spacing w:after="100"/>
      </w:pPr>
      <w:r>
        <w:t xml:space="preserve">@n on &lt;pb&gt;: no spaces, ISO date format</w:t>
      </w:r>
    </w:p>
    <w:p>
      <w:pPr>
        <w:pStyle w:val="ListParagraph"/>
        <w:numPr>
          <w:ilvl w:val="0"/>
          <w:numId w:val="2"/>
        </w:numPr>
        <w:spacing w:after="100"/>
      </w:pPr>
      <w:r>
        <w:t xml:space="preserve">xml:lang: only BCP-47-compliant codes (bo, bo-Latn, sa, de, en)</w:t>
      </w:r>
    </w:p>
    <w:p>
      <w:pPr>
        <w:pStyle w:val="ListParagraph"/>
        <w:numPr>
          <w:ilvl w:val="0"/>
          <w:numId w:val="2"/>
        </w:numPr>
        <w:spacing w:after="100"/>
      </w:pPr>
      <w:r>
        <w:t xml:space="preserve">standOff: all persons with role and idno</w:t>
      </w:r>
    </w:p>
    <w:p>
      <w:pPr>
        <w:pStyle w:val="ListParagraph"/>
        <w:numPr>
          <w:ilvl w:val="0"/>
          <w:numId w:val="2"/>
        </w:numPr>
        <w:spacing w:after="100"/>
      </w:pPr>
      <w:r>
        <w:t xml:space="preserve">corresp: all inline annotations linked with #xml:id</w:t>
      </w:r>
    </w:p>
    <w:p>
      <w:pPr>
        <w:pStyle w:val="ListParagraph"/>
        <w:numPr>
          <w:ilvl w:val="0"/>
          <w:numId w:val="2"/>
        </w:numPr>
        <w:spacing w:after="100"/>
      </w:pPr>
      <w:r>
        <w:t xml:space="preserve">revisionDesc: change entered with correct date 2026</w:t>
      </w:r>
    </w:p>
    <w:p>
      <w:pPr>
        <w:pStyle w:val="ListParagraph"/>
        <w:numPr>
          <w:ilvl w:val="0"/>
          <w:numId w:val="2"/>
        </w:numPr>
        <w:spacing w:after="100"/>
      </w:pPr>
      <w:r>
        <w:t xml:space="preserve">facs paths: file names exactly as on GitHub (capitalisation)</w:t>
      </w:r>
    </w:p>
    <w:p>
      <w:pPr>
        <w:pStyle w:val="Heading1"/>
        <w:spacing w:after="160" w:before="280"/>
      </w:pPr>
      <w:r>
        <w:t xml:space="preserve">9. Version History of This Guideline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Version</w:t>
            </w:r>
          </w:p>
        </w:tc>
        <w:tc>
          <w:tcPr>
            <w:tcW w:type="dxa" w:w="7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Date / Change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2026-05-18 — first version based on the seven edited witnesses
2026-05-30 — v1.4: external standOff (standoff.xml), BUDA key states (???/N/A), title separation (&lt;persName type="title"&gt;), rKTs as an authority source, verb/particle marking in the browser</w:t>
            </w:r>
          </w:p>
        </w:tc>
      </w:tr>
    </w:tbl>
    <w:p>
      <w:pPr>
        <w:spacing w:before="300"/>
        <w:jc w:val="center"/>
      </w:pPr>
      <w:r>
        <w:rPr>
          <w:i/>
          <w:iCs/>
          <w:sz w:val="18"/>
          <w:szCs w:val="18"/>
        </w:rPr>
        <w:t xml:space="preserve">TibetanTEI — Institute for South Asian, Tibetan and Buddhist Studies, University of Vienna — 2026</w:t>
      </w:r>
    </w:p>
    <w:p>
      <w:r>
        <w:br w:type="page"/>
      </w:r>
    </w:p>
    <w:p>
      <w:pPr>
        <w:pStyle w:val="Heading1"/>
        <w:spacing w:after="160" w:before="280"/>
      </w:pPr>
      <w:r>
        <w:t xml:space="preserve">10. Work in Progress — the Digital Edition as an Open Process</w:t>
      </w:r>
    </w:p>
    <w:p>
      <w:pPr>
        <w:spacing w:after="160"/>
      </w:pPr>
      <w:r>
        <w:t xml:space="preserve">Unlike a classical print edition, digital projects also require, for technical reasons, rules that are generalisable while at the same time extremely precise and that cover every textual phenomenon, since the programming of the machine-driven text rendering and visualisation is based on them. Inaccuracies in the encoding or data modelling become immediately apparent as faulty text display.</w:t>
      </w:r>
    </w:p>
    <w:p>
      <w:pPr>
        <w:spacing w:after="160"/>
      </w:pPr>
      <w:r>
        <w:t xml:space="preserve">Because the edition is developed agilely and its concept is continually refined and extended with new encodings, faulty displays can arise from competing data queries and may appear even in already proofread, “finished” texts. Conspicuous display errors in particular (such as implausible blank lines and spaces, overlapping text fragments, marker-display glitches, etc.) are usually not rooted in the interpretation and encoding of a given finding.</w:t>
      </w:r>
    </w:p>
    <w:p>
      <w:pPr>
        <w:spacing w:after="160"/>
      </w:pPr>
      <w:r>
        <w:t xml:space="preserve">As long as the edition is under development (i.e. until the last published witness), this “openness” is part of the work. Against the concern that, given the unmanageable situation, the reader’s presumption of trust regarding the textual rendering could very easily turn into a presumption of distrust (Hurlebusch 1995, p. 33), TibetanTEI sets against it the greatest possible transparency:</w:t>
      </w:r>
    </w:p>
    <w:p>
      <w:pPr>
        <w:pStyle w:val="ListParagraph"/>
        <w:numPr>
          <w:ilvl w:val="0"/>
          <w:numId w:val="2"/>
        </w:numPr>
        <w:spacing w:after="100"/>
      </w:pPr>
      <w:r>
        <w:t xml:space="preserve">the view of the facsimile as the “maximum of evidence” (Zeller 1998, p. 154),</w:t>
      </w:r>
    </w:p>
    <w:p>
      <w:pPr>
        <w:pStyle w:val="ListParagraph"/>
        <w:numPr>
          <w:ilvl w:val="0"/>
          <w:numId w:val="2"/>
        </w:numPr>
        <w:spacing w:after="100"/>
      </w:pPr>
      <w:r>
        <w:t xml:space="preserve">the view of the text encoded in TEI XML as a display of all interpretations undertaken,</w:t>
      </w:r>
    </w:p>
    <w:p>
      <w:pPr>
        <w:pStyle w:val="ListParagraph"/>
        <w:numPr>
          <w:ilvl w:val="0"/>
          <w:numId w:val="2"/>
        </w:numPr>
        <w:spacing w:after="100"/>
      </w:pPr>
      <w:r>
        <w:t xml:space="preserve">the applied editorial guidelines presented in as much detail as possible (the present document).</w:t>
      </w:r>
    </w:p>
    <w:p>
      <w:pPr>
        <w:spacing w:after="160"/>
      </w:pPr>
      <w:r>
        <w:rPr>
          <w:b/>
          <w:bCs/>
        </w:rPr>
        <w:t xml:space="preserve">References: </w:t>
      </w:r>
      <w:r>
        <w:t xml:space="preserve">Hurlebusch, Klaus (1995): “Klopstocks Arbeitsbuch. Entwicklung und Erprobung einer Konzeption zur Erforschung und Edition von Notizbuchaufzeichnungen.” In: Editio 9, pp. 1–49. — Zeller, Hans (1998): “Record and Interpretation: Analysis and Documentation as Goal and Method of Editing.” In: Contemporary German Editorial Theory. Ed. Hans Walter Gabler et al. Ann Arbor, pp. 17–58.</w:t>
      </w:r>
    </w:p>
    <w:p>
      <w:pPr>
        <w:pStyle w:val="Heading1"/>
        <w:spacing w:after="160" w:before="280"/>
      </w:pPr>
      <w:r>
        <w:t xml:space="preserve">11. Syntactic and Semantic Annotation</w:t>
      </w:r>
    </w:p>
    <w:p>
      <w:pPr>
        <w:pStyle w:val="Heading2"/>
        <w:spacing w:after="160" w:before="280"/>
      </w:pPr>
      <w:r>
        <w:t xml:space="preserve">11.1 Basic Principles</w:t>
      </w:r>
    </w:p>
    <w:p>
      <w:pPr>
        <w:spacing w:after="160"/>
      </w:pPr>
      <w:r>
        <w:t xml:space="preserve">The syntactic and semantic annotation follows the methodology of Schwieger (Tibetan Grammar, cited as §[section]) and Bialek (Lessons on the Classical Tibetan Written Language, cited as Lek. [no.]; Classical Tibetan Grammar, cited as CTG; Textbook, cited as TB). The annotation structure is based on four levels: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Level</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TEI element / Function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Sentence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&lt;s&gt; — complete sentence (with punctuation)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Clause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&lt;cl&gt; — dependent or independent clause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Phrase / constituent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&lt;phr&gt; — syntactic phrase with function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Word / token</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&lt;w&gt; — smallest annotated unit</w:t>
            </w:r>
          </w:p>
        </w:tc>
      </w:tr>
    </w:tbl>
    <w:p>
      <w:pPr>
        <w:spacing w:after="160"/>
      </w:pPr>
      <w:r>
        <w:rPr>
          <w:b/>
          <w:bCs/>
        </w:rPr>
        <w:t xml:space="preserve">Methodological basis: </w:t>
      </w:r>
      <w:r>
        <w:t xml:space="preserve">The sentence-pattern analysis follows Schwieger/Bialek. Every constituent is classified according to its syntactic function (subject, direct object, indirect object, predicate, adverbial). In addition, a TIGER-XML-compatible tree structure is created.</w:t>
      </w:r>
    </w:p>
    <w:p>
      <w:pPr>
        <w:pStyle w:val="Heading2"/>
        <w:spacing w:after="160" w:before="280"/>
      </w:pPr>
      <w:r>
        <w:t xml:space="preserve">11.2 The Tseg Rule (་)</w:t>
      </w:r>
    </w:p>
    <w:p>
      <w:pPr>
        <w:spacing w:after="160"/>
      </w:pPr>
      <w:r>
        <w:t xml:space="preserve">The tseg (་, U+0F0B) stands as a text node between the tags, not inside &lt;w&gt;:</w:t>
      </w:r>
    </w:p>
    <w:p>
      <w:pPr>
        <w:shd w:fill="F2F2F2" w:val="clear"/>
        <w:spacing w:after="60"/>
      </w:pPr>
      <w:r>
        <w:rPr>
          <w:rFonts w:ascii="Microsoft Himalaya" w:cs="Microsoft Himalaya" w:eastAsia="Microsoft Himalaya" w:hAnsi="Microsoft Himalaya"/>
          <w:sz w:val="19"/>
          <w:szCs w:val="19"/>
        </w:rPr>
        <w:t xml:space="preserve">&lt;w&gt;sloB dpon&lt;/w&gt;་&lt;w&gt;chen po&lt;/w&gt;་&lt;w&gt;dbyig gnyen&lt;/w&gt;་</w:t>
      </w:r>
    </w:p>
    <w:p>
      <w:pPr>
        <w:spacing w:after="160"/>
      </w:pPr>
      <w:r>
        <w:t xml:space="preserve">In Tibetan script:</w:t>
      </w:r>
    </w:p>
    <w:p>
      <w:pPr>
        <w:shd w:fill="F2F2F2" w:val="clear"/>
        <w:spacing w:after="60"/>
      </w:pPr>
      <w:r>
        <w:rPr>
          <w:rFonts w:ascii="Microsoft Himalaya" w:cs="Microsoft Himalaya" w:eastAsia="Microsoft Himalaya" w:hAnsi="Microsoft Himalaya"/>
          <w:sz w:val="19"/>
          <w:szCs w:val="19"/>
        </w:rPr>
        <w:t xml:space="preserve">&lt;w&gt;སློབ་དཔོན&lt;/w&gt;་&lt;w&gt;ཅུན་པོ&lt;/w&gt;་&lt;w&gt;དབཡིག་གྉེན&lt;/w&gt;་</w:t>
      </w:r>
    </w:p>
    <w:p>
      <w:pPr>
        <w:spacing w:after="160"/>
      </w:pPr>
      <w:r>
        <w:t xml:space="preserve">Exceptions:</w:t>
      </w:r>
    </w:p>
    <w:p>
      <w:pPr>
        <w:pStyle w:val="ListParagraph"/>
        <w:numPr>
          <w:ilvl w:val="0"/>
          <w:numId w:val="2"/>
        </w:numPr>
        <w:spacing w:after="100"/>
      </w:pPr>
      <w:r>
        <w:t xml:space="preserve">No tseg after the last token before ། (shad) or །། (nyis shad)</w:t>
      </w:r>
    </w:p>
    <w:p>
      <w:pPr>
        <w:pStyle w:val="ListParagraph"/>
        <w:numPr>
          <w:ilvl w:val="0"/>
          <w:numId w:val="2"/>
        </w:numPr>
        <w:spacing w:after="100"/>
      </w:pPr>
      <w:r>
        <w:t xml:space="preserve">Multi-part lexemes (compounds) contain the tseg inside the &lt;w&gt; element: &lt;w&gt;སལོབ་དཔོན&lt;/w&gt; — here the medial tseg is part of the token</w:t>
      </w:r>
    </w:p>
    <w:p>
      <w:pPr>
        <w:pStyle w:val="ListParagraph"/>
        <w:numPr>
          <w:ilvl w:val="0"/>
          <w:numId w:val="2"/>
        </w:numPr>
        <w:spacing w:after="100"/>
      </w:pPr>
      <w:r>
        <w:t xml:space="preserve">Proper names within &lt;persName&gt; or &lt;placeName&gt;: the closing tseg follows the closing &lt;/w&gt; but remains inside the surrounding named-entity tag</w:t>
      </w:r>
    </w:p>
    <w:p>
      <w:pPr>
        <w:spacing w:after="160"/>
      </w:pPr>
      <w:r>
        <w:t xml:space="preserve">Correct structure for a named entity:</w:t>
      </w:r>
    </w:p>
    <w:p>
      <w:pPr>
        <w:shd w:fill="F2F2F2" w:val="clear"/>
        <w:spacing w:after="60"/>
      </w:pPr>
      <w:r>
        <w:rPr>
          <w:rFonts w:ascii="Consolas" w:cs="Consolas" w:eastAsia="Consolas" w:hAnsi="Consolas"/>
          <w:sz w:val="19"/>
          <w:szCs w:val="19"/>
        </w:rPr>
        <w:t xml:space="preserve">&lt;persName type="BUDA" key="P6119" corresp="#vasubandhu"&gt;</w:t>
      </w:r>
    </w:p>
    <w:p>
      <w:pPr>
        <w:shd w:fill="F2F2F2" w:val="clear"/>
        <w:spacing w:after="60"/>
      </w:pPr>
      <w:r>
        <w:rPr>
          <w:rFonts w:ascii="Microsoft Himalaya" w:cs="Microsoft Himalaya" w:eastAsia="Microsoft Himalaya" w:hAnsi="Microsoft Himalaya"/>
          <w:sz w:val="19"/>
          <w:szCs w:val="19"/>
        </w:rPr>
        <w:t xml:space="preserve">&lt;w xml:id="w65a01_03" pos="N.prop"&gt;dbyig gnyen&lt;/w&gt;་</w:t>
      </w:r>
    </w:p>
    <w:p>
      <w:pPr>
        <w:shd w:fill="F2F2F2" w:val="clear"/>
        <w:spacing w:after="60"/>
      </w:pPr>
      <w:r>
        <w:rPr>
          <w:rFonts w:ascii="Consolas" w:cs="Consolas" w:eastAsia="Consolas" w:hAnsi="Consolas"/>
          <w:sz w:val="19"/>
          <w:szCs w:val="19"/>
        </w:rPr>
        <w:t xml:space="preserve">&lt;/persName&gt;</w:t>
      </w:r>
    </w:p>
    <w:p>
      <w:pPr>
        <w:pStyle w:val="Heading2"/>
        <w:spacing w:after="160" w:before="280"/>
      </w:pPr>
      <w:r>
        <w:t xml:space="preserve">11.3 Tokenisation (&lt;w&gt;)</w:t>
      </w:r>
    </w:p>
    <w:p>
      <w:pPr>
        <w:spacing w:after="160"/>
      </w:pPr>
      <w:r>
        <w:t xml:space="preserve">Every Tibetan token receives a &lt;w&gt; element with a unique xml:id. The ID format is:</w:t>
      </w:r>
    </w:p>
    <w:p>
      <w:pPr>
        <w:shd w:fill="F2F2F2" w:val="clear"/>
        <w:spacing w:after="60"/>
      </w:pPr>
      <w:r>
        <w:rPr>
          <w:rFonts w:ascii="Consolas" w:cs="Consolas" w:eastAsia="Consolas" w:hAnsi="Consolas"/>
          <w:sz w:val="19"/>
          <w:szCs w:val="19"/>
        </w:rPr>
        <w:t xml:space="preserve">w[page-designation]_[sentence-number]_[token-number]</w:t>
      </w:r>
    </w:p>
    <w:p>
      <w:pPr>
        <w:spacing w:after="160"/>
      </w:pPr>
      <w:r>
        <w:t xml:space="preserve">Example:</w:t>
      </w:r>
    </w:p>
    <w:p>
      <w:pPr>
        <w:shd w:fill="F2F2F2" w:val="clear"/>
        <w:spacing w:after="60"/>
      </w:pPr>
      <w:r>
        <w:rPr>
          <w:rFonts w:ascii="Consolas" w:cs="Consolas" w:eastAsia="Consolas" w:hAnsi="Consolas"/>
          <w:sz w:val="19"/>
          <w:szCs w:val="19"/>
        </w:rPr>
        <w:t xml:space="preserve">w65a01_03 → page 65a, sentence 01, token 03</w:t>
      </w:r>
    </w:p>
    <w:p>
      <w:pPr>
        <w:spacing w:after="160"/>
      </w:pPr>
      <w:r>
        <w:t xml:space="preserve">Tokenisation rule: a token corresponds to one Tibetan syllable up to the tseg. Exceptions:</w:t>
      </w:r>
    </w:p>
    <w:p>
      <w:pPr>
        <w:pStyle w:val="ListParagraph"/>
        <w:numPr>
          <w:ilvl w:val="0"/>
          <w:numId w:val="2"/>
        </w:numPr>
        <w:spacing w:after="100"/>
      </w:pPr>
      <w:r>
        <w:t xml:space="preserve">Compounds and fixed collocations are treated as a single token (e.g. sloB-dpon = one token)</w:t>
      </w:r>
    </w:p>
    <w:p>
      <w:pPr>
        <w:pStyle w:val="ListParagraph"/>
        <w:numPr>
          <w:ilvl w:val="0"/>
          <w:numId w:val="2"/>
        </w:numPr>
        <w:spacing w:after="100"/>
      </w:pPr>
      <w:r>
        <w:t xml:space="preserve">Grammatical particles (case markers, final particles) form independent tokens</w:t>
      </w:r>
    </w:p>
    <w:p>
      <w:pPr>
        <w:pStyle w:val="ListParagraph"/>
        <w:numPr>
          <w:ilvl w:val="0"/>
          <w:numId w:val="2"/>
        </w:numPr>
        <w:spacing w:after="100"/>
      </w:pPr>
      <w:r>
        <w:t xml:space="preserve">Punctuation marks (། and །།) are encoded as &lt;pc&gt; (punctuation character), not as &lt;w&gt;</w:t>
      </w:r>
    </w:p>
    <w:p>
      <w:pPr>
        <w:pStyle w:val="Heading2"/>
        <w:spacing w:after="160" w:before="280"/>
      </w:pPr>
      <w:r>
        <w:t xml:space="preserve">11.4 POS Tagset (Part of Speech)</w:t>
      </w:r>
    </w:p>
    <w:p>
      <w:pPr>
        <w:spacing w:after="160"/>
      </w:pPr>
      <w:r>
        <w:t xml:space="preserve">The POS tagset follows a hierarchical notation (main category.subcategory):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900"/>
      </w:tblGrid>
      <w:tr>
        <w:trPr>
          <w:tblHeader/>
        </w:trPr>
        <w:tc>
          <w:tcPr>
            <w:tcW w:type="dxa" w:w="16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POS tag</w:t>
            </w:r>
          </w:p>
        </w:tc>
        <w:tc>
          <w:tcPr>
            <w:tcW w:type="dxa" w:w="30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Tibetan</w:t>
            </w:r>
          </w:p>
        </w:tc>
        <w:tc>
          <w:tcPr>
            <w:tcW w:type="dxa" w:w="49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Description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Noun (general)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N.prop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ཐམས་ཁཱར་བཡང་ཅུབ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Proper name (person, place, work)</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N.hon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ཐ་བེ་བཡང་ཅུབ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Noun (honorific)</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N.v.past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ངོན་བཡང་ཅུབ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Verbal noun (past)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N.v.pres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དཱ་བཡང་ཅུབ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Verbal noun (present)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N.v.fut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མ\u0f60ོན་བཡང་ཅུབ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Verbal noun (future)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བཡ་དངོས</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 (general / unmarked)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V.past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ཕ\u0f60ུང་དངོས</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 (2nd stem form / past)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V.pres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དཱ་དངོས</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 (1st stem form / present)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V.fut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མའོན་དངོས</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 (3rd stem form / future)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V.imp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བཡང་མཏོན</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 (4th stem form / imperative)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V.cop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སྗེལ་བཡང་ཅུབ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Copula (yin, red, ste,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V.exist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ཡོད་བཡང་ཅུབ</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Existential verb (yod, med,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V.hon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ཐ་བེ་དངོས</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Verb (honorific)</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ADJ</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བཡ་དངོས་ཁཱར་དག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Adjective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ADJ.hon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ཐ་བེ་བཡ་དངོས་ཁཱར་དག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Adjective (honorific)</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དངོས་ལག་ཁཱར་དག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Adverb</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ཏ་ཁཱར་ཅིག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Particle (general)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PART.case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ཏ་ཁཱར་ང་བཡ་ཅིག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Case particle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PART.final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མཐཱ་ཅིག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Final particle / converb</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PART.quot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བར་ཁཱར་ཅིག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Quotative particle (zhes, ces,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PART.top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ཆཱ་བ་ཅིག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Topic particle (ni,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དགཱག་བཡ་ཅིག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Negation particle (ma, mi, med)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PART.pl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བུ་ཆུ་ཅིག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Plural particle (rnams, dag,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PART.indef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དཁ་བ་ཅིག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Indefinite particle (zhig, gcig,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PART.inter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དརིས་བཡ་ཅིག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Interrogative particle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PART.cv</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ཁཱ་བཡ་ཅིག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Converb particle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མིང་དངོས</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Pronoun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ངོ་བཡ་ཅིག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Determiner / demonstrative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NUM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ལག་གརན་བཡ་ཅིག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Numeral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QUANT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གཆུ་ཕཱ་ཅིག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Quantifier (thams cad, mang po, ...)</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གཆུ་ཊིན་ཅིག</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Interjection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Punctuation (| , ||, shad)</w:t>
            </w:r>
          </w:p>
        </w:tc>
      </w:tr>
    </w:tbl>
    <w:p>
      <w:pPr>
        <w:pStyle w:val="Heading2"/>
        <w:spacing w:after="160" w:before="280"/>
      </w:pPr>
      <w:r>
        <w:t xml:space="preserve">11.5 Morpho-syntactic Attributes on &lt;w&gt;</w:t>
      </w:r>
    </w:p>
    <w:p>
      <w:pPr>
        <w:spacing w:after="160"/>
      </w:pPr>
      <w:r>
        <w:t xml:space="preserve">Every &lt;w&gt; element carries the following attributes (mandatory and optional):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Attribute</w:t>
            </w:r>
          </w:p>
        </w:tc>
        <w:tc>
          <w:tcPr>
            <w:tcW w:type="dxa" w:w="7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Content / Values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xml:id</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Mandatory. Format: w[page]_[sentence]_[token], e.g. w65a01_03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Mandatory. POS tag according to the tagset (section 10.4)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type</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Word class in full form (noun, verb, particle, adjective, adverb, pronoun, numeral, demonstrative, quantifier, interrogative)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subtype</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Subcategory (genitive, dative, locative, ablative, terminative, agentive, comitative, quotative, semifinal, indefinite, personal_name, place_name, verbal_noun, intensifier)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function</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Case/particle function (genitive, dative, locative, ablative, terminative, agentive, comitative, quotative)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lemma</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Base form of the token (optional, for verb forms)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vclass → ana</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TEI P5-compliant as an attribute. Encode as an @ana value: ana="VG1" through ana="VG6"</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valency → ana</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TEI P5-compliant as an attribute. Encode as an @ana value: ana="tdV" or ana="tmdV"</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sf</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TEI P5-compliant as an attribute. Encode as an @ana value: ana="1.SF" through ana="4.SF"</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corresp</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Reference to a named entity in the standOff (only for N.prop). Also for morpho-syntactic values: verb class (VG1–VG6), valency (tdV/tmdV), stem form (1.SF–4.SF). Multiple values space-separated: ana="VG3 tdV 2.SF"</w:t>
            </w:r>
          </w:p>
        </w:tc>
      </w:tr>
    </w:tbl>
    <w:p>
      <w:pPr>
        <w:spacing w:after="160"/>
      </w:pPr>
      <w:r>
        <w:t xml:space="preserve">Example of a complete &lt;w&gt; annotation:</w:t>
      </w:r>
    </w:p>
    <w:p>
      <w:pPr>
        <w:shd w:fill="F2F2F2" w:val="clear"/>
        <w:spacing w:after="60"/>
      </w:pPr>
      <w:r>
        <w:rPr>
          <w:rFonts w:ascii="Consolas" w:cs="Consolas" w:eastAsia="Consolas" w:hAnsi="Consolas"/>
          <w:sz w:val="19"/>
          <w:szCs w:val="19"/>
        </w:rPr>
        <w:t xml:space="preserve">&lt;w xml:id="w65b03_08"</w:t>
      </w:r>
    </w:p>
    <w:p>
      <w:pPr>
        <w:shd w:fill="F2F2F2" w:val="clear"/>
        <w:spacing w:after="60"/>
      </w:pPr>
      <w:r>
        <w:rPr>
          <w:rFonts w:ascii="Consolas" w:cs="Consolas" w:eastAsia="Consolas" w:hAnsi="Consolas"/>
          <w:sz w:val="19"/>
          <w:szCs w:val="19"/>
        </w:rPr>
        <w:t xml:space="preserve">pos="V.past"</w:t>
      </w:r>
    </w:p>
    <w:p>
      <w:pPr>
        <w:shd w:fill="F2F2F2" w:val="clear"/>
        <w:spacing w:after="60"/>
      </w:pPr>
      <w:r>
        <w:rPr>
          <w:rFonts w:ascii="Consolas" w:cs="Consolas" w:eastAsia="Consolas" w:hAnsi="Consolas"/>
          <w:sz w:val="19"/>
          <w:szCs w:val="19"/>
        </w:rPr>
        <w:t xml:space="preserve">type="verb"</w:t>
      </w:r>
    </w:p>
    <w:p>
      <w:pPr>
        <w:shd w:fill="F2F2F2" w:val="clear"/>
        <w:spacing w:after="60"/>
      </w:pPr>
      <w:r>
        <w:rPr>
          <w:rFonts w:ascii="Consolas" w:cs="Consolas" w:eastAsia="Consolas" w:hAnsi="Consolas"/>
          <w:sz w:val="19"/>
          <w:szCs w:val="19"/>
        </w:rPr>
        <w:t xml:space="preserve">ana="VG3 tdV 2.SF"</w:t>
      </w:r>
    </w:p>
    <w:p>
      <w:pPr>
        <w:shd w:fill="F2F2F2" w:val="clear"/>
        <w:spacing w:after="60"/>
      </w:pPr>
      <w:r>
        <w:rPr>
          <w:rFonts w:ascii="Consolas" w:cs="Consolas" w:eastAsia="Consolas" w:hAnsi="Consolas"/>
          <w:sz w:val="19"/>
          <w:szCs w:val="19"/>
        </w:rPr>
        <w:t xml:space="preserve">sf="2.SF"</w:t>
      </w:r>
    </w:p>
    <w:p>
      <w:pPr>
        <w:shd w:fill="F2F2F2" w:val="clear"/>
        <w:spacing w:after="60"/>
      </w:pPr>
      <w:r>
        <w:rPr>
          <w:rFonts w:ascii="Consolas" w:cs="Consolas" w:eastAsia="Consolas" w:hAnsi="Consolas"/>
          <w:sz w:val="19"/>
          <w:szCs w:val="19"/>
        </w:rPr>
        <w:t xml:space="preserve">lemma="byed pa"&gt;</w:t>
      </w:r>
    </w:p>
    <w:p>
      <w:pPr>
        <w:shd w:fill="F2F2F2" w:val="clear"/>
        <w:spacing w:after="60"/>
      </w:pPr>
      <w:r>
        <w:rPr>
          <w:rFonts w:ascii="Consolas" w:cs="Consolas" w:eastAsia="Consolas" w:hAnsi="Consolas"/>
          <w:sz w:val="19"/>
          <w:szCs w:val="19"/>
        </w:rPr>
        <w:t xml:space="preserve">byas</w:t>
      </w:r>
    </w:p>
    <w:p>
      <w:pPr>
        <w:shd w:fill="F2F2F2" w:val="clear"/>
        <w:spacing w:after="60"/>
      </w:pPr>
      <w:r>
        <w:rPr>
          <w:rFonts w:ascii="Consolas" w:cs="Consolas" w:eastAsia="Consolas" w:hAnsi="Consolas"/>
          <w:sz w:val="19"/>
          <w:szCs w:val="19"/>
        </w:rPr>
        <w:t xml:space="preserve">&lt;/w&gt;</w:t>
      </w:r>
    </w:p>
    <w:p>
      <w:pPr>
        <w:pStyle w:val="Heading2"/>
        <w:spacing w:after="160" w:before="280"/>
      </w:pPr>
      <w:r>
        <w:t xml:space="preserve">11.6 Sentence and Phrase Structure</w:t>
      </w:r>
    </w:p>
    <w:p>
      <w:pPr>
        <w:pStyle w:val="Heading3"/>
        <w:spacing w:after="160" w:before="280"/>
      </w:pPr>
      <w:r>
        <w:t xml:space="preserve">11.6.1 Sentence Level (&lt;s&gt;)</w:t>
      </w:r>
    </w:p>
    <w:p>
      <w:pPr>
        <w:spacing w:after="160"/>
      </w:pPr>
      <w:r>
        <w:t xml:space="preserve">The sentence is marked with &lt;s xml:id="s[page][no]"&gt;. It comprises all tokens up to the shad (།) or nyis-shad (།།). The Tibetan sentence carries @corresp pointing to the corresponding German/English sentence IDs (naming convention: s65a01 → s65a01_de, s65a01_en).</w:t>
      </w:r>
    </w:p>
    <w:p>
      <w:pPr>
        <w:shd w:fill="F2F2F2" w:val="clear"/>
        <w:spacing w:after="60"/>
      </w:pPr>
      <w:r>
        <w:rPr>
          <w:rFonts w:ascii="Consolas" w:cs="Consolas" w:eastAsia="Consolas" w:hAnsi="Consolas"/>
          <w:sz w:val="19"/>
          <w:szCs w:val="19"/>
        </w:rPr>
        <w:t xml:space="preserve">&lt;s xml:id="s65a01" corresp="#s65a01_de #s65a01_en"&gt;</w:t>
      </w:r>
    </w:p>
    <w:p>
      <w:pPr>
        <w:shd w:fill="F2F2F2" w:val="clear"/>
        <w:spacing w:after="60"/>
      </w:pPr>
      <w:r>
        <w:rPr>
          <w:rFonts w:ascii="Consolas" w:cs="Consolas" w:eastAsia="Consolas" w:hAnsi="Consolas"/>
          <w:sz w:val="19"/>
          <w:szCs w:val="19"/>
        </w:rPr>
        <w:t xml:space="preserve">... all tokens and phrases of the sentence ...</w:t>
      </w:r>
    </w:p>
    <w:p>
      <w:pPr>
        <w:shd w:fill="F2F2F2" w:val="clear"/>
        <w:spacing w:after="60"/>
      </w:pPr>
      <w:r>
        <w:rPr>
          <w:rFonts w:ascii="Microsoft Himalaya" w:cs="Microsoft Himalaya" w:eastAsia="Microsoft Himalaya" w:hAnsi="Microsoft Himalaya"/>
          <w:sz w:val="19"/>
          <w:szCs w:val="19"/>
        </w:rPr>
        <w:t xml:space="preserve">&lt;pc xml:id="pc65a01_01" type="shad"&gt;།&lt;/pc&gt;</w:t>
      </w:r>
    </w:p>
    <w:p>
      <w:pPr>
        <w:shd w:fill="F2F2F2" w:val="clear"/>
        <w:spacing w:after="60"/>
      </w:pPr>
      <w:r>
        <w:rPr>
          <w:rFonts w:ascii="Consolas" w:cs="Consolas" w:eastAsia="Consolas" w:hAnsi="Consolas"/>
          <w:sz w:val="19"/>
          <w:szCs w:val="19"/>
        </w:rPr>
        <w:t xml:space="preserve">&lt;/s&gt;</w:t>
      </w:r>
    </w:p>
    <w:p>
      <w:pPr>
        <w:spacing w:after="160"/>
      </w:pPr>
      <w:r>
        <w:rPr>
          <w:b/>
          <w:bCs/>
        </w:rPr>
        <w:t xml:space="preserve">Parallel-text linking — full example:</w:t>
      </w:r>
    </w:p>
    <w:p>
      <w:pPr>
        <w:shd w:fill="F2F2F2" w:val="clear"/>
        <w:spacing w:after="60"/>
      </w:pPr>
      <w:r>
        <w:rPr>
          <w:rFonts w:ascii="Consolas" w:cs="Consolas" w:eastAsia="Consolas" w:hAnsi="Consolas"/>
          <w:sz w:val="19"/>
          <w:szCs w:val="19"/>
        </w:rPr>
        <w:t xml:space="preserve">&lt;p xml:lang="bo"&gt;</w:t>
      </w:r>
    </w:p>
    <w:p>
      <w:pPr>
        <w:shd w:fill="F2F2F2" w:val="clear"/>
        <w:spacing w:after="60"/>
      </w:pPr>
      <w:r>
        <w:rPr>
          <w:rFonts w:ascii="Consolas" w:cs="Consolas" w:eastAsia="Consolas" w:hAnsi="Consolas"/>
          <w:sz w:val="19"/>
          <w:szCs w:val="19"/>
        </w:rPr>
        <w:t xml:space="preserve">&lt;s xml:id="s65a01" corresp="#s65a01_de #s65a01_en"&gt;...&lt;/s&gt;</w:t>
      </w:r>
    </w:p>
    <w:p>
      <w:pPr>
        <w:shd w:fill="F2F2F2" w:val="clear"/>
        <w:spacing w:after="60"/>
      </w:pPr>
      <w:r>
        <w:rPr>
          <w:rFonts w:ascii="Consolas" w:cs="Consolas" w:eastAsia="Consolas" w:hAnsi="Consolas"/>
          <w:sz w:val="19"/>
          <w:szCs w:val="19"/>
        </w:rPr>
        <w:t xml:space="preserve">&lt;s xml:id="s65a02" corresp="#s65a02_de"&gt;...&lt;/s&gt;</w:t>
      </w:r>
    </w:p>
    <w:p>
      <w:pPr>
        <w:shd w:fill="F2F2F2" w:val="clear"/>
        <w:spacing w:after="60"/>
      </w:pPr>
      <w:r>
        <w:rPr>
          <w:rFonts w:ascii="Consolas" w:cs="Consolas" w:eastAsia="Consolas" w:hAnsi="Consolas"/>
          <w:sz w:val="19"/>
          <w:szCs w:val="19"/>
        </w:rPr>
        <w:t xml:space="preserve">&lt;/p&gt;</w:t>
      </w:r>
    </w:p>
    <w:p>
      <w:pPr>
        <w:shd w:fill="F2F2F2" w:val="clear"/>
        <w:spacing w:after="60"/>
      </w:pPr>
      <w:r>
        <w:rPr>
          <w:rFonts w:ascii="Consolas" w:cs="Consolas" w:eastAsia="Consolas" w:hAnsi="Consolas"/>
          <w:sz w:val="19"/>
          <w:szCs w:val="19"/>
        </w:rPr>
        <w:t xml:space="preserve">&lt;p xml:lang="de" corresp="#p65a_bo"&gt;</w:t>
      </w:r>
    </w:p>
    <w:p>
      <w:pPr>
        <w:shd w:fill="F2F2F2" w:val="clear"/>
        <w:spacing w:after="60"/>
      </w:pPr>
      <w:r>
        <w:rPr>
          <w:rFonts w:ascii="Consolas" w:cs="Consolas" w:eastAsia="Consolas" w:hAnsi="Consolas"/>
          <w:sz w:val="19"/>
          <w:szCs w:val="19"/>
        </w:rPr>
        <w:t xml:space="preserve">&lt;s xml:id="s65a01_de"&gt;When at the time...&lt;/s&gt;</w:t>
      </w:r>
    </w:p>
    <w:p>
      <w:pPr>
        <w:shd w:fill="F2F2F2" w:val="clear"/>
        <w:spacing w:after="60"/>
      </w:pPr>
      <w:r>
        <w:rPr>
          <w:rFonts w:ascii="Consolas" w:cs="Consolas" w:eastAsia="Consolas" w:hAnsi="Consolas"/>
          <w:sz w:val="19"/>
          <w:szCs w:val="19"/>
        </w:rPr>
        <w:t xml:space="preserve">&lt;s xml:id="s65a02_de"&gt;Both kings...&lt;/s&gt;</w:t>
      </w:r>
    </w:p>
    <w:p>
      <w:pPr>
        <w:shd w:fill="F2F2F2" w:val="clear"/>
        <w:spacing w:after="60"/>
      </w:pPr>
      <w:r>
        <w:rPr>
          <w:rFonts w:ascii="Consolas" w:cs="Consolas" w:eastAsia="Consolas" w:hAnsi="Consolas"/>
          <w:sz w:val="19"/>
          <w:szCs w:val="19"/>
        </w:rPr>
        <w:t xml:space="preserve">&lt;/p&gt;</w:t>
      </w:r>
    </w:p>
    <w:p>
      <w:pPr>
        <w:shd w:fill="F2F2F2" w:val="clear"/>
        <w:spacing w:after="60"/>
      </w:pPr>
      <w:r>
        <w:rPr>
          <w:rFonts w:ascii="Consolas" w:cs="Consolas" w:eastAsia="Consolas" w:hAnsi="Consolas"/>
          <w:sz w:val="19"/>
          <w:szCs w:val="19"/>
        </w:rPr>
        <w:t xml:space="preserve">&lt;p xml:lang="en" corresp="#p65a_bo"&gt;</w:t>
      </w:r>
    </w:p>
    <w:p>
      <w:pPr>
        <w:shd w:fill="F2F2F2" w:val="clear"/>
        <w:spacing w:after="60"/>
      </w:pPr>
      <w:r>
        <w:rPr>
          <w:rFonts w:ascii="Consolas" w:cs="Consolas" w:eastAsia="Consolas" w:hAnsi="Consolas"/>
          <w:sz w:val="19"/>
          <w:szCs w:val="19"/>
        </w:rPr>
        <w:t xml:space="preserve">&lt;s xml:id="s65a01_en"&gt;When at the time...&lt;/s&gt;</w:t>
      </w:r>
    </w:p>
    <w:p>
      <w:pPr>
        <w:shd w:fill="F2F2F2" w:val="clear"/>
        <w:spacing w:after="60"/>
      </w:pPr>
      <w:r>
        <w:rPr>
          <w:rFonts w:ascii="Consolas" w:cs="Consolas" w:eastAsia="Consolas" w:hAnsi="Consolas"/>
          <w:sz w:val="19"/>
          <w:szCs w:val="19"/>
        </w:rPr>
        <w:t xml:space="preserve">&lt;/p&gt;</w:t>
      </w:r>
    </w:p>
    <w:p>
      <w:pPr>
        <w:spacing w:after="160"/>
      </w:pPr>
      <w:r>
        <w:rPr>
          <w:b/>
          <w:bCs/>
        </w:rPr>
        <w:t xml:space="preserve">Rule: </w:t>
      </w:r>
      <w:r>
        <w:t xml:space="preserve">@corresp only on Tibetan &lt;s&gt; elements — naming convention [tib-ID]_de resp. [tib-ID]_en. German and English &lt;s&gt; elements carry only xml:id.</w:t>
      </w:r>
    </w:p>
    <w:p>
      <w:pPr>
        <w:pStyle w:val="Heading2"/>
        <w:spacing w:after="160" w:before="280"/>
      </w:pPr>
      <w:r>
        <w:t xml:space="preserve">11.6.2 Clause Level (&lt;cl&gt;)</w:t>
      </w:r>
    </w:p>
    <w:p>
      <w:pPr>
        <w:spacing w:after="160"/>
      </w:pPr>
      <w:r>
        <w:t xml:space="preserve">Sub-clauses and dependent clauses are marked with &lt;cl&gt;. Clauses are delimited by final particles (ste, te, de, nas, la etc.) or quotative particles:</w:t>
      </w:r>
    </w:p>
    <w:p>
      <w:pPr>
        <w:shd w:fill="F2F2F2" w:val="clear"/>
        <w:spacing w:after="60"/>
      </w:pPr>
      <w:r>
        <w:rPr>
          <w:rFonts w:ascii="Consolas" w:cs="Consolas" w:eastAsia="Consolas" w:hAnsi="Consolas"/>
          <w:sz w:val="19"/>
          <w:szCs w:val="19"/>
        </w:rPr>
        <w:t xml:space="preserve">&lt;cl type="dependent" subtype="causal"&gt;</w:t>
      </w:r>
    </w:p>
    <w:p>
      <w:pPr>
        <w:shd w:fill="F2F2F2" w:val="clear"/>
        <w:spacing w:after="60"/>
      </w:pPr>
      <w:r>
        <w:rPr>
          <w:rFonts w:ascii="Consolas" w:cs="Consolas" w:eastAsia="Consolas" w:hAnsi="Consolas"/>
          <w:sz w:val="19"/>
          <w:szCs w:val="19"/>
        </w:rPr>
        <w:t xml:space="preserve">... tokens ...</w:t>
      </w:r>
    </w:p>
    <w:p>
      <w:pPr>
        <w:shd w:fill="F2F2F2" w:val="clear"/>
        <w:spacing w:after="60"/>
      </w:pPr>
      <w:r>
        <w:rPr>
          <w:rFonts w:ascii="Consolas" w:cs="Consolas" w:eastAsia="Consolas" w:hAnsi="Consolas"/>
          <w:sz w:val="19"/>
          <w:szCs w:val="19"/>
        </w:rPr>
        <w:t xml:space="preserve">&lt;w pos="PART.final" type="particle" subtype="semifinal"&gt;ste&lt;/w&gt;</w:t>
      </w:r>
    </w:p>
    <w:p>
      <w:pPr>
        <w:shd w:fill="F2F2F2" w:val="clear"/>
        <w:spacing w:after="60"/>
      </w:pPr>
      <w:r>
        <w:rPr>
          <w:rFonts w:ascii="Consolas" w:cs="Consolas" w:eastAsia="Consolas" w:hAnsi="Consolas"/>
          <w:sz w:val="19"/>
          <w:szCs w:val="19"/>
        </w:rPr>
        <w:t xml:space="preserve">&lt;/cl&gt;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@type on &lt;cl&gt;</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Use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main</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Main clause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dependent</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Dependent sub-clause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relative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Relative clause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quotative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Quotative clause (with zhes/ces)</w:t>
            </w:r>
          </w:p>
        </w:tc>
      </w:tr>
    </w:tbl>
    <w:p>
      <w:pPr>
        <w:pStyle w:val="Heading2"/>
        <w:spacing w:after="160" w:before="280"/>
      </w:pPr>
      <w:r>
        <w:t xml:space="preserve">11.6.3 Phrase Level (&lt;phr&gt;) — Sentence Constituents</w:t>
      </w:r>
    </w:p>
    <w:p>
      <w:pPr>
        <w:spacing w:after="160"/>
      </w:pPr>
      <w:r>
        <w:t xml:space="preserve">Syntactic constituents are marked with &lt;phr function="..."&gt;. The @function attribute designates the sentence constituent according to Schwieger/Bialek: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@function</w:t>
            </w:r>
          </w:p>
        </w:tc>
        <w:tc>
          <w:tcPr>
            <w:tcW w:type="dxa" w:w="7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S:Erg</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Subject in the ergative (with transitive verbs, past tense)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S:Abs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Subject in the absolutive (with intransitive verbs, copula)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dO:Abs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Direct object in the absolutive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iO:PP</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Indirect object as a postpositional phrase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SPrae:Abs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Subject predicative in the absolutive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Praed:PP</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Predicate as a postpositional phrase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AB:lok</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Adverbial — locative (place)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AB:temp</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Adverbial — temporal (time)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AB:kaus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Adverbial — causal (reason)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AB:mod</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Adverbial — modal (manner)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AB:final</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Adverbial — final (purpose)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ThemaPart</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Theme particle (ni phrase)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ZitPart</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Quotative-particle phrase (zhes/ces + verb)</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FinSuf</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Final-suffix phrase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Konj</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Conjunction phrase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FokPart</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Focus-particle phrase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PlPart</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Plural-particle phrase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KSuf</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Case-suffix phrase</w:t>
            </w:r>
          </w:p>
        </w:tc>
      </w:tr>
    </w:tbl>
    <w:p>
      <w:pPr>
        <w:spacing w:after="160"/>
      </w:pPr>
      <w:r>
        <w:t xml:space="preserve">Complete example of an annotated sentence:</w:t>
      </w:r>
    </w:p>
    <w:p>
      <w:pPr>
        <w:shd w:fill="F2F2F2" w:val="clear"/>
        <w:spacing w:after="60"/>
      </w:pPr>
      <w:r>
        <w:rPr>
          <w:rFonts w:ascii="Consolas" w:cs="Consolas" w:eastAsia="Consolas" w:hAnsi="Consolas"/>
          <w:sz w:val="19"/>
          <w:szCs w:val="19"/>
        </w:rPr>
        <w:t xml:space="preserve">&lt;s xml:id="s65b03"&gt;</w:t>
      </w:r>
    </w:p>
    <w:p>
      <w:pPr>
        <w:shd w:fill="F2F2F2" w:val="clear"/>
        <w:spacing w:after="60"/>
      </w:pPr>
      <w:r>
        <w:rPr>
          <w:rFonts w:ascii="Consolas" w:cs="Consolas" w:eastAsia="Consolas" w:hAnsi="Consolas"/>
          <w:sz w:val="19"/>
          <w:szCs w:val="19"/>
        </w:rPr>
        <w:t xml:space="preserve">&lt;cl type="main"&gt;</w:t>
      </w:r>
    </w:p>
    <w:p>
      <w:pPr>
        <w:shd w:fill="F2F2F2" w:val="clear"/>
        <w:spacing w:after="60"/>
      </w:pPr>
      <w:r>
        <w:rPr>
          <w:rFonts w:ascii="Consolas" w:cs="Consolas" w:eastAsia="Consolas" w:hAnsi="Consolas"/>
          <w:sz w:val="19"/>
          <w:szCs w:val="19"/>
        </w:rPr>
        <w:t xml:space="preserve">&lt;phr function="S:Erg"&gt;</w:t>
      </w:r>
    </w:p>
    <w:p>
      <w:pPr>
        <w:shd w:fill="F2F2F2" w:val="clear"/>
        <w:spacing w:after="60"/>
      </w:pPr>
      <w:r>
        <w:rPr>
          <w:rFonts w:ascii="Consolas" w:cs="Consolas" w:eastAsia="Consolas" w:hAnsi="Consolas"/>
          <w:sz w:val="19"/>
          <w:szCs w:val="19"/>
        </w:rPr>
        <w:t xml:space="preserve">&lt;w xml:id="w65b03_01" pos="N.prop" type="noun"</w:t>
      </w:r>
    </w:p>
    <w:p>
      <w:pPr>
        <w:shd w:fill="F2F2F2" w:val="clear"/>
        <w:spacing w:after="60"/>
      </w:pPr>
      <w:r>
        <w:rPr>
          <w:rFonts w:ascii="Microsoft Himalaya" w:cs="Microsoft Himalaya" w:eastAsia="Microsoft Himalaya" w:hAnsi="Microsoft Himalaya"/>
          <w:sz w:val="19"/>
          <w:szCs w:val="19"/>
        </w:rPr>
        <w:t xml:space="preserve">subtype="personal_name"&gt;dbyig gnyen&lt;/w&gt;་</w:t>
      </w:r>
    </w:p>
    <w:p>
      <w:pPr>
        <w:shd w:fill="F2F2F2" w:val="clear"/>
        <w:spacing w:after="60"/>
      </w:pPr>
      <w:r>
        <w:rPr>
          <w:rFonts w:ascii="Consolas" w:cs="Consolas" w:eastAsia="Consolas" w:hAnsi="Consolas"/>
          <w:sz w:val="19"/>
          <w:szCs w:val="19"/>
        </w:rPr>
        <w:t xml:space="preserve">&lt;w xml:id="w65b03_02" pos="PART.case" type="particle"</w:t>
      </w:r>
    </w:p>
    <w:p>
      <w:pPr>
        <w:shd w:fill="F2F2F2" w:val="clear"/>
        <w:spacing w:after="60"/>
      </w:pPr>
      <w:r>
        <w:rPr>
          <w:rFonts w:ascii="Consolas" w:cs="Consolas" w:eastAsia="Consolas" w:hAnsi="Consolas"/>
          <w:sz w:val="19"/>
          <w:szCs w:val="19"/>
        </w:rPr>
        <w:t xml:space="preserve">subtype="agentive" function="agentive"&gt;gyis&lt;/w&gt;</w:t>
      </w:r>
    </w:p>
    <w:p>
      <w:pPr>
        <w:shd w:fill="F2F2F2" w:val="clear"/>
        <w:spacing w:after="60"/>
      </w:pPr>
      <w:r>
        <w:rPr>
          <w:rFonts w:ascii="Consolas" w:cs="Consolas" w:eastAsia="Consolas" w:hAnsi="Consolas"/>
          <w:sz w:val="19"/>
          <w:szCs w:val="19"/>
        </w:rPr>
        <w:t xml:space="preserve">&lt;/phr&gt;</w:t>
      </w:r>
    </w:p>
    <w:p>
      <w:pPr>
        <w:shd w:fill="F2F2F2" w:val="clear"/>
        <w:spacing w:after="60"/>
      </w:pPr>
      <w:r>
        <w:rPr>
          <w:rFonts w:ascii="Consolas" w:cs="Consolas" w:eastAsia="Consolas" w:hAnsi="Consolas"/>
          <w:sz w:val="19"/>
          <w:szCs w:val="19"/>
        </w:rPr>
        <w:t xml:space="preserve">&lt;phr function="dO:Abs"&gt;</w:t>
      </w:r>
    </w:p>
    <w:p>
      <w:pPr>
        <w:shd w:fill="F2F2F2" w:val="clear"/>
        <w:spacing w:after="60"/>
      </w:pPr>
      <w:r>
        <w:rPr>
          <w:rFonts w:ascii="Microsoft Himalaya" w:cs="Microsoft Himalaya" w:eastAsia="Microsoft Himalaya" w:hAnsi="Microsoft Himalaya"/>
          <w:sz w:val="19"/>
          <w:szCs w:val="19"/>
        </w:rPr>
        <w:t xml:space="preserve">&lt;w xml:id="w65b03_03" pos="N" type="noun"&gt;chos&lt;/w&gt;་</w:t>
      </w:r>
    </w:p>
    <w:p>
      <w:pPr>
        <w:shd w:fill="F2F2F2" w:val="clear"/>
        <w:spacing w:after="60"/>
      </w:pPr>
      <w:r>
        <w:rPr>
          <w:rFonts w:ascii="Consolas" w:cs="Consolas" w:eastAsia="Consolas" w:hAnsi="Consolas"/>
          <w:sz w:val="19"/>
          <w:szCs w:val="19"/>
        </w:rPr>
        <w:t xml:space="preserve">&lt;w xml:id="w65b03_04" pos="PART.case" type="particle"</w:t>
      </w:r>
    </w:p>
    <w:p>
      <w:pPr>
        <w:shd w:fill="F2F2F2" w:val="clear"/>
        <w:spacing w:after="60"/>
      </w:pPr>
      <w:r>
        <w:rPr>
          <w:rFonts w:ascii="Consolas" w:cs="Consolas" w:eastAsia="Consolas" w:hAnsi="Consolas"/>
          <w:sz w:val="19"/>
          <w:szCs w:val="19"/>
        </w:rPr>
        <w:t xml:space="preserve">subtype="genitive" function="genitive"&gt;kyi&lt;/w&gt;</w:t>
      </w:r>
    </w:p>
    <w:p>
      <w:pPr>
        <w:shd w:fill="F2F2F2" w:val="clear"/>
        <w:spacing w:after="60"/>
      </w:pPr>
      <w:r>
        <w:rPr>
          <w:rFonts w:ascii="Consolas" w:cs="Consolas" w:eastAsia="Consolas" w:hAnsi="Consolas"/>
          <w:sz w:val="19"/>
          <w:szCs w:val="19"/>
        </w:rPr>
        <w:t xml:space="preserve">&lt;/phr&gt;</w:t>
      </w:r>
    </w:p>
    <w:p>
      <w:pPr>
        <w:shd w:fill="F2F2F2" w:val="clear"/>
        <w:spacing w:after="60"/>
      </w:pPr>
      <w:r>
        <w:rPr>
          <w:rFonts w:ascii="Consolas" w:cs="Consolas" w:eastAsia="Consolas" w:hAnsi="Consolas"/>
          <w:sz w:val="19"/>
          <w:szCs w:val="19"/>
        </w:rPr>
        <w:t xml:space="preserve">&lt;phr function="Praed:PP"&gt;</w:t>
      </w:r>
    </w:p>
    <w:p>
      <w:pPr>
        <w:shd w:fill="F2F2F2" w:val="clear"/>
        <w:spacing w:after="60"/>
      </w:pPr>
      <w:r>
        <w:rPr>
          <w:rFonts w:ascii="Consolas" w:cs="Consolas" w:eastAsia="Consolas" w:hAnsi="Consolas"/>
          <w:sz w:val="19"/>
          <w:szCs w:val="19"/>
        </w:rPr>
        <w:t xml:space="preserve">&lt;w xml:id="w65b03_05" pos="V.past" type="verb"</w:t>
      </w:r>
    </w:p>
    <w:p>
      <w:pPr>
        <w:shd w:fill="F2F2F2" w:val="clear"/>
        <w:spacing w:after="60"/>
      </w:pPr>
      <w:r>
        <w:rPr>
          <w:rFonts w:ascii="Consolas" w:cs="Consolas" w:eastAsia="Consolas" w:hAnsi="Consolas"/>
          <w:sz w:val="19"/>
          <w:szCs w:val="19"/>
        </w:rPr>
        <w:t xml:space="preserve">ana="VG3 tdV 2.SF"&gt;bshad&lt;/w&gt;</w:t>
      </w:r>
    </w:p>
    <w:p>
      <w:pPr>
        <w:shd w:fill="F2F2F2" w:val="clear"/>
        <w:spacing w:after="60"/>
      </w:pPr>
      <w:r>
        <w:rPr>
          <w:rFonts w:ascii="Consolas" w:cs="Consolas" w:eastAsia="Consolas" w:hAnsi="Consolas"/>
          <w:sz w:val="19"/>
          <w:szCs w:val="19"/>
        </w:rPr>
        <w:t xml:space="preserve">&lt;/phr&gt;</w:t>
      </w:r>
    </w:p>
    <w:p>
      <w:pPr>
        <w:shd w:fill="F2F2F2" w:val="clear"/>
        <w:spacing w:after="60"/>
      </w:pPr>
      <w:r>
        <w:rPr>
          <w:rFonts w:ascii="Consolas" w:cs="Consolas" w:eastAsia="Consolas" w:hAnsi="Consolas"/>
          <w:sz w:val="19"/>
          <w:szCs w:val="19"/>
        </w:rPr>
        <w:t xml:space="preserve">&lt;/cl&gt;</w:t>
      </w:r>
    </w:p>
    <w:p>
      <w:pPr>
        <w:shd w:fill="F2F2F2" w:val="clear"/>
        <w:spacing w:after="60"/>
      </w:pPr>
      <w:r>
        <w:rPr>
          <w:rFonts w:ascii="Microsoft Himalaya" w:cs="Microsoft Himalaya" w:eastAsia="Microsoft Himalaya" w:hAnsi="Microsoft Himalaya"/>
          <w:sz w:val="19"/>
          <w:szCs w:val="19"/>
        </w:rPr>
        <w:t xml:space="preserve">&lt;pc xml:id="pc65b03_01" type="shad"&gt;།&lt;/pc&gt;</w:t>
      </w:r>
    </w:p>
    <w:p>
      <w:pPr>
        <w:shd w:fill="F2F2F2" w:val="clear"/>
        <w:spacing w:after="60"/>
      </w:pPr>
      <w:r>
        <w:rPr>
          <w:rFonts w:ascii="Consolas" w:cs="Consolas" w:eastAsia="Consolas" w:hAnsi="Consolas"/>
          <w:sz w:val="19"/>
          <w:szCs w:val="19"/>
        </w:rPr>
        <w:t xml:space="preserve">&lt;/s&gt;</w:t>
      </w:r>
    </w:p>
    <w:p>
      <w:pPr>
        <w:pStyle w:val="Heading2"/>
        <w:spacing w:after="160" w:before="280"/>
      </w:pPr>
      <w:r>
        <w:t xml:space="preserve">11.6.4 Browser Interaction: Parallel Text and Vocabulary</w:t>
      </w:r>
    </w:p>
    <w:p>
      <w:pPr>
        <w:spacing w:after="160"/>
      </w:pPr>
      <w:r>
        <w:t xml:space="preserve">TibetanTEI implements bidirectional linking between the Tibetan tab, the vocabulary tab (Voc.) and translations. In addition, annotated words are visually highlighted between the Tibetan tab, the vocabulary tab (Voc.) and translations:</w:t>
      </w:r>
    </w:p>
    <w:p>
      <w:pPr>
        <w:pStyle w:val="ListParagraph"/>
        <w:numPr>
          <w:ilvl w:val="0"/>
          <w:numId w:val="2"/>
        </w:numPr>
        <w:spacing w:after="100"/>
      </w:pPr>
      <w:r>
        <w:t xml:space="preserve">Tibetan → parallel sentence: clicking on an &lt;s corresp="..."&gt; sentence shows the German/English parallel sentence as a tooltip directly beneath it.</w:t>
      </w:r>
    </w:p>
    <w:p>
      <w:pPr>
        <w:pStyle w:val="ListParagraph"/>
        <w:numPr>
          <w:ilvl w:val="0"/>
          <w:numId w:val="2"/>
        </w:numPr>
        <w:spacing w:after="100"/>
      </w:pPr>
      <w:r>
        <w:t xml:space="preserve">Tibetan → vocabulary: clicking on a word with @ana (dotted underline) switches to the Voc. tab and highlights the entry.</w:t>
      </w:r>
    </w:p>
    <w:p>
      <w:pPr>
        <w:pStyle w:val="ListParagraph"/>
        <w:numPr>
          <w:ilvl w:val="0"/>
          <w:numId w:val="2"/>
        </w:numPr>
        <w:spacing w:after="100"/>
      </w:pPr>
      <w:r>
        <w:t xml:space="preserve">Vocabulary → Tibetan: clicking [→] in the Voc. tab switches to the Tibetan tab and highlights the word in the text.</w:t>
      </w:r>
    </w:p>
    <w:p>
      <w:pPr>
        <w:spacing w:after="160"/>
      </w:pPr>
      <w:r>
        <w:t xml:space="preserve">Prerequisites in the XML:</w:t>
      </w:r>
    </w:p>
    <w:p>
      <w:pPr>
        <w:shd w:fill="F2F2F2" w:val="clear"/>
        <w:spacing w:after="60"/>
      </w:pPr>
      <w:r>
        <w:rPr>
          <w:rFonts w:ascii="Consolas" w:cs="Consolas" w:eastAsia="Consolas" w:hAnsi="Consolas"/>
          <w:sz w:val="19"/>
          <w:szCs w:val="19"/>
        </w:rPr>
        <w:t xml:space="preserve">&lt;!-- Parallel text --&gt;</w:t>
      </w:r>
    </w:p>
    <w:p>
      <w:pPr>
        <w:shd w:fill="F2F2F2" w:val="clear"/>
        <w:spacing w:after="60"/>
      </w:pPr>
      <w:r>
        <w:rPr>
          <w:rFonts w:ascii="Consolas" w:cs="Consolas" w:eastAsia="Consolas" w:hAnsi="Consolas"/>
          <w:sz w:val="19"/>
          <w:szCs w:val="19"/>
        </w:rPr>
        <w:t xml:space="preserve">&lt;s xml:id="s65a01" corresp="#s65a01_de #s65a01_en"&gt;...&lt;/s&gt;</w:t>
      </w:r>
    </w:p>
    <w:p>
      <w:pPr>
        <w:shd w:fill="F2F2F2" w:val="clear"/>
        <w:spacing w:after="60"/>
      </w:pPr>
      <w:r>
        <w:rPr>
          <w:rFonts w:ascii="Consolas" w:cs="Consolas" w:eastAsia="Consolas" w:hAnsi="Consolas"/>
          <w:sz w:val="19"/>
          <w:szCs w:val="19"/>
        </w:rPr>
        <w:t xml:space="preserve">&lt;!-- Vocabulary --&gt;</w:t>
      </w:r>
    </w:p>
    <w:p>
      <w:pPr>
        <w:shd w:fill="F2F2F2" w:val="clear"/>
        <w:spacing w:after="60"/>
      </w:pPr>
      <w:r>
        <w:rPr>
          <w:rFonts w:ascii="Microsoft Himalaya" w:cs="Microsoft Himalaya" w:eastAsia="Microsoft Himalaya" w:hAnsi="Microsoft Himalaya"/>
          <w:sz w:val="19"/>
          <w:szCs w:val="19"/>
        </w:rPr>
        <w:t xml:space="preserve">&lt;w xml:id="w65a01_01" pos="N" ana="#lex_slob_dpon"&gt;སལོབ་དཔོན་&lt;/w&gt;</w:t>
      </w:r>
    </w:p>
    <w:p>
      <w:pPr>
        <w:pStyle w:val="Heading2"/>
        <w:spacing w:after="160" w:before="280"/>
      </w:pPr>
      <w:r>
        <w:t xml:space="preserve">11.7 Citations (Schwieger / Bialek)</w:t>
      </w:r>
    </w:p>
    <w:p>
      <w:pPr>
        <w:spacing w:after="160"/>
      </w:pPr>
      <w:r>
        <w:t xml:space="preserve">Citations from Schwieger or Bialek are noted as &lt;note type="ref"&gt; on the &lt;cl&gt; or &lt;phr&gt; element: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Format</w:t>
            </w:r>
          </w:p>
        </w:tc>
        <w:tc>
          <w:tcPr>
            <w:tcW w:type="dxa" w:w="7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Example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Schwieger</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&lt;note type="ref"&gt;Schwieger §142 (p. 89): bdag gis byas pa&lt;/note&gt;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Bialek Lek.</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&lt;note type="ref"&gt;Bialek Lek. 15, "Kasusrelationen", section b: thams cad la&lt;/note&gt;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Bialek CTG</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&lt;note type="ref"&gt;Bialek (CTG), "Ergative": bdag gis&lt;/note&gt;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Bialek TB</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&lt;note type="ref"&gt;Bialek (TB), "KASUSSYSTEM": rgyal pos&lt;/note&gt;</w:t>
            </w:r>
          </w:p>
        </w:tc>
      </w:tr>
    </w:tbl>
    <w:p>
      <w:pPr>
        <w:spacing w:after="160"/>
      </w:pPr>
      <w:r>
        <w:t xml:space="preserve">Example at the &lt;phr&gt; element:</w:t>
      </w:r>
    </w:p>
    <w:p>
      <w:pPr>
        <w:shd w:fill="F2F2F2" w:val="clear"/>
        <w:spacing w:after="60"/>
      </w:pPr>
      <w:r>
        <w:rPr>
          <w:rFonts w:ascii="Consolas" w:cs="Consolas" w:eastAsia="Consolas" w:hAnsi="Consolas"/>
          <w:sz w:val="19"/>
          <w:szCs w:val="19"/>
        </w:rPr>
        <w:t xml:space="preserve">&lt;phr function="S:Erg"&gt;</w:t>
      </w:r>
    </w:p>
    <w:p>
      <w:pPr>
        <w:shd w:fill="F2F2F2" w:val="clear"/>
        <w:spacing w:after="60"/>
      </w:pPr>
      <w:r>
        <w:rPr>
          <w:rFonts w:ascii="Microsoft Himalaya" w:cs="Microsoft Himalaya" w:eastAsia="Microsoft Himalaya" w:hAnsi="Microsoft Himalaya"/>
          <w:sz w:val="19"/>
          <w:szCs w:val="19"/>
        </w:rPr>
        <w:t xml:space="preserve">&lt;w xml:id="w65b03_01" pos="N.prop"&gt;dbyig gnyen&lt;/w&gt;་</w:t>
      </w:r>
    </w:p>
    <w:p>
      <w:pPr>
        <w:shd w:fill="F2F2F2" w:val="clear"/>
        <w:spacing w:after="60"/>
      </w:pPr>
      <w:r>
        <w:rPr>
          <w:rFonts w:ascii="Consolas" w:cs="Consolas" w:eastAsia="Consolas" w:hAnsi="Consolas"/>
          <w:sz w:val="19"/>
          <w:szCs w:val="19"/>
        </w:rPr>
        <w:t xml:space="preserve">&lt;w xml:id="w65b03_02" pos="PART.case"</w:t>
      </w:r>
    </w:p>
    <w:p>
      <w:pPr>
        <w:shd w:fill="F2F2F2" w:val="clear"/>
        <w:spacing w:after="60"/>
      </w:pPr>
      <w:r>
        <w:rPr>
          <w:rFonts w:ascii="Consolas" w:cs="Consolas" w:eastAsia="Consolas" w:hAnsi="Consolas"/>
          <w:sz w:val="19"/>
          <w:szCs w:val="19"/>
        </w:rPr>
        <w:t xml:space="preserve">subtype="agentive" function="agentive"&gt;gyis&lt;/w&gt;</w:t>
      </w:r>
    </w:p>
    <w:p>
      <w:pPr>
        <w:shd w:fill="F2F2F2" w:val="clear"/>
        <w:spacing w:after="60"/>
      </w:pPr>
      <w:r>
        <w:rPr>
          <w:rFonts w:ascii="Consolas" w:cs="Consolas" w:eastAsia="Consolas" w:hAnsi="Consolas"/>
          <w:sz w:val="19"/>
          <w:szCs w:val="19"/>
        </w:rPr>
        <w:t xml:space="preserve">&lt;note type="ref"&gt;Schwieger §79 (p. 52): rgyal pos&lt;/note&gt;</w:t>
      </w:r>
    </w:p>
    <w:p>
      <w:pPr>
        <w:shd w:fill="F2F2F2" w:val="clear"/>
        <w:spacing w:after="60"/>
      </w:pPr>
      <w:r>
        <w:rPr>
          <w:rFonts w:ascii="Consolas" w:cs="Consolas" w:eastAsia="Consolas" w:hAnsi="Consolas"/>
          <w:sz w:val="19"/>
          <w:szCs w:val="19"/>
        </w:rPr>
        <w:t xml:space="preserve">&lt;/phr&gt;</w:t>
      </w:r>
    </w:p>
    <w:p>
      <w:pPr>
        <w:pStyle w:val="Heading2"/>
        <w:spacing w:after="160" w:before="280"/>
      </w:pPr>
      <w:r>
        <w:t xml:space="preserve">11.8 TIGER-XML Format (Syntax Trees)</w:t>
      </w:r>
    </w:p>
    <w:p>
      <w:pPr>
        <w:spacing w:after="160"/>
      </w:pPr>
      <w:r>
        <w:t xml:space="preserve">For texts with complete syntax annotation, a TIGER-XML-compatible tree structure is created. This can be stored in a separate document or as an extension within the TEI standOff.</w:t>
      </w:r>
    </w:p>
    <w:p>
      <w:pPr>
        <w:spacing w:after="160"/>
      </w:pPr>
      <w:r>
        <w:t xml:space="preserve">The TIGER format distinguishes terminals (T = tokens = &lt;w&gt;) and non-terminals (NT = phrases = &lt;phr&gt;, &lt;cl&gt;):</w:t>
      </w:r>
    </w:p>
    <w:p>
      <w:pPr>
        <w:shd w:fill="F2F2F2" w:val="clear"/>
        <w:spacing w:after="60"/>
      </w:pPr>
      <w:r>
        <w:rPr>
          <w:rFonts w:ascii="Consolas" w:cs="Consolas" w:eastAsia="Consolas" w:hAnsi="Consolas"/>
          <w:sz w:val="19"/>
          <w:szCs w:val="19"/>
        </w:rPr>
        <w:t xml:space="preserve">&lt;graph root="s65b03"&gt;</w:t>
      </w:r>
    </w:p>
    <w:p>
      <w:pPr>
        <w:shd w:fill="F2F2F2" w:val="clear"/>
        <w:spacing w:after="60"/>
      </w:pPr>
      <w:r>
        <w:rPr>
          <w:rFonts w:ascii="Consolas" w:cs="Consolas" w:eastAsia="Consolas" w:hAnsi="Consolas"/>
          <w:sz w:val="19"/>
          <w:szCs w:val="19"/>
        </w:rPr>
        <w:t xml:space="preserve">&lt;!-- Terminals (tokens) --&gt;</w:t>
      </w:r>
    </w:p>
    <w:p>
      <w:pPr>
        <w:shd w:fill="F2F2F2" w:val="clear"/>
        <w:spacing w:after="60"/>
      </w:pPr>
      <w:r>
        <w:rPr>
          <w:rFonts w:ascii="Consolas" w:cs="Consolas" w:eastAsia="Consolas" w:hAnsi="Consolas"/>
          <w:sz w:val="19"/>
          <w:szCs w:val="19"/>
        </w:rPr>
        <w:t xml:space="preserve">&lt;terminals&gt;</w:t>
      </w:r>
    </w:p>
    <w:p>
      <w:pPr>
        <w:shd w:fill="F2F2F2" w:val="clear"/>
        <w:spacing w:after="60"/>
      </w:pPr>
      <w:r>
        <w:rPr>
          <w:rFonts w:ascii="Consolas" w:cs="Consolas" w:eastAsia="Consolas" w:hAnsi="Consolas"/>
          <w:sz w:val="19"/>
          <w:szCs w:val="19"/>
        </w:rPr>
        <w:t xml:space="preserve">&lt;t id="w65b03_01" word="dbyig gnyen" pos="N.prop"</w:t>
      </w:r>
    </w:p>
    <w:p>
      <w:pPr>
        <w:shd w:fill="F2F2F2" w:val="clear"/>
        <w:spacing w:after="60"/>
      </w:pPr>
      <w:r>
        <w:rPr>
          <w:rFonts w:ascii="Consolas" w:cs="Consolas" w:eastAsia="Consolas" w:hAnsi="Consolas"/>
          <w:sz w:val="19"/>
          <w:szCs w:val="19"/>
        </w:rPr>
        <w:t xml:space="preserve">lemma="dbyig gnyen" morph="" /&gt;</w:t>
      </w:r>
    </w:p>
    <w:p>
      <w:pPr>
        <w:shd w:fill="F2F2F2" w:val="clear"/>
        <w:spacing w:after="60"/>
      </w:pPr>
      <w:r>
        <w:rPr>
          <w:rFonts w:ascii="Consolas" w:cs="Consolas" w:eastAsia="Consolas" w:hAnsi="Consolas"/>
          <w:sz w:val="19"/>
          <w:szCs w:val="19"/>
        </w:rPr>
        <w:t xml:space="preserve">&lt;t id="w65b03_02" word="gyis" pos="PART.case"</w:t>
      </w:r>
    </w:p>
    <w:p>
      <w:pPr>
        <w:shd w:fill="F2F2F2" w:val="clear"/>
        <w:spacing w:after="60"/>
      </w:pPr>
      <w:r>
        <w:rPr>
          <w:rFonts w:ascii="Consolas" w:cs="Consolas" w:eastAsia="Consolas" w:hAnsi="Consolas"/>
          <w:sz w:val="19"/>
          <w:szCs w:val="19"/>
        </w:rPr>
        <w:t xml:space="preserve">morph="agentive" /&gt;</w:t>
      </w:r>
    </w:p>
    <w:p>
      <w:pPr>
        <w:shd w:fill="F2F2F2" w:val="clear"/>
        <w:spacing w:after="60"/>
      </w:pPr>
      <w:r>
        <w:rPr>
          <w:rFonts w:ascii="Consolas" w:cs="Consolas" w:eastAsia="Consolas" w:hAnsi="Consolas"/>
          <w:sz w:val="19"/>
          <w:szCs w:val="19"/>
        </w:rPr>
        <w:t xml:space="preserve">&lt;t id="w65b03_03" word="chos" pos="N" /&gt;</w:t>
      </w:r>
    </w:p>
    <w:p>
      <w:pPr>
        <w:shd w:fill="F2F2F2" w:val="clear"/>
        <w:spacing w:after="60"/>
      </w:pPr>
      <w:r>
        <w:rPr>
          <w:rFonts w:ascii="Consolas" w:cs="Consolas" w:eastAsia="Consolas" w:hAnsi="Consolas"/>
          <w:sz w:val="19"/>
          <w:szCs w:val="19"/>
        </w:rPr>
        <w:t xml:space="preserve">&lt;t id="w65b03_04" word="kyi" pos="PART.case"</w:t>
      </w:r>
    </w:p>
    <w:p>
      <w:pPr>
        <w:shd w:fill="F2F2F2" w:val="clear"/>
        <w:spacing w:after="60"/>
      </w:pPr>
      <w:r>
        <w:rPr>
          <w:rFonts w:ascii="Consolas" w:cs="Consolas" w:eastAsia="Consolas" w:hAnsi="Consolas"/>
          <w:sz w:val="19"/>
          <w:szCs w:val="19"/>
        </w:rPr>
        <w:t xml:space="preserve">morph="genitive" /&gt;</w:t>
      </w:r>
    </w:p>
    <w:p>
      <w:pPr>
        <w:shd w:fill="F2F2F2" w:val="clear"/>
        <w:spacing w:after="60"/>
      </w:pPr>
      <w:r>
        <w:rPr>
          <w:rFonts w:ascii="Consolas" w:cs="Consolas" w:eastAsia="Consolas" w:hAnsi="Consolas"/>
          <w:sz w:val="19"/>
          <w:szCs w:val="19"/>
        </w:rPr>
        <w:t xml:space="preserve">&lt;t id="w65b03_05" word="bshad" pos="V.past"</w:t>
      </w:r>
    </w:p>
    <w:p>
      <w:pPr>
        <w:shd w:fill="F2F2F2" w:val="clear"/>
        <w:spacing w:after="60"/>
      </w:pPr>
      <w:r>
        <w:rPr>
          <w:rFonts w:ascii="Consolas" w:cs="Consolas" w:eastAsia="Consolas" w:hAnsi="Consolas"/>
          <w:sz w:val="19"/>
          <w:szCs w:val="19"/>
        </w:rPr>
        <w:t xml:space="preserve">ana="VG3 tdV 2.SF" /&gt;</w:t>
      </w:r>
    </w:p>
    <w:p>
      <w:pPr>
        <w:shd w:fill="F2F2F2" w:val="clear"/>
        <w:spacing w:after="60"/>
      </w:pPr>
      <w:r>
        <w:rPr>
          <w:rFonts w:ascii="Consolas" w:cs="Consolas" w:eastAsia="Consolas" w:hAnsi="Consolas"/>
          <w:sz w:val="19"/>
          <w:szCs w:val="19"/>
        </w:rPr>
        <w:t xml:space="preserve">&lt;/terminals&gt;</w:t>
      </w:r>
    </w:p>
    <w:p>
      <w:pPr>
        <w:shd w:fill="F2F2F2" w:val="clear"/>
        <w:spacing w:after="60"/>
      </w:pPr>
      <w:r>
        <w:rPr>
          <w:rFonts w:ascii="Consolas" w:cs="Consolas" w:eastAsia="Consolas" w:hAnsi="Consolas"/>
          <w:sz w:val="19"/>
          <w:szCs w:val="19"/>
        </w:rPr>
        <w:t xml:space="preserve">&lt;!-- Non-terminals (phrases) --&gt;</w:t>
      </w:r>
    </w:p>
    <w:p>
      <w:pPr>
        <w:shd w:fill="F2F2F2" w:val="clear"/>
        <w:spacing w:after="60"/>
      </w:pPr>
      <w:r>
        <w:rPr>
          <w:rFonts w:ascii="Consolas" w:cs="Consolas" w:eastAsia="Consolas" w:hAnsi="Consolas"/>
          <w:sz w:val="19"/>
          <w:szCs w:val="19"/>
        </w:rPr>
        <w:t xml:space="preserve">&lt;nonterminals&gt;</w:t>
      </w:r>
    </w:p>
    <w:p>
      <w:pPr>
        <w:shd w:fill="F2F2F2" w:val="clear"/>
        <w:spacing w:after="60"/>
      </w:pPr>
      <w:r>
        <w:rPr>
          <w:rFonts w:ascii="Consolas" w:cs="Consolas" w:eastAsia="Consolas" w:hAnsi="Consolas"/>
          <w:sz w:val="19"/>
          <w:szCs w:val="19"/>
        </w:rPr>
        <w:t xml:space="preserve">&lt;nt id="phr_SErg" cat="NP" func="S:Erg"&gt;</w:t>
      </w:r>
    </w:p>
    <w:p>
      <w:pPr>
        <w:shd w:fill="F2F2F2" w:val="clear"/>
        <w:spacing w:after="60"/>
      </w:pPr>
      <w:r>
        <w:rPr>
          <w:rFonts w:ascii="Consolas" w:cs="Consolas" w:eastAsia="Consolas" w:hAnsi="Consolas"/>
          <w:sz w:val="19"/>
          <w:szCs w:val="19"/>
        </w:rPr>
        <w:t xml:space="preserve">&lt;edge label="HD" idref="w65b03_01" /&gt;</w:t>
      </w:r>
    </w:p>
    <w:p>
      <w:pPr>
        <w:shd w:fill="F2F2F2" w:val="clear"/>
        <w:spacing w:after="60"/>
      </w:pPr>
      <w:r>
        <w:rPr>
          <w:rFonts w:ascii="Consolas" w:cs="Consolas" w:eastAsia="Consolas" w:hAnsi="Consolas"/>
          <w:sz w:val="19"/>
          <w:szCs w:val="19"/>
        </w:rPr>
        <w:t xml:space="preserve">&lt;edge label="CASE" idref="w65b03_02" /&gt;</w:t>
      </w:r>
    </w:p>
    <w:p>
      <w:pPr>
        <w:shd w:fill="F2F2F2" w:val="clear"/>
        <w:spacing w:after="60"/>
      </w:pPr>
      <w:r>
        <w:rPr>
          <w:rFonts w:ascii="Consolas" w:cs="Consolas" w:eastAsia="Consolas" w:hAnsi="Consolas"/>
          <w:sz w:val="19"/>
          <w:szCs w:val="19"/>
        </w:rPr>
        <w:t xml:space="preserve">&lt;/nt&gt;</w:t>
      </w:r>
    </w:p>
    <w:p>
      <w:pPr>
        <w:shd w:fill="F2F2F2" w:val="clear"/>
        <w:spacing w:after="60"/>
      </w:pPr>
      <w:r>
        <w:rPr>
          <w:rFonts w:ascii="Consolas" w:cs="Consolas" w:eastAsia="Consolas" w:hAnsi="Consolas"/>
          <w:sz w:val="19"/>
          <w:szCs w:val="19"/>
        </w:rPr>
        <w:t xml:space="preserve">&lt;nt id="phr_dOAbs" cat="NP" func="dO:Abs"&gt;</w:t>
      </w:r>
    </w:p>
    <w:p>
      <w:pPr>
        <w:shd w:fill="F2F2F2" w:val="clear"/>
        <w:spacing w:after="60"/>
      </w:pPr>
      <w:r>
        <w:rPr>
          <w:rFonts w:ascii="Consolas" w:cs="Consolas" w:eastAsia="Consolas" w:hAnsi="Consolas"/>
          <w:sz w:val="19"/>
          <w:szCs w:val="19"/>
        </w:rPr>
        <w:t xml:space="preserve">&lt;edge label="HD" idref="w65b03_03" /&gt;</w:t>
      </w:r>
    </w:p>
    <w:p>
      <w:pPr>
        <w:shd w:fill="F2F2F2" w:val="clear"/>
        <w:spacing w:after="60"/>
      </w:pPr>
      <w:r>
        <w:rPr>
          <w:rFonts w:ascii="Consolas" w:cs="Consolas" w:eastAsia="Consolas" w:hAnsi="Consolas"/>
          <w:sz w:val="19"/>
          <w:szCs w:val="19"/>
        </w:rPr>
        <w:t xml:space="preserve">&lt;edge label="CASE" idref="w65b03_04" /&gt;</w:t>
      </w:r>
    </w:p>
    <w:p>
      <w:pPr>
        <w:shd w:fill="F2F2F2" w:val="clear"/>
        <w:spacing w:after="60"/>
      </w:pPr>
      <w:r>
        <w:rPr>
          <w:rFonts w:ascii="Consolas" w:cs="Consolas" w:eastAsia="Consolas" w:hAnsi="Consolas"/>
          <w:sz w:val="19"/>
          <w:szCs w:val="19"/>
        </w:rPr>
        <w:t xml:space="preserve">&lt;/nt&gt;</w:t>
      </w:r>
    </w:p>
    <w:p>
      <w:pPr>
        <w:shd w:fill="F2F2F2" w:val="clear"/>
        <w:spacing w:after="60"/>
      </w:pPr>
      <w:r>
        <w:rPr>
          <w:rFonts w:ascii="Consolas" w:cs="Consolas" w:eastAsia="Consolas" w:hAnsi="Consolas"/>
          <w:sz w:val="19"/>
          <w:szCs w:val="19"/>
        </w:rPr>
        <w:t xml:space="preserve">&lt;nt id="phr_Praed" cat="VP" func="Praed:PP"&gt;</w:t>
      </w:r>
    </w:p>
    <w:p>
      <w:pPr>
        <w:shd w:fill="F2F2F2" w:val="clear"/>
        <w:spacing w:after="60"/>
      </w:pPr>
      <w:r>
        <w:rPr>
          <w:rFonts w:ascii="Consolas" w:cs="Consolas" w:eastAsia="Consolas" w:hAnsi="Consolas"/>
          <w:sz w:val="19"/>
          <w:szCs w:val="19"/>
        </w:rPr>
        <w:t xml:space="preserve">&lt;edge label="HD" idref="w65b03_05" /&gt;</w:t>
      </w:r>
    </w:p>
    <w:p>
      <w:pPr>
        <w:shd w:fill="F2F2F2" w:val="clear"/>
        <w:spacing w:after="60"/>
      </w:pPr>
      <w:r>
        <w:rPr>
          <w:rFonts w:ascii="Consolas" w:cs="Consolas" w:eastAsia="Consolas" w:hAnsi="Consolas"/>
          <w:sz w:val="19"/>
          <w:szCs w:val="19"/>
        </w:rPr>
        <w:t xml:space="preserve">&lt;/nt&gt;</w:t>
      </w:r>
    </w:p>
    <w:p>
      <w:pPr>
        <w:shd w:fill="F2F2F2" w:val="clear"/>
        <w:spacing w:after="60"/>
      </w:pPr>
      <w:r>
        <w:rPr>
          <w:rFonts w:ascii="Consolas" w:cs="Consolas" w:eastAsia="Consolas" w:hAnsi="Consolas"/>
          <w:sz w:val="19"/>
          <w:szCs w:val="19"/>
        </w:rPr>
        <w:t xml:space="preserve">&lt;nt id="s65b03" cat="S" func="--"&gt;</w:t>
      </w:r>
    </w:p>
    <w:p>
      <w:pPr>
        <w:shd w:fill="F2F2F2" w:val="clear"/>
        <w:spacing w:after="60"/>
      </w:pPr>
      <w:r>
        <w:rPr>
          <w:rFonts w:ascii="Consolas" w:cs="Consolas" w:eastAsia="Consolas" w:hAnsi="Consolas"/>
          <w:sz w:val="19"/>
          <w:szCs w:val="19"/>
        </w:rPr>
        <w:t xml:space="preserve">&lt;edge label="S:Erg" idref="phr_SErg" /&gt;</w:t>
      </w:r>
    </w:p>
    <w:p>
      <w:pPr>
        <w:shd w:fill="F2F2F2" w:val="clear"/>
        <w:spacing w:after="60"/>
      </w:pPr>
      <w:r>
        <w:rPr>
          <w:rFonts w:ascii="Consolas" w:cs="Consolas" w:eastAsia="Consolas" w:hAnsi="Consolas"/>
          <w:sz w:val="19"/>
          <w:szCs w:val="19"/>
        </w:rPr>
        <w:t xml:space="preserve">&lt;edge label="dO:Abs" idref="phr_dOAbs" /&gt;</w:t>
      </w:r>
    </w:p>
    <w:p>
      <w:pPr>
        <w:shd w:fill="F2F2F2" w:val="clear"/>
        <w:spacing w:after="60"/>
      </w:pPr>
      <w:r>
        <w:rPr>
          <w:rFonts w:ascii="Consolas" w:cs="Consolas" w:eastAsia="Consolas" w:hAnsi="Consolas"/>
          <w:sz w:val="19"/>
          <w:szCs w:val="19"/>
        </w:rPr>
        <w:t xml:space="preserve">&lt;edge label="Praed" idref="phr_Praed" /&gt;</w:t>
      </w:r>
    </w:p>
    <w:p>
      <w:pPr>
        <w:shd w:fill="F2F2F2" w:val="clear"/>
        <w:spacing w:after="60"/>
      </w:pPr>
      <w:r>
        <w:rPr>
          <w:rFonts w:ascii="Consolas" w:cs="Consolas" w:eastAsia="Consolas" w:hAnsi="Consolas"/>
          <w:sz w:val="19"/>
          <w:szCs w:val="19"/>
        </w:rPr>
        <w:t xml:space="preserve">&lt;/nt&gt;</w:t>
      </w:r>
    </w:p>
    <w:p>
      <w:pPr>
        <w:shd w:fill="F2F2F2" w:val="clear"/>
        <w:spacing w:after="60"/>
      </w:pPr>
      <w:r>
        <w:rPr>
          <w:rFonts w:ascii="Consolas" w:cs="Consolas" w:eastAsia="Consolas" w:hAnsi="Consolas"/>
          <w:sz w:val="19"/>
          <w:szCs w:val="19"/>
        </w:rPr>
        <w:t xml:space="preserve">&lt;/nonterminals&gt;</w:t>
      </w:r>
    </w:p>
    <w:p>
      <w:pPr>
        <w:shd w:fill="F2F2F2" w:val="clear"/>
        <w:spacing w:after="60"/>
      </w:pPr>
      <w:r>
        <w:rPr>
          <w:rFonts w:ascii="Consolas" w:cs="Consolas" w:eastAsia="Consolas" w:hAnsi="Consolas"/>
          <w:sz w:val="19"/>
          <w:szCs w:val="19"/>
        </w:rPr>
        <w:t xml:space="preserve">&lt;/graph&gt;</w:t>
      </w:r>
    </w:p>
    <w:p>
      <w:pPr>
        <w:spacing w:after="160"/>
      </w:pPr>
      <w:r>
        <w:rPr>
          <w:b/>
          <w:bCs/>
        </w:rPr>
        <w:t xml:space="preserve">Edge labels: </w:t>
      </w:r>
      <w:r>
        <w:t xml:space="preserve">HD (head), CASE (case marker), MOD (modifier), DET (determiner), S:Erg, S:Abs, dO:Abs, iO:PP, Praed, AB:lok, AB:temp, AB:kaus, AB:mod, AB:final.</w:t>
      </w:r>
    </w:p>
    <w:p>
      <w:pPr>
        <w:pStyle w:val="Heading2"/>
        <w:spacing w:after="160" w:before="280"/>
      </w:pPr>
      <w:r>
        <w:t xml:space="preserve">11.9 Verb Classes According to Schwieger/Bialek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00"/>
      </w:tblGrid>
      <w:tr>
        <w:trPr>
          <w:tblHeader/>
        </w:trPr>
        <w:tc>
          <w:tcPr>
            <w:tcW w:type="dxa" w:w="14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Class</w:t>
            </w:r>
          </w:p>
        </w:tc>
        <w:tc>
          <w:tcPr>
            <w:tcW w:type="dxa" w:w="36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Stem forms</w:t>
            </w:r>
          </w:p>
        </w:tc>
        <w:tc>
          <w:tcPr>
            <w:tcW w:type="dxa" w:w="4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Characteristic</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VG1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1.SF = 2.SF = 3.SF = 4.SF</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 stem forms identical</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VG2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1.SF = 2.SF = 3.SF ≠ 4.SF</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Imperative deviates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VG3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1.SF ≠ 2.SF ≠ 3.SF ≠ 4.SF</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 stem forms different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VG4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1.SF = 3.SF ≠ 2.SF = 4.SF</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Present/future = imperative, past distinct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VG5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1.SF = 2.SF ≠ 3.SF = 4.SF</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Semi-regular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VG6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only 1.SF present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Defective (present form only)</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Valency</w:t>
            </w:r>
          </w:p>
        </w:tc>
        <w:tc>
          <w:tcPr>
            <w:tcW w:type="dxa" w:w="6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Description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tdV (tha dad pa)</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Transitive verb: takes a direct object; subject in the ergative (past tense)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tmdV (tha mi dad pa)</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Intransitive verb: no direct object; subject always in the absolutive</w:t>
            </w:r>
          </w:p>
        </w:tc>
      </w:tr>
    </w:tbl>
    <w:p>
      <w:pPr>
        <w:pStyle w:val="Heading2"/>
        <w:spacing w:after="160" w:before="280"/>
      </w:pPr>
      <w:r>
        <w:t xml:space="preserve">11.10 Annotation Scope per Witness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File</w:t>
            </w:r>
          </w:p>
        </w:tc>
        <w:tc>
          <w:tcPr>
            <w:tcW w:type="dxa" w:w="61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20"/>
                <w:szCs w:val="20"/>
              </w:rPr>
              <w:t xml:space="preserve">Annotation status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2_dignaga.xml</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Complete: &lt;s&gt;, &lt;w&gt; with pos/type/subtype/function. &lt;cl&gt;/&lt;phr&gt; and verb classes still to be added.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1_gompopa.xml</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Basic annotation: &lt;persName&gt;, &lt;placeName&gt;. &lt;s&gt;/&lt;cl&gt;/&lt;phr&gt;/&lt;w&gt; still to be compiled.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3_ganden.xml</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Basic annotation: named entities. Syntax annotation still to be compiled.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4_shrisena.xml</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Basic annotation. Syntax annotation still to be compiled.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5_klong_chen_ran_'byam.xml</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Placeholder. Text and annotation still to be compiled.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6_shantideva_bca.xml</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Placeholder. Text and annotation still to be compiled.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7_r103.xml</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Complete: named entities with SRC references. Syntax annotation still to be compiled.</w:t>
            </w:r>
          </w:p>
        </w:tc>
      </w:tr>
    </w:tbl>
    <w:p>
      <w:pPr>
        <w:pStyle w:val="Heading2"/>
        <w:spacing w:after="160" w:before="280"/>
      </w:pPr>
      <w:r>
        <w:t xml:space="preserve">11.11 Syntax Annotation Checklist</w:t>
      </w:r>
    </w:p>
    <w:p>
      <w:pPr>
        <w:pStyle w:val="ListParagraph"/>
        <w:numPr>
          <w:ilvl w:val="0"/>
          <w:numId w:val="2"/>
        </w:numPr>
        <w:spacing w:after="100"/>
      </w:pPr>
      <w:r>
        <w:t xml:space="preserve">All tokens provided with &lt;w xml:id="..."&gt; and pos=</w:t>
      </w:r>
    </w:p>
    <w:p>
      <w:pPr>
        <w:pStyle w:val="ListParagraph"/>
        <w:numPr>
          <w:ilvl w:val="0"/>
          <w:numId w:val="2"/>
        </w:numPr>
        <w:spacing w:after="100"/>
      </w:pPr>
      <w:r>
        <w:t xml:space="preserve">Tseg as a text node between the tags, not inside</w:t>
      </w:r>
    </w:p>
    <w:p>
      <w:pPr>
        <w:pStyle w:val="ListParagraph"/>
        <w:numPr>
          <w:ilvl w:val="0"/>
          <w:numId w:val="2"/>
        </w:numPr>
        <w:spacing w:after="100"/>
      </w:pPr>
      <w:r>
        <w:t xml:space="preserve">Punctuation as &lt;pc type="shad"&gt; or &lt;pc type="nyis_shad"&gt;</w:t>
      </w:r>
    </w:p>
    <w:p>
      <w:pPr>
        <w:pStyle w:val="ListParagraph"/>
        <w:numPr>
          <w:ilvl w:val="0"/>
          <w:numId w:val="2"/>
        </w:numPr>
        <w:spacing w:after="100"/>
      </w:pPr>
      <w:r>
        <w:t xml:space="preserve">Verbs: specify vclass → ana, valency → ana and sf</w:t>
      </w:r>
    </w:p>
    <w:p>
      <w:pPr>
        <w:pStyle w:val="ListParagraph"/>
        <w:numPr>
          <w:ilvl w:val="0"/>
          <w:numId w:val="2"/>
        </w:numPr>
        <w:spacing w:after="100"/>
      </w:pPr>
      <w:r>
        <w:t xml:space="preserve">Case particles: specify subtype and function</w:t>
      </w:r>
    </w:p>
    <w:p>
      <w:pPr>
        <w:pStyle w:val="ListParagraph"/>
        <w:numPr>
          <w:ilvl w:val="0"/>
          <w:numId w:val="2"/>
        </w:numPr>
        <w:spacing w:after="100"/>
      </w:pPr>
      <w:r>
        <w:t xml:space="preserve">Constituents grouped in &lt;phr function="..."&gt;</w:t>
      </w:r>
    </w:p>
    <w:p>
      <w:pPr>
        <w:pStyle w:val="ListParagraph"/>
        <w:numPr>
          <w:ilvl w:val="0"/>
          <w:numId w:val="2"/>
        </w:numPr>
        <w:spacing w:after="100"/>
      </w:pPr>
      <w:r>
        <w:t xml:space="preserve">Citations as &lt;note type="ref"&gt; on the &lt;phr&gt; or &lt;cl&gt; element</w:t>
      </w:r>
    </w:p>
    <w:p>
      <w:pPr>
        <w:pStyle w:val="ListParagraph"/>
        <w:numPr>
          <w:ilvl w:val="0"/>
          <w:numId w:val="2"/>
        </w:numPr>
        <w:spacing w:after="100"/>
      </w:pPr>
      <w:r>
        <w:t xml:space="preserve">Create a TIGER graph for fully annotated sentences</w:t>
      </w:r>
    </w:p>
    <w:p>
      <w:pPr>
        <w:pStyle w:val="ListParagraph"/>
        <w:numPr>
          <w:ilvl w:val="0"/>
          <w:numId w:val="2"/>
        </w:numPr>
        <w:spacing w:after="100"/>
      </w:pPr>
      <w:r>
        <w:t xml:space="preserve">TEI P5 validation in Oxygen: green</w:t>
      </w:r>
    </w:p>
    <w:p>
      <w:pPr>
        <w:spacing w:before="300"/>
        <w:jc w:val="center"/>
      </w:pPr>
      <w:r>
        <w:rPr>
          <w:i/>
          <w:iCs/>
          <w:sz w:val="18"/>
          <w:szCs w:val="18"/>
        </w:rPr>
        <w:t xml:space="preserve">TibetanTEI — Institute for South Asian, Tibetan and Buddhist Studies, University of Vienna — 2026</w:t>
      </w:r>
    </w:p>
    <w:p>
      <w:pPr>
        <w:pStyle w:val="Heading1"/>
        <w:spacing w:after="160" w:before="280"/>
      </w:pPr>
      <w:r>
        <w:t xml:space="preserve">12. Debugging with F12</w:t>
      </w:r>
    </w:p>
    <w:p>
      <w:pPr>
        <w:spacing w:after="160"/>
      </w:pPr>
      <w:r>
        <w:t xml:space="preserve">TibetanTEI automatically outputs notices on the consistency of the XML data in the browser console (F12 → Console). A detailed description of all options can be found in TibetanTEI_Debugging_F12.docx.</w:t>
      </w:r>
    </w:p>
    <w:p>
      <w:pPr>
        <w:pStyle w:val="Heading2"/>
        <w:spacing w:after="160" w:before="280"/>
      </w:pPr>
      <w:r>
        <w:t xml:space="preserve">12.1 Automatic Consistency Check</w:t>
      </w:r>
    </w:p>
    <w:p>
      <w:pPr>
        <w:spacing w:after="160"/>
      </w:pPr>
      <w:r>
        <w:t xml:space="preserve">After every page change, detail.js checks:</w:t>
      </w:r>
    </w:p>
    <w:p>
      <w:pPr>
        <w:pStyle w:val="ListParagraph"/>
        <w:numPr>
          <w:ilvl w:val="0"/>
          <w:numId w:val="2"/>
        </w:numPr>
        <w:spacing w:after="100"/>
      </w:pPr>
      <w:r>
        <w:t xml:space="preserve">Duplicates in the person and place registers</w:t>
      </w:r>
    </w:p>
    <w:p>
      <w:pPr>
        <w:pStyle w:val="ListParagraph"/>
        <w:numPr>
          <w:ilvl w:val="0"/>
          <w:numId w:val="2"/>
        </w:numPr>
        <w:spacing w:after="100"/>
      </w:pPr>
      <w:r>
        <w:t xml:space="preserve">Missing standOff IDs (corresp without a match)</w:t>
      </w:r>
    </w:p>
    <w:p>
      <w:pPr>
        <w:pStyle w:val="ListParagraph"/>
        <w:numPr>
          <w:ilvl w:val="0"/>
          <w:numId w:val="2"/>
        </w:numPr>
        <w:spacing w:after="100"/>
      </w:pPr>
      <w:r>
        <w:t xml:space="preserve">Missing vocabulary entries (@ana without an &lt;fs&gt; in &lt;fvLib&gt;)</w:t>
      </w:r>
    </w:p>
    <w:p>
      <w:pPr>
        <w:pStyle w:val="ListParagraph"/>
        <w:numPr>
          <w:ilvl w:val="0"/>
          <w:numId w:val="2"/>
        </w:numPr>
        <w:spacing w:after="100"/>
      </w:pPr>
      <w:r>
        <w:t xml:space="preserve">Unused vocabulary entries (&lt;fs&gt; without @ana in the text)</w:t>
      </w:r>
    </w:p>
    <w:p>
      <w:pPr>
        <w:pStyle w:val="ListParagraph"/>
        <w:numPr>
          <w:ilvl w:val="0"/>
          <w:numId w:val="2"/>
        </w:numPr>
        <w:spacing w:after="100"/>
      </w:pPr>
      <w:r>
        <w:t xml:space="preserve">Verbs, nouns and adjectives without @ana annotation</w:t>
      </w:r>
    </w:p>
    <w:p>
      <w:pPr>
        <w:pStyle w:val="Heading2"/>
        <w:spacing w:after="160" w:before="280"/>
      </w:pPr>
      <w:r>
        <w:t xml:space="preserve">12.2 Console Output</w:t>
      </w:r>
    </w:p>
    <w:p>
      <w:pPr>
        <w:pStyle w:val="ListParagraph"/>
        <w:numPr>
          <w:ilvl w:val="0"/>
          <w:numId w:val="2"/>
        </w:numPr>
        <w:spacing w:after="100"/>
      </w:pPr>
      <w:r>
        <w:t xml:space="preserve">Yellow: errors — must be fixed</w:t>
      </w:r>
    </w:p>
    <w:p>
      <w:pPr>
        <w:pStyle w:val="ListParagraph"/>
        <w:numPr>
          <w:ilvl w:val="0"/>
          <w:numId w:val="2"/>
        </w:numPr>
        <w:spacing w:after="100"/>
      </w:pPr>
      <w:r>
        <w:t xml:space="preserve">Blue, collapsed: missing BUDA links</w:t>
      </w:r>
    </w:p>
    <w:p>
      <w:pPr>
        <w:pStyle w:val="ListParagraph"/>
        <w:numPr>
          <w:ilvl w:val="0"/>
          <w:numId w:val="2"/>
        </w:numPr>
        <w:spacing w:after="100"/>
      </w:pPr>
      <w:r>
        <w:t xml:space="preserve">Blue, collapsed: vocabulary-register notices</w:t>
      </w:r>
    </w:p>
    <w:p>
      <w:pPr>
        <w:pStyle w:val="Heading2"/>
        <w:spacing w:after="160" w:before="280"/>
      </w:pPr>
      <w:r>
        <w:t xml:space="preserve">12.3 Important Console Commands</w:t>
      </w:r>
    </w:p>
    <w:p>
      <w:pPr>
        <w:shd w:fill="F2F2F2" w:val="clear"/>
        <w:spacing w:after="60"/>
      </w:pPr>
      <w:r>
        <w:rPr>
          <w:rFonts w:ascii="Consolas" w:cs="Consolas" w:eastAsia="Consolas" w:hAnsi="Consolas"/>
          <w:sz w:val="19"/>
          <w:szCs w:val="19"/>
        </w:rPr>
        <w:t xml:space="preserve">projectData.vocab // Loaded vocabulary entries</w:t>
      </w:r>
    </w:p>
    <w:p>
      <w:pPr>
        <w:shd w:fill="F2F2F2" w:val="clear"/>
        <w:spacing w:after="60"/>
      </w:pPr>
      <w:r>
        <w:rPr>
          <w:rFonts w:ascii="Consolas" w:cs="Consolas" w:eastAsia="Consolas" w:hAnsi="Consolas"/>
          <w:sz w:val="19"/>
          <w:szCs w:val="19"/>
        </w:rPr>
        <w:t xml:space="preserve">projectData.listPerson // Person register</w:t>
      </w:r>
    </w:p>
    <w:p>
      <w:pPr>
        <w:shd w:fill="F2F2F2" w:val="clear"/>
        <w:spacing w:after="60"/>
      </w:pPr>
      <w:r>
        <w:rPr>
          <w:rFonts w:ascii="Consolas" w:cs="Consolas" w:eastAsia="Consolas" w:hAnsi="Consolas"/>
          <w:sz w:val="19"/>
          <w:szCs w:val="19"/>
        </w:rPr>
        <w:t xml:space="preserve">searchMatches.length // Number of search hits</w:t>
      </w:r>
    </w:p>
    <w:p>
      <w:pPr>
        <w:shd w:fill="F2F2F2" w:val="clear"/>
        <w:spacing w:after="60"/>
      </w:pPr>
      <w:r>
        <w:rPr>
          <w:rFonts w:ascii="Consolas" w:cs="Consolas" w:eastAsia="Consolas" w:hAnsi="Consolas"/>
          <w:sz w:val="19"/>
          <w:szCs w:val="19"/>
        </w:rPr>
        <w:t xml:space="preserve">document.querySelector('[data-wid]') // Word token in the DOM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color w:val="666666"/>
        <w:sz w:val="16"/>
        <w:szCs w:val="16"/>
      </w:rPr>
      <w:t xml:space="preserve">TibetanTEI — Editorial Guidelines v1.0 (2026-05-18)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2026-07-10T11:52:06.148Z</dcterms:created>
  <dcterms:modified xsi:type="dcterms:W3CDTF">2026-07-10T11:52:06.149Z</dcterms:modified>
</cp:coreProperties>
</file>

<file path=docProps/custom.xml><?xml version="1.0" encoding="utf-8"?>
<Properties xmlns="http://schemas.openxmlformats.org/officeDocument/2006/custom-properties" xmlns:vt="http://schemas.openxmlformats.org/officeDocument/2006/docPropsVTypes"/>
</file>