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TibetanTEI</w:t>
      </w:r>
      <w:r>
        <w:t xml:space="preserve"> </w:t>
      </w:r>
      <w:r>
        <w:t xml:space="preserve">—</w:t>
      </w:r>
      <w:r>
        <w:t xml:space="preserve"> </w:t>
      </w:r>
      <w:r>
        <w:t xml:space="preserve">Technische</w:t>
      </w:r>
      <w:r>
        <w:t xml:space="preserve"> </w:t>
      </w:r>
      <w:r>
        <w:t xml:space="preserve">Dokumentation</w:t>
      </w:r>
    </w:p>
    <w:p>
      <w:pPr>
        <w:pStyle w:val="Subtitle"/>
      </w:pPr>
      <w:r>
        <w:t xml:space="preserve">Struktur,</w:t>
      </w:r>
      <w:r>
        <w:t xml:space="preserve"> </w:t>
      </w:r>
      <w:r>
        <w:t xml:space="preserve">Dateien</w:t>
      </w:r>
      <w:r>
        <w:t xml:space="preserve"> </w:t>
      </w:r>
      <w:r>
        <w:t xml:space="preserve">und</w:t>
      </w:r>
      <w:r>
        <w:t xml:space="preserve"> </w:t>
      </w:r>
      <w:r>
        <w:t xml:space="preserve">Zusammenwirken</w:t>
      </w:r>
    </w:p>
    <w:p>
      <w:pPr>
        <w:pStyle w:val="Author"/>
      </w:pPr>
      <w:r>
        <w:t xml:space="preserve">Albert</w:t>
      </w:r>
      <w:r>
        <w:t xml:space="preserve"> </w:t>
      </w:r>
      <w:r>
        <w:t xml:space="preserve">Brugnara</w:t>
      </w:r>
    </w:p>
    <w:p>
      <w:pPr>
        <w:pStyle w:val="Date"/>
      </w:pPr>
      <w:r>
        <w:t xml:space="preserve">2026-05-22</w:t>
      </w:r>
    </w:p>
    <w:bookmarkStart w:id="22" w:name="gesamtstruktur-und-zusammenwirken"/>
    <w:p>
      <w:pPr>
        <w:pStyle w:val="Heading1"/>
      </w:pPr>
      <w:r>
        <w:t xml:space="preserve">1. Gesamtstruktur und Zusammenwirken</w:t>
      </w:r>
    </w:p>
    <w:p>
      <w:pPr>
        <w:pStyle w:val="FirstParagraph"/>
      </w:pPr>
      <w:r>
        <w:t xml:space="preserve">TibetanTEI ist eine statische Webanwendung — d. h. sie besteht ausschließlich aus Dateien, die ein Browser direkt lesen kann, ohne einen Server zu benötigen. Alle Dateien liegen in einem einzigen GitHub-Repository und werden über GitHub Pages unter</w:t>
      </w:r>
      <w:r>
        <w:t xml:space="preserve"> </w:t>
      </w:r>
      <w:r>
        <w:rPr>
          <w:bCs/>
          <w:b/>
        </w:rPr>
        <w:t xml:space="preserve">www.brugnara.at</w:t>
      </w:r>
      <w:r>
        <w:t xml:space="preserve"> </w:t>
      </w:r>
      <w:r>
        <w:t xml:space="preserve">veröffentlicht.</w:t>
      </w:r>
    </w:p>
    <w:p>
      <w:pPr>
        <w:pStyle w:val="BodyText"/>
      </w:pPr>
      <w:r>
        <w:t xml:space="preserve">Die Anwendung besteht aus drei Schichten: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Daten:</w:t>
      </w:r>
      <w:r>
        <w:t xml:space="preserve"> </w:t>
      </w:r>
      <w:r>
        <w:t xml:space="preserve">TEI-P5-konforme XML-Dateien im Ordner</w:t>
      </w:r>
      <w:r>
        <w:t xml:space="preserve"> </w:t>
      </w:r>
      <w:r>
        <w:rPr>
          <w:rStyle w:val="VerbatimChar"/>
        </w:rPr>
        <w:t xml:space="preserve">content/</w:t>
      </w:r>
      <w:r>
        <w:t xml:space="preserve"> </w:t>
      </w:r>
      <w:r>
        <w:t xml:space="preserve">enthalten die edierten tibetischen Texte, Übersetzungen und Register.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Darstellung:</w:t>
      </w:r>
      <w:r>
        <w:t xml:space="preserve"> </w:t>
      </w:r>
      <w:r>
        <w:t xml:space="preserve">HTML-Seiten (index.html, texts.html, detail.html, impressum.html) definieren das Seitenlayout.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Logik und Stil:</w:t>
      </w:r>
      <w:r>
        <w:t xml:space="preserve"> </w:t>
      </w:r>
      <w:r>
        <w:t xml:space="preserve">JavaScript-Dateien (detail.js, texts.js) laden die XML-Daten und rendern sie dynamisch; main.css gestaltet alle Seiten.</w:t>
      </w:r>
    </w:p>
    <w:bookmarkStart w:id="20" w:name="dateibaum"/>
    <w:p>
      <w:pPr>
        <w:pStyle w:val="Heading2"/>
      </w:pPr>
      <w:r>
        <w:t xml:space="preserve">1.1 Dateibaum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 / Ordner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Startseite — Projekteinführung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texts.html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 aller Textzeugen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Textansicht — Hauptarbeitsoberfläche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impressum.html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Rechtliche Angaben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favicon.png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Browser-Tab-Symbol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assets/css/main.css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Zentrales Stylesheet für alle Seiten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assets/app/detail.js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Kernlogik der Textansicht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assets/app/texts.js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Datenliste aller Textzeugen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assets/fonts/Jomolhari.woff2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Tibetan-Fallback-Font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content/*.xml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TEI-P5-XML-Dateien (7 Textzeugen)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Faksimile-Bilder je Textzeuge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content/*.xsl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XSLT-Stylesheets für statische HTML-Ausgabe</w:t>
            </w:r>
          </w:p>
        </w:tc>
      </w:tr>
    </w:tbl>
    <w:bookmarkEnd w:id="20"/>
    <w:bookmarkStart w:id="21" w:name="datenfluss-beim-seitenaufruf"/>
    <w:p>
      <w:pPr>
        <w:pStyle w:val="Heading2"/>
      </w:pPr>
      <w:r>
        <w:t xml:space="preserve">1.2 Datenfluss beim Seitenaufruf</w:t>
      </w:r>
    </w:p>
    <w:p>
      <w:pPr>
        <w:pStyle w:val="FirstParagraph"/>
      </w:pPr>
      <w:r>
        <w:t xml:space="preserve">Wenn ein Nutzer</w:t>
      </w:r>
      <w:r>
        <w:t xml:space="preserve"> </w:t>
      </w:r>
      <w:r>
        <w:rPr>
          <w:rStyle w:val="VerbatimChar"/>
        </w:rPr>
        <w:t xml:space="preserve">detail.html?id=2</w:t>
      </w:r>
      <w:r>
        <w:t xml:space="preserve"> </w:t>
      </w:r>
      <w:r>
        <w:t xml:space="preserve">aufruft, läuft folgender Prozess ab:</w:t>
      </w:r>
    </w:p>
    <w:p>
      <w:pPr>
        <w:numPr>
          <w:ilvl w:val="0"/>
          <w:numId w:val="1002"/>
        </w:numPr>
        <w:pStyle w:val="Compact"/>
      </w:pPr>
      <w:r>
        <w:t xml:space="preserve">Browser lädt</w:t>
      </w:r>
      <w:r>
        <w:t xml:space="preserve"> </w:t>
      </w:r>
      <w:r>
        <w:rPr>
          <w:bCs/>
          <w:b/>
        </w:rPr>
        <w:t xml:space="preserve">detail.html</w:t>
      </w:r>
      <w:r>
        <w:t xml:space="preserve"> </w:t>
      </w:r>
      <w:r>
        <w:t xml:space="preserve">— das HTML-Gerüst mit Tabs, Suchfeld und Seitenauswahl.</w:t>
      </w:r>
    </w:p>
    <w:p>
      <w:pPr>
        <w:numPr>
          <w:ilvl w:val="0"/>
          <w:numId w:val="1002"/>
        </w:numPr>
        <w:pStyle w:val="Compact"/>
      </w:pPr>
      <w:r>
        <w:t xml:space="preserve">Browser lädt</w:t>
      </w:r>
      <w:r>
        <w:t xml:space="preserve"> </w:t>
      </w:r>
      <w:r>
        <w:rPr>
          <w:bCs/>
          <w:b/>
        </w:rPr>
        <w:t xml:space="preserve">main.css</w:t>
      </w:r>
      <w:r>
        <w:t xml:space="preserve"> </w:t>
      </w:r>
      <w:r>
        <w:t xml:space="preserve">— alle Farben, Schriften und Layouts werden definiert.</w:t>
      </w:r>
    </w:p>
    <w:p>
      <w:pPr>
        <w:numPr>
          <w:ilvl w:val="0"/>
          <w:numId w:val="1002"/>
        </w:numPr>
        <w:pStyle w:val="Compact"/>
      </w:pPr>
      <w:r>
        <w:t xml:space="preserve">Browser lädt</w:t>
      </w:r>
      <w:r>
        <w:t xml:space="preserve"> </w:t>
      </w:r>
      <w:r>
        <w:rPr>
          <w:bCs/>
          <w:b/>
        </w:rPr>
        <w:t xml:space="preserve">texts.js</w:t>
      </w:r>
      <w:r>
        <w:t xml:space="preserve"> </w:t>
      </w:r>
      <w:r>
        <w:t xml:space="preserve">— die Liste aller Textzeugen steht bereit.</w:t>
      </w:r>
    </w:p>
    <w:p>
      <w:pPr>
        <w:numPr>
          <w:ilvl w:val="0"/>
          <w:numId w:val="1002"/>
        </w:numPr>
        <w:pStyle w:val="Compact"/>
      </w:pPr>
      <w:r>
        <w:t xml:space="preserve">Browser lädt</w:t>
      </w:r>
      <w:r>
        <w:t xml:space="preserve"> </w:t>
      </w:r>
      <w:r>
        <w:rPr>
          <w:bCs/>
          <w:b/>
        </w:rPr>
        <w:t xml:space="preserve">detail.js</w:t>
      </w:r>
      <w:r>
        <w:t xml:space="preserve"> </w:t>
      </w:r>
      <w:r>
        <w:t xml:space="preserve">— die gesamte Interaktionslogik wird gestartet.</w:t>
      </w:r>
    </w:p>
    <w:p>
      <w:pPr>
        <w:numPr>
          <w:ilvl w:val="0"/>
          <w:numId w:val="1002"/>
        </w:numPr>
        <w:pStyle w:val="Compact"/>
      </w:pPr>
      <w:r>
        <w:t xml:space="preserve">detail.js liest den URL-Parameter</w:t>
      </w:r>
      <w:r>
        <w:t xml:space="preserve"> </w:t>
      </w:r>
      <w:r>
        <w:rPr>
          <w:rStyle w:val="VerbatimChar"/>
        </w:rPr>
        <w:t xml:space="preserve">?id=2</w:t>
      </w:r>
      <w:r>
        <w:t xml:space="preserve">, sucht den Eintrag in texts.js und lädt via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die Datei</w:t>
      </w:r>
      <w:r>
        <w:t xml:space="preserve"> </w:t>
      </w:r>
      <w:r>
        <w:rPr>
          <w:rStyle w:val="VerbatimChar"/>
        </w:rPr>
        <w:t xml:space="preserve">2_dignaga.xml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Das XML wird mit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in ein DOM-Objekt umgewandelt. Personen, Orte, Rollen und Vokabeln werden aus dem</w:t>
      </w:r>
      <w:r>
        <w:t xml:space="preserve"> </w:t>
      </w:r>
      <w:r>
        <w:rPr>
          <w:rStyle w:val="VerbatimChar"/>
        </w:rPr>
        <w:t xml:space="preserve">standOff</w:t>
      </w:r>
      <w:r>
        <w:t xml:space="preserve"> </w:t>
      </w:r>
      <w:r>
        <w:t xml:space="preserve">extrahiert.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renderPage()</w:t>
      </w:r>
      <w:r>
        <w:t xml:space="preserve"> </w:t>
      </w:r>
      <w:r>
        <w:t xml:space="preserve">rendert die aktuelle Seite in alle aktiven Tabs.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updateRegisters()</w:t>
      </w:r>
      <w:r>
        <w:t xml:space="preserve"> </w:t>
      </w:r>
      <w:r>
        <w:t xml:space="preserve">befüllt die Register-Tabs.</w:t>
      </w:r>
    </w:p>
    <w:p>
      <w:pPr>
        <w:numPr>
          <w:ilvl w:val="0"/>
          <w:numId w:val="1002"/>
        </w:numPr>
        <w:pStyle w:val="Compact"/>
      </w:pPr>
      <w:r>
        <w:t xml:space="preserve">Der Nutzer kann Tabs wechseln, Seiten blättern, suchen und auf Namen/Wörter klicken.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main.css-zentrales-stylesheet"/>
    <w:p>
      <w:pPr>
        <w:pStyle w:val="Heading1"/>
      </w:pPr>
      <w:r>
        <w:t xml:space="preserve">2. main.css — Zentrales Stylesheet</w:t>
      </w:r>
    </w:p>
    <w:p>
      <w:pPr>
        <w:pStyle w:val="FirstParagraph"/>
      </w:pPr>
      <w:r>
        <w:t xml:space="preserve">Die Datei</w:t>
      </w:r>
      <w:r>
        <w:t xml:space="preserve"> </w:t>
      </w:r>
      <w:r>
        <w:rPr>
          <w:rStyle w:val="VerbatimChar"/>
        </w:rPr>
        <w:t xml:space="preserve">assets/css/main.css</w:t>
      </w:r>
      <w:r>
        <w:t xml:space="preserve"> </w:t>
      </w:r>
      <w:r>
        <w:t xml:space="preserve">ist das einzige Stylesheet der gesamten Anwendung. Sie gilt für alle vier HTML-Seiten.</w:t>
      </w:r>
    </w:p>
    <w:bookmarkStart w:id="23" w:name="font-face"/>
    <w:p>
      <w:pPr>
        <w:pStyle w:val="Heading2"/>
      </w:pPr>
      <w:r>
        <w:t xml:space="preserve">2.1</w:t>
      </w:r>
      <w:r>
        <w:t xml:space="preserve"> </w:t>
      </w:r>
      <w:r>
        <w:t xml:space="preserve">@font-face</w:t>
      </w:r>
    </w:p>
    <w:p>
      <w:pPr>
        <w:pStyle w:val="FirstParagraph"/>
      </w:pPr>
      <w:r>
        <w:t xml:space="preserve">Ganz oben werden die drei Tibetan-Fonts eingebunden:</w:t>
      </w:r>
    </w:p>
    <w:p>
      <w:pPr>
        <w:pStyle w:val="SourceCode"/>
      </w:pPr>
      <w:r>
        <w:rPr>
          <w:rStyle w:val="ImportTok"/>
        </w:rPr>
        <w:t xml:space="preserve">@font-face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"Yagpo Tibetan Sambhota Uni"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src: </w:t>
      </w:r>
      <w:r>
        <w:rPr>
          <w:rStyle w:val="FunctionTok"/>
        </w:rPr>
        <w:t xml:space="preserve">url(</w:t>
      </w:r>
      <w:r>
        <w:rPr>
          <w:rStyle w:val="StringTok"/>
        </w:rPr>
        <w:t xml:space="preserve">"../fonts/YagpoTibetanSambhotaUni.woff2"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format(</w:t>
      </w:r>
      <w:r>
        <w:rPr>
          <w:rStyle w:val="StringTok"/>
        </w:rPr>
        <w:t xml:space="preserve">"woff2"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font-display: swap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Alle drei Tibetan-Fonts sind lokal gespeichert damit die Seite auch offline funktioniert.</w:t>
      </w:r>
      <w:r>
        <w:t xml:space="preserve"> </w:t>
      </w:r>
      <w:r>
        <w:rPr>
          <w:rStyle w:val="VerbatimChar"/>
        </w:rPr>
        <w:t xml:space="preserve">font-display: swap</w:t>
      </w:r>
      <w:r>
        <w:t xml:space="preserve"> </w:t>
      </w:r>
      <w:r>
        <w:t xml:space="preserve">bedeutet: der Browser zeigt zunächst einen Systemfont und wechselt sobald der Font geladen ist, ohne die Seite zu blockieren.</w:t>
      </w:r>
    </w:p>
    <w:p>
      <w:pPr>
        <w:pStyle w:val="BodyText"/>
      </w:pPr>
      <w:r>
        <w:t xml:space="preserve">Der primäre Tibetan-Font ist</w:t>
      </w:r>
      <w:r>
        <w:t xml:space="preserve"> </w:t>
      </w:r>
      <w:r>
        <w:rPr>
          <w:bCs/>
          <w:b/>
        </w:rPr>
        <w:t xml:space="preserve">Microsoft Himalaya</w:t>
      </w:r>
      <w:r>
        <w:t xml:space="preserve"> </w:t>
      </w:r>
      <w:r>
        <w:t xml:space="preserve">(auf Windows vorinstalliert). Microsoft Himalaya und Jomolhari dienen als Fallbacks. Yagpo Tibetan Sambhota Uni unterstützt den vollen Unicode-Tibetan-Bereich (ca. 11.250 Zeichen) inkl. aller Subskript-Kombinationen (z. B. na+tta, na+ya in Sanskrit-Lehnwörtern). Microsoft Himalaya deckt diese Zeichen korrekt ab.</w:t>
      </w:r>
    </w:p>
    <w:bookmarkEnd w:id="23"/>
    <w:bookmarkStart w:id="24" w:name="design-tokens-root"/>
    <w:p>
      <w:pPr>
        <w:pStyle w:val="Heading2"/>
      </w:pPr>
      <w:r>
        <w:t xml:space="preserve">2.2 Design-Tokens (:root)</w:t>
      </w:r>
    </w:p>
    <w:p>
      <w:pPr>
        <w:pStyle w:val="FirstParagraph"/>
      </w:pPr>
      <w:r>
        <w:t xml:space="preserve">Alle Farben, Schriften und Größen sind als CSS Custom Properties (Variablen) unter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definiert. Das ermöglicht es, das gesamte Design an einer einzigen Stelle zu ändern: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--background</w:t>
      </w:r>
      <w:r>
        <w:rPr>
          <w:rStyle w:val="NormalTok"/>
        </w:rPr>
        <w:t xml:space="preserve">:   </w:t>
      </w:r>
      <w:r>
        <w:rPr>
          <w:rStyle w:val="ConstantTok"/>
        </w:rPr>
        <w:t xml:space="preserve">#f5f0e8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Pergamentfarbe          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--second</w:t>
      </w:r>
      <w:r>
        <w:rPr>
          <w:rStyle w:val="NormalTok"/>
        </w:rPr>
        <w:t xml:space="preserve">:       </w:t>
      </w:r>
      <w:r>
        <w:rPr>
          <w:rStyle w:val="ConstantTok"/>
        </w:rPr>
        <w:t xml:space="preserve">#8B7355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Ocker-Braun für Akzente 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--color-person</w:t>
      </w:r>
      <w:r>
        <w:rPr>
          <w:rStyle w:val="NormalTok"/>
        </w:rPr>
        <w:t xml:space="preserve">: </w:t>
      </w:r>
      <w:r>
        <w:rPr>
          <w:rStyle w:val="ConstantTok"/>
        </w:rPr>
        <w:t xml:space="preserve">#4a6fa5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Blau für Personennamen  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--color-place</w:t>
      </w:r>
      <w:r>
        <w:rPr>
          <w:rStyle w:val="NormalTok"/>
        </w:rPr>
        <w:t xml:space="preserve">:  </w:t>
      </w:r>
      <w:r>
        <w:rPr>
          <w:rStyle w:val="ConstantTok"/>
        </w:rPr>
        <w:t xml:space="preserve">#c47d00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Ocker für Ortsnamen     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--font-tibetan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"Yagpo Tibetan Sambhota Uni"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 Himalaya"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"Jomolhari"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--header-height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Wenn man z. B. die Pergamentfarbe ändern möchte, ändert man nur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und alle Stellen die diese Variable verwenden, werden automatisch aktualisiert.</w:t>
      </w:r>
    </w:p>
    <w:bookmarkEnd w:id="24"/>
    <w:bookmarkStart w:id="25" w:name="zweispaltiges-lesepult-.reader"/>
    <w:p>
      <w:pPr>
        <w:pStyle w:val="Heading2"/>
      </w:pPr>
      <w:r>
        <w:t xml:space="preserve">2.3 Zweispaltiges Lesepult (.reader)</w:t>
      </w:r>
    </w:p>
    <w:p>
      <w:pPr>
        <w:pStyle w:val="FirstParagraph"/>
      </w:pPr>
      <w:r>
        <w:t xml:space="preserve">Das Herzstück des Layouts auf detail.html:</w:t>
      </w:r>
    </w:p>
    <w:p>
      <w:pPr>
        <w:pStyle w:val="SourceCode"/>
      </w:pPr>
      <w:r>
        <w:rPr>
          <w:rStyle w:val="FunctionTok"/>
        </w:rPr>
        <w:t xml:space="preserve">.reader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minmax(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--space-lg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CSS Grid teilt die Seite in zwei gleich breite Spalten.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bedeutet: jede Spalte nimmt genau die Hälfte des verfügbaren Platzes ein, kann aber auch auf 0 schrumpfen — das verhindert Überläufe bei langen Wörtern.</w:t>
      </w:r>
    </w:p>
    <w:bookmarkEnd w:id="25"/>
    <w:bookmarkStart w:id="26" w:name="unabhängiges-spalten-scrollen-.column"/>
    <w:p>
      <w:pPr>
        <w:pStyle w:val="Heading2"/>
      </w:pPr>
      <w:r>
        <w:t xml:space="preserve">2.4 Unabhängiges Spalten-Scrollen (.column)</w:t>
      </w:r>
    </w:p>
    <w:p>
      <w:pPr>
        <w:pStyle w:val="SourceCode"/>
      </w:pPr>
      <w:r>
        <w:rPr>
          <w:rStyle w:val="FunctionTok"/>
        </w:rPr>
        <w:t xml:space="preserve">.column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--space-lg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overflow-y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sticky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top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calc(var(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--space-lg</w:t>
      </w:r>
      <w:r>
        <w:rPr>
          <w:rStyle w:val="Function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height: calc(...)</w:t>
      </w:r>
      <w:r>
        <w:t xml:space="preserve"> </w:t>
      </w:r>
      <w:r>
        <w:t xml:space="preserve">berechnet die Spaltenhöhe dynamisch: Viewport-Höhe minus Header minus Abstände.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 </w:t>
      </w:r>
      <w:r>
        <w:t xml:space="preserve">macht die Spalte vertikal scrollbar.</w:t>
      </w:r>
      <w:r>
        <w:t xml:space="preserve"> </w:t>
      </w:r>
      <w:r>
        <w:rPr>
          <w:rStyle w:val="VerbatimChar"/>
        </w:rPr>
        <w:t xml:space="preserve">position: sticky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hält die Spalte beim Scrollen der Gesamtseite im Sichtbereich. Die beiden Spalten scrollen vollständig unabhängig voneinander.</w:t>
      </w:r>
    </w:p>
    <w:p>
      <w:pPr>
        <w:pStyle w:val="BodyText"/>
      </w:pPr>
      <w:r>
        <w:t xml:space="preserve">Der schmale Scrollbalken (4 px) ist über</w:t>
      </w:r>
      <w:r>
        <w:t xml:space="preserve"> </w:t>
      </w:r>
      <w:r>
        <w:rPr>
          <w:rStyle w:val="VerbatimChar"/>
        </w:rPr>
        <w:t xml:space="preserve">::-webkit-scrollbar</w:t>
      </w:r>
      <w:r>
        <w:t xml:space="preserve"> </w:t>
      </w:r>
      <w:r>
        <w:t xml:space="preserve">(Chrome/Safari) und</w:t>
      </w:r>
      <w:r>
        <w:t xml:space="preserve"> </w:t>
      </w:r>
      <w:r>
        <w:rPr>
          <w:rStyle w:val="VerbatimChar"/>
        </w:rPr>
        <w:t xml:space="preserve">scrollbar-width: thin</w:t>
      </w:r>
      <w:r>
        <w:t xml:space="preserve"> </w:t>
      </w:r>
      <w:r>
        <w:t xml:space="preserve">(Firefox) definiert.</w:t>
      </w:r>
    </w:p>
    <w:bookmarkEnd w:id="26"/>
    <w:bookmarkStart w:id="27" w:name="tab-system"/>
    <w:p>
      <w:pPr>
        <w:pStyle w:val="Heading2"/>
      </w:pPr>
      <w:r>
        <w:t xml:space="preserve">2.5 Tab-System</w:t>
      </w:r>
    </w:p>
    <w:p>
      <w:pPr>
        <w:pStyle w:val="FirstParagraph"/>
      </w:pPr>
      <w:r>
        <w:t xml:space="preserve">Jede Spalte hat Tabs und darunter die zugehörigen Inhaltsbereiche (Panes). Nur der aktive Pane ist sichtbar:</w:t>
      </w:r>
    </w:p>
    <w:p>
      <w:pPr>
        <w:pStyle w:val="SourceCode"/>
      </w:pPr>
      <w:r>
        <w:rPr>
          <w:rStyle w:val="FunctionTok"/>
        </w:rPr>
        <w:t xml:space="preserve">.pane</w:t>
      </w:r>
      <w:r>
        <w:rPr>
          <w:rStyle w:val="NormalTok"/>
        </w:rPr>
        <w:t xml:space="preserve">        {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.pane.active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block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t xml:space="preserve">Das Tab-System wird von</w:t>
      </w:r>
      <w:r>
        <w:t xml:space="preserve"> </w:t>
      </w:r>
      <w:r>
        <w:rPr>
          <w:rStyle w:val="VerbatimChar"/>
        </w:rPr>
        <w:t xml:space="preserve">initTabs()</w:t>
      </w:r>
      <w:r>
        <w:t xml:space="preserve"> </w:t>
      </w:r>
      <w:r>
        <w:t xml:space="preserve">in detail.js gesteuert. Wenn ein Tab angeklickt wird, entfernt JavaScript die Klasse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von allen Panes und fügt sie nur dem zugehörigen Pane hinzu.</w:t>
      </w:r>
    </w:p>
    <w:p>
      <w:pPr>
        <w:pStyle w:val="BodyText"/>
      </w:pPr>
      <w:r>
        <w:t xml:space="preserve">Register-Tabs (Pers./Orte/Rolle/Vok.) haben eine zusätzliche Klasse</w:t>
      </w:r>
      <w:r>
        <w:t xml:space="preserve"> </w:t>
      </w:r>
      <w:r>
        <w:rPr>
          <w:rStyle w:val="VerbatimChar"/>
        </w:rPr>
        <w:t xml:space="preserve">.tab-register</w:t>
      </w:r>
      <w:r>
        <w:t xml:space="preserve"> </w:t>
      </w:r>
      <w:r>
        <w:t xml:space="preserve">und erhalten einen visuellen Trenner davor.</w:t>
      </w:r>
    </w:p>
    <w:bookmarkEnd w:id="27"/>
    <w:bookmarkStart w:id="28" w:name="tibetische-schrift"/>
    <w:p>
      <w:pPr>
        <w:pStyle w:val="Heading2"/>
      </w:pPr>
      <w:r>
        <w:t xml:space="preserve">2.6 Tibetische Schrift</w:t>
      </w:r>
    </w:p>
    <w:p>
      <w:pPr>
        <w:pStyle w:val="SourceCode"/>
      </w:pPr>
      <w:r>
        <w:rPr>
          <w:rStyle w:val="FunctionTok"/>
        </w:rPr>
        <w:t xml:space="preserve">.pane</w:t>
      </w:r>
      <w:r>
        <w:rPr>
          <w:rStyle w:val="ExtensionTok"/>
        </w:rPr>
        <w:t xml:space="preserve">[lang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"bo"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--font-tibetan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1.1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Alle Panes mit dem Attribut</w:t>
      </w:r>
      <w:r>
        <w:t xml:space="preserve"> </w:t>
      </w:r>
      <w:r>
        <w:rPr>
          <w:rStyle w:val="VerbatimChar"/>
        </w:rPr>
        <w:t xml:space="preserve">lang="bo"</w:t>
      </w:r>
      <w:r>
        <w:t xml:space="preserve"> </w:t>
      </w:r>
      <w:r>
        <w:t xml:space="preserve">verwenden automatisch den Tibetan-Font und eine größere Zeilenhöhe (2.2), weil tibetische Schrift durch ihre Höhe mehr Platz benötigt.</w:t>
      </w:r>
    </w:p>
    <w:bookmarkEnd w:id="28"/>
    <w:bookmarkStart w:id="29" w:name="named-entities"/>
    <w:p>
      <w:pPr>
        <w:pStyle w:val="Heading2"/>
      </w:pPr>
      <w:r>
        <w:t xml:space="preserve">2.7 Named Entities</w:t>
      </w:r>
    </w:p>
    <w:p>
      <w:pPr>
        <w:pStyle w:val="SourceCode"/>
      </w:pPr>
      <w:r>
        <w:rPr>
          <w:rStyle w:val="NormalTok"/>
        </w:rPr>
        <w:t xml:space="preserve">persName { 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--color-person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dotted</w:t>
      </w:r>
      <w:r>
        <w:rPr>
          <w:rStyle w:val="NormalTok"/>
        </w:rPr>
        <w:t xml:space="preserve"> ... }</w:t>
      </w:r>
      <w:r>
        <w:br/>
      </w:r>
      <w:r>
        <w:rPr>
          <w:rStyle w:val="NormalTok"/>
        </w:rPr>
        <w:t xml:space="preserve">placeName { 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--color-place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dotted</w:t>
      </w:r>
      <w:r>
        <w:rPr>
          <w:rStyle w:val="NormalTok"/>
        </w:rPr>
        <w:t xml:space="preserve"> ... }</w:t>
      </w:r>
    </w:p>
    <w:p>
      <w:pPr>
        <w:pStyle w:val="FirstParagraph"/>
      </w:pPr>
      <w:r>
        <w:t xml:space="preserve">Personennamen erscheinen blau, Ortsnamen ocker, Werktitel grün. Der gepunktete Unterstrich signalisiert Verlinkung. Sind BUDA-Links vorhanden, ist der Name anklickbar.</w:t>
      </w:r>
    </w:p>
    <w:bookmarkEnd w:id="29"/>
    <w:bookmarkStart w:id="30" w:name="weitere-css-bereiche"/>
    <w:p>
      <w:pPr>
        <w:pStyle w:val="Heading2"/>
      </w:pPr>
      <w:r>
        <w:t xml:space="preserve">2.8 Weitere CSS-Bereiche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Suchhervorhebung:</w:t>
      </w:r>
      <w:r>
        <w:t xml:space="preserve"> </w:t>
      </w:r>
      <w:r>
        <w:t xml:space="preserve">Treffer gelb (</w:t>
      </w:r>
      <w:r>
        <w:rPr>
          <w:rStyle w:val="VerbatimChar"/>
        </w:rPr>
        <w:t xml:space="preserve">.highlight-match</w:t>
      </w:r>
      <w:r>
        <w:t xml:space="preserve">), aktueller Treffer orange (</w:t>
      </w:r>
      <w:r>
        <w:rPr>
          <w:rStyle w:val="VerbatimChar"/>
        </w:rPr>
        <w:t xml:space="preserve">.current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Vokabeltabelle:</w:t>
      </w:r>
      <w:r>
        <w:t xml:space="preserve"> </w:t>
      </w:r>
      <w:r>
        <w:t xml:space="preserve">Tabellenzeilen mit Hover-Effekt, tibetische Spalte mit größerem Font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Paralleltext:</w:t>
      </w:r>
      <w:r>
        <w:t xml:space="preserve"> </w:t>
      </w:r>
      <w:r>
        <w:t xml:space="preserve">Satzpaare in einem Zwei-Spalten-Grid (</w:t>
      </w:r>
      <w:r>
        <w:rPr>
          <w:rStyle w:val="VerbatimChar"/>
        </w:rPr>
        <w:t xml:space="preserve">.sentence-pair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Faksimile:</w:t>
      </w:r>
      <w:r>
        <w:t xml:space="preserve"> </w:t>
      </w:r>
      <w:r>
        <w:t xml:space="preserve">Scrollbarer Container, Zoom-Cursor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Responsiv:</w:t>
      </w:r>
      <w:r>
        <w:t xml:space="preserve"> </w:t>
      </w:r>
      <w:r>
        <w:t xml:space="preserve">Auf Bildschirmen unter 900 px wechselt das Lesepult zu einem einspaltigen Layout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texts.js-textzeugen-datenliste"/>
    <w:p>
      <w:pPr>
        <w:pStyle w:val="Heading1"/>
      </w:pPr>
      <w:r>
        <w:t xml:space="preserve">3. texts.js — Textzeugen-Datenliste</w:t>
      </w:r>
    </w:p>
    <w:p>
      <w:pPr>
        <w:pStyle w:val="FirstParagraph"/>
      </w:pPr>
      <w:r>
        <w:t xml:space="preserve">Die Datei</w:t>
      </w:r>
      <w:r>
        <w:t xml:space="preserve"> </w:t>
      </w:r>
      <w:r>
        <w:rPr>
          <w:rStyle w:val="VerbatimChar"/>
        </w:rPr>
        <w:t xml:space="preserve">assets/app/texts.js</w:t>
      </w:r>
      <w:r>
        <w:t xml:space="preserve"> </w:t>
      </w:r>
      <w:r>
        <w:t xml:space="preserve">definiert eine globale Variable</w:t>
      </w:r>
      <w:r>
        <w:t xml:space="preserve"> </w:t>
      </w:r>
      <w:r>
        <w:rPr>
          <w:rStyle w:val="VerbatimChar"/>
        </w:rPr>
        <w:t xml:space="preserve">texts</w:t>
      </w:r>
      <w:r>
        <w:t xml:space="preserve"> </w:t>
      </w:r>
      <w:r>
        <w:t xml:space="preserve">— ein Array von Objekten, eines pro Textzeuge: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"bslab pa kun las btus pa"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 skya paN+Di ta kun dga' rgyal mtshan"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"content/1_gompopa.xml"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71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"content/2_dignaga.xml"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Diese Datei wird von beiden Skripten geladen: von</w:t>
      </w:r>
      <w:r>
        <w:t xml:space="preserve"> </w:t>
      </w:r>
      <w:r>
        <w:rPr>
          <w:rStyle w:val="VerbatimChar"/>
        </w:rPr>
        <w:t xml:space="preserve">texts.js</w:t>
      </w:r>
      <w:r>
        <w:t xml:space="preserve"> </w:t>
      </w:r>
      <w:r>
        <w:t xml:space="preserve">auf der Übersichtsseite und von</w:t>
      </w:r>
      <w:r>
        <w:t xml:space="preserve"> </w:t>
      </w:r>
      <w:r>
        <w:rPr>
          <w:rStyle w:val="VerbatimChar"/>
        </w:rPr>
        <w:t xml:space="preserve">detail.js</w:t>
      </w:r>
      <w:r>
        <w:t xml:space="preserve"> </w:t>
      </w:r>
      <w:r>
        <w:t xml:space="preserve">für die Detailansicht.</w:t>
      </w:r>
    </w:p>
    <w:p>
      <w:pPr>
        <w:pStyle w:val="BodyText"/>
      </w:pPr>
      <w:r>
        <w:rPr>
          <w:bCs/>
          <w:b/>
        </w:rPr>
        <w:t xml:space="preserve">Warum eine separate Datei?</w:t>
      </w:r>
      <w:r>
        <w:t xml:space="preserve"> </w:t>
      </w:r>
      <w:r>
        <w:t xml:space="preserve">Wenn ein neuer Textzeuge hinzugefügt wird, muss nur texts.js ergänzt werden — alle anderen Dateien bleiben unverändert.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 Nummer (entspricht URL-Parameter ?id=N)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Tibetischer Titel in Wylie-Transliteration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 in Wylie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Relativer Pfad zur XML-Datei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Anzahl der Seiten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index.html-texts.html-impressum.html"/>
    <w:p>
      <w:pPr>
        <w:pStyle w:val="Heading1"/>
      </w:pPr>
      <w:r>
        <w:t xml:space="preserve">4. index.html, texts.html, impressum.html</w:t>
      </w:r>
    </w:p>
    <w:p>
      <w:pPr>
        <w:pStyle w:val="FirstParagraph"/>
      </w:pPr>
      <w:r>
        <w:t xml:space="preserve">Diese drei Seiten sind statische HTML-Dokumente — sie enthalten keinen dynamischen JavaScript-Code und laden keine XML-Daten.</w:t>
      </w:r>
    </w:p>
    <w:p>
      <w:pPr>
        <w:pStyle w:val="BodyText"/>
      </w:pPr>
      <w:r>
        <w:rPr>
          <w:bCs/>
          <w:b/>
        </w:rPr>
        <w:t xml:space="preserve">index.html</w:t>
      </w:r>
      <w:r>
        <w:t xml:space="preserve"> </w:t>
      </w:r>
      <w:r>
        <w:t xml:space="preserve">enthält die Projekteinführung, Informationen zum Entstehungskontext (Seminar Digitale Edition, Universität Wien) und Links zu den Textzeugen.</w:t>
      </w:r>
    </w:p>
    <w:p>
      <w:pPr>
        <w:pStyle w:val="BodyText"/>
      </w:pPr>
      <w:r>
        <w:rPr>
          <w:bCs/>
          <w:b/>
        </w:rPr>
        <w:t xml:space="preserve">texts.html</w:t>
      </w:r>
      <w:r>
        <w:t xml:space="preserve"> </w:t>
      </w:r>
      <w:r>
        <w:t xml:space="preserve">zeigt eine Liste aller Textzeugen. Die Links zu den einzelnen Texten (</w:t>
      </w:r>
      <w:r>
        <w:rPr>
          <w:rStyle w:val="VerbatimChar"/>
        </w:rPr>
        <w:t xml:space="preserve">detail.html?id=1</w:t>
      </w:r>
      <w:r>
        <w:t xml:space="preserve"> </w:t>
      </w:r>
      <w:r>
        <w:t xml:space="preserve">etc.) sind fest einprogrammiert.</w:t>
      </w:r>
    </w:p>
    <w:p>
      <w:pPr>
        <w:pStyle w:val="BodyText"/>
      </w:pPr>
      <w:r>
        <w:rPr>
          <w:bCs/>
          <w:b/>
        </w:rPr>
        <w:t xml:space="preserve">impressum.html</w:t>
      </w:r>
      <w:r>
        <w:t xml:space="preserve"> </w:t>
      </w:r>
      <w:r>
        <w:t xml:space="preserve">enthält Angaben zu Urheberrecht, Haftungsausschluss und Kontaktinformationen gemäß österreichischem Recht.</w:t>
      </w:r>
    </w:p>
    <w:p>
      <w:pPr>
        <w:pStyle w:val="BodyText"/>
      </w:pPr>
      <w:r>
        <w:rPr>
          <w:bCs/>
          <w:b/>
        </w:rPr>
        <w:t xml:space="preserve">favicon.png</w:t>
      </w:r>
      <w:r>
        <w:t xml:space="preserve"> </w:t>
      </w:r>
      <w:r>
        <w:t xml:space="preserve">ist das kleine Symbol das im Browser-Tab erscheint. Es wird im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aller HTML-Seiten eingebunden: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"icon"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"image/png"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"favicon.png"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/&gt;</w:t>
      </w:r>
    </w:p>
    <w:p>
      <w:r>
        <w:pict>
          <v:rect style="width:0;height:1.5pt" o:hralign="center" o:hrstd="t" o:hr="t"/>
        </w:pict>
      </w:r>
    </w:p>
    <w:bookmarkEnd w:id="33"/>
    <w:bookmarkStart w:id="38" w:name="detail.html-das-lesepult"/>
    <w:p>
      <w:pPr>
        <w:pStyle w:val="Heading1"/>
      </w:pPr>
      <w:r>
        <w:t xml:space="preserve">5. detail.html — Das Lesepult</w:t>
      </w:r>
    </w:p>
    <w:p>
      <w:pPr>
        <w:pStyle w:val="FirstParagraph"/>
      </w:pPr>
      <w:r>
        <w:t xml:space="preserve">detail.html ist die zentrale Arbeitsoberfläche der Edition. Sie enthält das HTML-Gerüst des zweispaltigen Lesepults — aber keinen Textinhalt. Alle Inhalte werden von detail.js dynamisch eingesetzt.</w:t>
      </w:r>
    </w:p>
    <w:bookmarkStart w:id="34" w:name="grundstruktur"/>
    <w:p>
      <w:pPr>
        <w:pStyle w:val="Heading2"/>
      </w:pPr>
      <w:r>
        <w:t xml:space="preserve">5.1 Grundstruktur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&lt;!-- Navigationsleiste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"reader"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&lt;!-- Zweispaltiges Lesepult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"column left"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"column right"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main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"assets/app/texts.js"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"assets/app/detail.js"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</w:p>
    <w:bookmarkEnd w:id="34"/>
    <w:bookmarkStart w:id="35" w:name="header"/>
    <w:p>
      <w:pPr>
        <w:pStyle w:val="Heading2"/>
      </w:pPr>
      <w:r>
        <w:t xml:space="preserve">5.2 Header</w:t>
      </w:r>
    </w:p>
    <w:p>
      <w:pPr>
        <w:pStyle w:val="FirstParagraph"/>
      </w:pPr>
      <w:r>
        <w:t xml:space="preserve">Der Header enthält fünf Bereiche: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Logo</w:t>
      </w:r>
      <w:r>
        <w:t xml:space="preserve"> </w:t>
      </w:r>
      <w:r>
        <w:t xml:space="preserve">— Link zur Startseite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Navigation</w:t>
      </w:r>
      <w:r>
        <w:t xml:space="preserve"> </w:t>
      </w:r>
      <w:r>
        <w:t xml:space="preserve">— Links zu Info (index.html) und Textzeugen (texts.html)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Suchfeld</w:t>
      </w:r>
      <w:r>
        <w:t xml:space="preserve"> </w:t>
      </w:r>
      <w:r>
        <w:t xml:space="preserve">— Texteingabe mit Löschen-Button, Trefferzähler und Vor/Zurück-Navigation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Seitenauswahl</w:t>
      </w:r>
      <w:r>
        <w:t xml:space="preserve"> </w:t>
      </w:r>
      <w:r>
        <w:t xml:space="preserve">— Dropdown mit allen Seiten; befüllt von detail.js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GitHub-Badge</w:t>
      </w:r>
      <w:r>
        <w:t xml:space="preserve"> </w:t>
      </w:r>
      <w:r>
        <w:t xml:space="preserve">— SVG-Icon mit Link zum Repository</w:t>
      </w:r>
    </w:p>
    <w:bookmarkEnd w:id="35"/>
    <w:bookmarkStart w:id="36" w:name="tabs-und-panes"/>
    <w:p>
      <w:pPr>
        <w:pStyle w:val="Heading2"/>
      </w:pPr>
      <w:r>
        <w:t xml:space="preserve">5.3 Tabs und Panes</w:t>
      </w:r>
    </w:p>
    <w:p>
      <w:pPr>
        <w:pStyle w:val="FirstParagraph"/>
      </w:pPr>
      <w:r>
        <w:t xml:space="preserve">Jede Spalte (</w:t>
      </w:r>
      <w:r>
        <w:rPr>
          <w:rStyle w:val="VerbatimChar"/>
        </w:rPr>
        <w:t xml:space="preserve">.column</w:t>
      </w:r>
      <w:r>
        <w:t xml:space="preserve">) hat genau zwei Kinder:</w:t>
      </w:r>
      <w:r>
        <w:t xml:space="preserve"> </w:t>
      </w:r>
      <w:r>
        <w:rPr>
          <w:rStyle w:val="VerbatimChar"/>
        </w:rPr>
        <w:t xml:space="preserve">.tabs</w:t>
      </w:r>
      <w:r>
        <w:t xml:space="preserve"> </w:t>
      </w:r>
      <w:r>
        <w:t xml:space="preserve">(Tabreihe) und</w:t>
      </w:r>
      <w:r>
        <w:t xml:space="preserve"> </w:t>
      </w:r>
      <w:r>
        <w:rPr>
          <w:rStyle w:val="VerbatimChar"/>
        </w:rPr>
        <w:t xml:space="preserve">.panes-container</w:t>
      </w:r>
      <w:r>
        <w:t xml:space="preserve"> </w:t>
      </w:r>
      <w:r>
        <w:t xml:space="preserve">(Inhaltsbereich). Diese Struktur ist für</w:t>
      </w:r>
      <w:r>
        <w:t xml:space="preserve"> </w:t>
      </w:r>
      <w:r>
        <w:rPr>
          <w:rStyle w:val="VerbatimChar"/>
        </w:rPr>
        <w:t xml:space="preserve">initTabs()</w:t>
      </w:r>
      <w:r>
        <w:t xml:space="preserve"> </w:t>
      </w:r>
      <w:r>
        <w:t xml:space="preserve">in detail.js zwingend.</w:t>
      </w:r>
    </w:p>
    <w:p>
      <w:pPr>
        <w:pStyle w:val="BodyText"/>
      </w:pPr>
      <w:r>
        <w:t xml:space="preserve">Tabs je Spalte:</w:t>
      </w:r>
      <w:r>
        <w:t xml:space="preserve"> </w:t>
      </w:r>
      <w:r>
        <w:rPr>
          <w:bCs/>
          <w:b/>
        </w:rPr>
        <w:t xml:space="preserve">Faks. · XML · Tibetan · Wylie · De · En · Pers. · Orte · Rolle · Vok.</w:t>
      </w:r>
    </w:p>
    <w:p>
      <w:pPr>
        <w:pStyle w:val="BodyText"/>
      </w:pPr>
      <w:r>
        <w:t xml:space="preserve">Die rechte Spalte hat dieselbe Tab-Struktur, damit der Nutzer links und rechts unabhängig verschiedene Ansichten wählen kann (z. B. links Tibetan, rechts Deutsch).</w:t>
      </w:r>
    </w:p>
    <w:bookmarkEnd w:id="36"/>
    <w:bookmarkStart w:id="37" w:name="pane-ids"/>
    <w:p>
      <w:pPr>
        <w:pStyle w:val="Heading2"/>
      </w:pPr>
      <w:r>
        <w:t xml:space="preserve">5.4 Pane-IDs</w:t>
      </w:r>
    </w:p>
    <w:p>
      <w:pPr>
        <w:pStyle w:val="FirstParagraph"/>
      </w:pPr>
      <w:r>
        <w:t xml:space="preserve">Jeder Pane hat eine eindeutige ID aus Tab-Name und Seite: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"tibetan-left"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"german-right"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-Attribut wird von detail.js gesetzt und vom CSS genutzt um automatisch den richtigen Font zuzuweisen.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5" w:name="detail.js-kernlogik-der-edition"/>
    <w:p>
      <w:pPr>
        <w:pStyle w:val="Heading1"/>
      </w:pPr>
      <w:r>
        <w:t xml:space="preserve">6. detail.js — Kernlogik der Edition</w:t>
      </w:r>
    </w:p>
    <w:p>
      <w:pPr>
        <w:pStyle w:val="FirstParagraph"/>
      </w:pPr>
      <w:r>
        <w:t xml:space="preserve">detail.js ist die größte und wichtigste Datei der Anwendung. Sie steuert alles was auf detail.html passiert.</w:t>
      </w:r>
    </w:p>
    <w:bookmarkStart w:id="39" w:name="globale-variablen-und-dom-referenzen"/>
    <w:p>
      <w:pPr>
        <w:pStyle w:val="Heading2"/>
      </w:pPr>
      <w:r>
        <w:t xml:space="preserve">6.1 Globale Variablen und DOM-Referenzen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tibetan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'tibetan-left'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german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'german-left'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vocab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'vocab-left'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analog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listPerson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occurrences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vocab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searchMatches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currentMatchIndex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pendingHighlightId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el()</w:t>
      </w:r>
      <w:r>
        <w:t xml:space="preserve"> </w:t>
      </w:r>
      <w:r>
        <w:t xml:space="preserve">ist eine Kurzform für</w:t>
      </w:r>
      <w:r>
        <w:t xml:space="preserve"> </w:t>
      </w:r>
      <w:r>
        <w:rPr>
          <w:rStyle w:val="VerbatimChar"/>
        </w:rPr>
        <w:t xml:space="preserve">document.getElementById()</w:t>
      </w:r>
      <w:r>
        <w:t xml:space="preserve">. Die Objekte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bündeln alle Pane-Referenzen je Spalte.</w:t>
      </w:r>
      <w:r>
        <w:t xml:space="preserve"> </w:t>
      </w:r>
      <w:r>
        <w:rPr>
          <w:rStyle w:val="VerbatimChar"/>
        </w:rPr>
        <w:t xml:space="preserve">projectData</w:t>
      </w:r>
      <w:r>
        <w:t xml:space="preserve"> </w:t>
      </w:r>
      <w:r>
        <w:t xml:space="preserve">speichert alle aus dem XML geladenen Daten global, damit alle Funktionen darauf zugreifen können.</w:t>
      </w:r>
    </w:p>
    <w:bookmarkEnd w:id="39"/>
    <w:bookmarkStart w:id="40" w:name="initialisierung-domcontentloaded"/>
    <w:p>
      <w:pPr>
        <w:pStyle w:val="Heading2"/>
      </w:pPr>
      <w:r>
        <w:t xml:space="preserve">6.2 Initialisierung (DOMContentLoaded)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(id)) </w:t>
      </w:r>
      <w:r>
        <w:rPr>
          <w:rStyle w:val="FunctionTok"/>
        </w:rPr>
        <w:t xml:space="preserve">loadText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initTabs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setupSearch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t xml:space="preserve">feuert wenn das HTML vollständig geladen ist.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 </w:t>
      </w:r>
      <w:r>
        <w:t xml:space="preserve">liest den</w:t>
      </w:r>
      <w:r>
        <w:t xml:space="preserve"> </w:t>
      </w:r>
      <w:r>
        <w:rPr>
          <w:rStyle w:val="VerbatimChar"/>
        </w:rPr>
        <w:t xml:space="preserve">?id=2</w:t>
      </w:r>
      <w:r>
        <w:t xml:space="preserve">-Parameter aus der URL. Dann werden drei Hauptfunktionen gestartet: XML laden, Tabs initialisieren, Suche einrichten.</w:t>
      </w:r>
    </w:p>
    <w:bookmarkEnd w:id="40"/>
    <w:bookmarkStart w:id="41" w:name="inittabs"/>
    <w:p>
      <w:pPr>
        <w:pStyle w:val="Heading2"/>
      </w:pPr>
      <w:r>
        <w:t xml:space="preserve">6.3 initTabs()</w:t>
      </w:r>
    </w:p>
    <w:p>
      <w:pPr>
        <w:pStyle w:val="FirstParagraph"/>
      </w:pPr>
      <w:r>
        <w:t xml:space="preserve">Macht alle Tab-Buttons klickbar. Wenn ein Tab geklickt wird:</w:t>
      </w:r>
    </w:p>
    <w:p>
      <w:pPr>
        <w:numPr>
          <w:ilvl w:val="0"/>
          <w:numId w:val="1005"/>
        </w:numPr>
        <w:pStyle w:val="Compact"/>
      </w:pPr>
      <w:r>
        <w:t xml:space="preserve">Alle Buttons in derselben Spalte verlieren die Klasse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Alle Panes in derselben Spalte verlieren die Klasse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Der geklickte Button und sein zugehöriger Pane erhalten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FirstParagraph"/>
      </w:pPr>
      <w:r>
        <w:t xml:space="preserve">Die Zuordnung zwischen Tab-Button und Pane erfolgt über das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-Attribut am Button, das mit der ID des Panes übereinstimmt: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data-id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"tibetan-left"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Tibetan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"tibetan-left"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rPr>
          <w:rStyle w:val="VerbatimChar"/>
        </w:rPr>
        <w:t xml:space="preserve">initTabs()</w:t>
      </w:r>
      <w:r>
        <w:t xml:space="preserve"> </w:t>
      </w:r>
      <w:r>
        <w:t xml:space="preserve">geht davon aus dass jede Spalte genau zwei Kinder hat: zuerst</w:t>
      </w:r>
      <w:r>
        <w:t xml:space="preserve"> </w:t>
      </w:r>
      <w:r>
        <w:rPr>
          <w:rStyle w:val="VerbatimChar"/>
        </w:rPr>
        <w:t xml:space="preserve">.tabs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.panes-container</w:t>
      </w:r>
      <w:r>
        <w:t xml:space="preserve">.</w:t>
      </w:r>
    </w:p>
    <w:bookmarkEnd w:id="41"/>
    <w:bookmarkStart w:id="42" w:name="loadtextid"/>
    <w:p>
      <w:pPr>
        <w:pStyle w:val="Heading2"/>
      </w:pPr>
      <w:r>
        <w:t xml:space="preserve">6.4 loadText(id)</w:t>
      </w:r>
    </w:p>
    <w:p>
      <w:pPr>
        <w:pStyle w:val="FirstParagraph"/>
      </w:pPr>
      <w:r>
        <w:rPr>
          <w:rStyle w:val="VerbatimChar"/>
        </w:rPr>
        <w:t xml:space="preserve">loadText()</w:t>
      </w:r>
      <w:r>
        <w:t xml:space="preserve"> </w:t>
      </w:r>
      <w:r>
        <w:t xml:space="preserve">ist die Hauptfunktion die das XML lädt und verarbeitet.</w:t>
      </w:r>
    </w:p>
    <w:p>
      <w:pPr>
        <w:pStyle w:val="BodyText"/>
      </w:pPr>
      <w:r>
        <w:rPr>
          <w:bCs/>
          <w:b/>
        </w:rPr>
        <w:t xml:space="preserve">Schritt 1 — XML laden via fetch():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(entry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(xmlText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xmlDoc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DOMParser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parseFromString</w:t>
      </w:r>
      <w:r>
        <w:rPr>
          <w:rStyle w:val="NormalTok"/>
        </w:rPr>
        <w:t xml:space="preserve">(xmlText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'application/xml'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Weiterverarbeitung...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fetch()</w:t>
      </w:r>
      <w:r>
        <w:t xml:space="preserve"> </w:t>
      </w:r>
      <w:r>
        <w:t xml:space="preserve">lädt die XML-Datei asynchron ohne die Seite zu blockieren.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wandelt den XML-Text in ein DOM-Objekt um, das man wie HTML durchsuchen kann. Kein jQuery — alle Netzwerkanfragen laufen über die native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-API.</w:t>
      </w:r>
    </w:p>
    <w:p>
      <w:pPr>
        <w:pStyle w:val="BodyText"/>
      </w:pPr>
      <w:r>
        <w:rPr>
          <w:bCs/>
          <w:b/>
        </w:rPr>
        <w:t xml:space="preserve">Schritt 2 — Register laden:</w:t>
      </w:r>
    </w:p>
    <w:p>
      <w:pPr>
        <w:pStyle w:val="SourceCode"/>
      </w:pPr>
      <w:r>
        <w:rPr>
          <w:rStyle w:val="NormalTok"/>
        </w:rPr>
        <w:t xml:space="preserve">xmlDoc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'listPerson person'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(person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projectData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listPerson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person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'xml:id'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person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'persName[xml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:lang="bo"]'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wylie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'persName[xml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:lang="bo-Latn"]'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person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'idno[type="URI"]'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Personen, Orte, Rollen und Vokabeln werden aus dem</w:t>
      </w:r>
      <w:r>
        <w:t xml:space="preserve"> </w:t>
      </w:r>
      <w:r>
        <w:rPr>
          <w:rStyle w:val="VerbatimChar"/>
        </w:rPr>
        <w:t xml:space="preserve">standOff</w:t>
      </w:r>
      <w:r>
        <w:t xml:space="preserve">-Bereich des XML extrahiert und in</w:t>
      </w:r>
      <w:r>
        <w:t xml:space="preserve"> </w:t>
      </w:r>
      <w:r>
        <w:rPr>
          <w:rStyle w:val="VerbatimChar"/>
        </w:rPr>
        <w:t xml:space="preserve">projectData</w:t>
      </w:r>
      <w:r>
        <w:t xml:space="preserve"> </w:t>
      </w:r>
      <w:r>
        <w:t xml:space="preserve">gespeichert. Das passiert einmalig beim Laden.</w:t>
      </w:r>
    </w:p>
    <w:p>
      <w:pPr>
        <w:pStyle w:val="BodyText"/>
      </w:pPr>
      <w:r>
        <w:rPr>
          <w:bCs/>
          <w:b/>
        </w:rPr>
        <w:t xml:space="preserve">Schritt 3 — Vokabelregister laden:</w:t>
      </w:r>
    </w:p>
    <w:p>
      <w:pPr>
        <w:pStyle w:val="SourceCode"/>
      </w:pPr>
      <w:r>
        <w:rPr>
          <w:rStyle w:val="NormalTok"/>
        </w:rPr>
        <w:t xml:space="preserve">xmlDoc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"fvLib fs[type='vocab']"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(fs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`f[name="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 string`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projectData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vocab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'xml:id'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lemmaUchen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'lemma_uchen'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lemmaWylie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'lemma_wylie'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'def_de'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'def_en'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Schritt 4 — Seiten extrahieren:</w:t>
      </w:r>
    </w:p>
    <w:p>
      <w:pPr>
        <w:pStyle w:val="SourceCode"/>
      </w:pPr>
      <w:r>
        <w:rPr>
          <w:rStyle w:val="NormalTok"/>
        </w:rPr>
        <w:t xml:space="preserve">xmlDoc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'body 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(div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projectData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facsimile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'facs'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translations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xmlRaw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xmlInnerHTML</w:t>
      </w:r>
      <w:r>
        <w:rPr>
          <w:rStyle w:val="NormalTok"/>
        </w:rPr>
        <w:t xml:space="preserve">(div)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Jede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im XML-Body entspricht einer Seite. Der Seitenbezeichner (z. B.</w:t>
      </w:r>
      <w:r>
        <w:t xml:space="preserve"> </w:t>
      </w:r>
      <w:r>
        <w:t xml:space="preserve">‘</w:t>
      </w:r>
      <w:r>
        <w:t xml:space="preserve">65a</w:t>
      </w:r>
      <w:r>
        <w:t xml:space="preserve">’</w:t>
      </w:r>
      <w:r>
        <w:t xml:space="preserve">), der Faksimile-Pfad, alle Sprachversionen und der Roh-XML-Text werden gespeichert.</w:t>
      </w:r>
    </w:p>
    <w:p>
      <w:pPr>
        <w:pStyle w:val="BodyText"/>
      </w:pPr>
      <w:r>
        <w:rPr>
          <w:bCs/>
          <w:b/>
        </w:rPr>
        <w:t xml:space="preserve">Schritt 5 — Seitenauswahl befüllen und erste Seite rendern:</w:t>
      </w:r>
    </w:p>
    <w:p>
      <w:pPr>
        <w:pStyle w:val="SourceCode"/>
      </w:pPr>
      <w:r>
        <w:rPr>
          <w:rStyle w:val="Normal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selectPage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renderPage</w:t>
      </w:r>
      <w:r>
        <w:rPr>
          <w:rStyle w:val="NormalTok"/>
        </w:rPr>
        <w:t xml:space="preserve">(pages[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checkXmlConsistency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42"/>
    <w:bookmarkStart w:id="43" w:name="renderpagepage"/>
    <w:p>
      <w:pPr>
        <w:pStyle w:val="Heading2"/>
      </w:pPr>
      <w:r>
        <w:t xml:space="preserve">6.5 renderPage(page)</w:t>
      </w:r>
    </w:p>
    <w:p>
      <w:pPr>
        <w:pStyle w:val="FirstParagraph"/>
      </w:pPr>
      <w:r>
        <w:rPr>
          <w:rStyle w:val="VerbatimChar"/>
        </w:rPr>
        <w:t xml:space="preserve">renderPage()</w:t>
      </w:r>
      <w:r>
        <w:t xml:space="preserve"> </w:t>
      </w:r>
      <w:r>
        <w:t xml:space="preserve">rendert eine Seite in alle Tabs. Sie wird bei jedem Seitenwechsel aufgerufen.</w:t>
      </w:r>
    </w:p>
    <w:p>
      <w:pPr>
        <w:pStyle w:val="BodyText"/>
      </w:pPr>
      <w:r>
        <w:rPr>
          <w:bCs/>
          <w:b/>
        </w:rPr>
        <w:t xml:space="preserve">Faksimile: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img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facsimile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facsimilePane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(img)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initFacsimileZoom</w:t>
      </w:r>
      <w:r>
        <w:rPr>
          <w:rStyle w:val="NormalTok"/>
        </w:rPr>
        <w:t xml:space="preserve">(img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facsimilePane)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Die Faksimile-URL wird aus dem Basispfad der XML-Datei und dem</w:t>
      </w:r>
      <w:r>
        <w:t xml:space="preserve"> </w:t>
      </w:r>
      <w:r>
        <w:rPr>
          <w:rStyle w:val="VerbatimChar"/>
        </w:rPr>
        <w:t xml:space="preserve">@facs</w:t>
      </w:r>
      <w:r>
        <w:t xml:space="preserve">-Attribut zusammengesetzt.</w:t>
      </w:r>
      <w:r>
        <w:t xml:space="preserve"> </w:t>
      </w:r>
      <w:r>
        <w:rPr>
          <w:rStyle w:val="VerbatimChar"/>
        </w:rPr>
        <w:t xml:space="preserve">initFacsimileZoom()</w:t>
      </w:r>
      <w:r>
        <w:t xml:space="preserve"> </w:t>
      </w:r>
      <w:r>
        <w:t xml:space="preserve">macht das Bild zoombar und verschiebbar.</w:t>
      </w:r>
    </w:p>
    <w:p>
      <w:pPr>
        <w:pStyle w:val="BodyText"/>
      </w:pPr>
      <w:r>
        <w:rPr>
          <w:bCs/>
          <w:b/>
        </w:rPr>
        <w:t xml:space="preserve">XML-Tab: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xmlEscaped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escapeXml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xmlRaw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xmlPane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'&lt;pre&gt;'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xmlEscaped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'&lt;/pre&gt;'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Der XML-Rohtext wird mit HTML-Entities escaped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) und in einem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-Block angezeigt, der Einrückungen erhält.</w:t>
      </w:r>
    </w:p>
    <w:p>
      <w:pPr>
        <w:pStyle w:val="BodyText"/>
      </w:pPr>
      <w:r>
        <w:rPr>
          <w:bCs/>
          <w:b/>
        </w:rPr>
        <w:t xml:space="preserve">Tibetisch, Wylie, Deutsch, Englisch:</w:t>
      </w:r>
    </w:p>
    <w:p>
      <w:pPr>
        <w:pStyle w:val="BodyText"/>
      </w:pPr>
      <w:r>
        <w:t xml:space="preserve">Für den Tibetan-Tab werden alle</w:t>
      </w:r>
      <w:r>
        <w:t xml:space="preserve"> </w:t>
      </w:r>
      <w:r>
        <w:rPr>
          <w:rStyle w:val="VerbatimChar"/>
        </w:rPr>
        <w:t xml:space="preserve">&lt;w&gt;</w:t>
      </w:r>
      <w:r>
        <w:t xml:space="preserve">-Tags zu</w:t>
      </w:r>
      <w:r>
        <w:t xml:space="preserve"> </w:t>
      </w:r>
      <w:r>
        <w:rPr>
          <w:rStyle w:val="VerbatimChar"/>
        </w:rPr>
        <w:t xml:space="preserve">&lt;span data-wid="..."&gt;</w:t>
      </w:r>
      <w:r>
        <w:t xml:space="preserve"> </w:t>
      </w:r>
      <w:r>
        <w:t xml:space="preserve">konvertiert statt einfach entfernt. So bleibt die ID für die Vokabular-Verlinkung erhalten, und der OpenType-Shaping-Algorithmus des Browsers kann Ligaturen korrekt berechnen. Das HTML-Element</w:t>
      </w:r>
      <w:r>
        <w:t xml:space="preserve"> </w:t>
      </w:r>
      <w:r>
        <w:rPr>
          <w:rStyle w:val="VerbatimChar"/>
        </w:rPr>
        <w:t xml:space="preserve">&lt;w&gt;</w:t>
      </w:r>
      <w:r>
        <w:t xml:space="preserve"> </w:t>
      </w:r>
      <w:r>
        <w:t xml:space="preserve">würde das Shaping unterbrechen.</w:t>
      </w:r>
    </w:p>
    <w:p>
      <w:pPr>
        <w:pStyle w:val="BodyText"/>
      </w:pPr>
      <w:r>
        <w:rPr>
          <w:rStyle w:val="VerbatimChar"/>
        </w:rPr>
        <w:t xml:space="preserve">&lt;s corresp="..."&gt;</w:t>
      </w:r>
      <w:r>
        <w:t xml:space="preserve"> </w:t>
      </w:r>
      <w:r>
        <w:t xml:space="preserve">Elemente werden zu klickbaren</w:t>
      </w:r>
      <w:r>
        <w:t xml:space="preserve"> </w:t>
      </w:r>
      <w:r>
        <w:rPr>
          <w:rStyle w:val="VerbatimChar"/>
        </w:rPr>
        <w:t xml:space="preserve">&lt;span class="tei-s"&gt;</w:t>
      </w:r>
      <w:r>
        <w:t xml:space="preserve"> </w:t>
      </w:r>
      <w:r>
        <w:t xml:space="preserve">konvertiert für die Paralleltext-Abfrage.</w:t>
      </w:r>
    </w:p>
    <w:p>
      <w:pPr>
        <w:pStyle w:val="BodyText"/>
      </w:pPr>
      <w:r>
        <w:t xml:space="preserve">TEI-</w:t>
      </w:r>
      <w:r>
        <w:rPr>
          <w:rStyle w:val="VerbatimChar"/>
        </w:rPr>
        <w:t xml:space="preserve">&lt;lb/&gt;</w:t>
      </w:r>
      <w:r>
        <w:t xml:space="preserve"> </w:t>
      </w:r>
      <w:r>
        <w:t xml:space="preserve">wird zu HTML-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konvertiert damit Zeilenwechsel sichtbar werden.</w:t>
      </w:r>
    </w:p>
    <w:bookmarkEnd w:id="43"/>
    <w:bookmarkStart w:id="44" w:name="fillpanepane-html-lang"/>
    <w:p>
      <w:pPr>
        <w:pStyle w:val="Heading2"/>
      </w:pPr>
      <w:r>
        <w:t xml:space="preserve">6.6 fillPane(pane, html, lang)</w:t>
      </w:r>
    </w:p>
    <w:p>
      <w:pPr>
        <w:pStyle w:val="FirstParagraph"/>
      </w:pPr>
      <w:r>
        <w:t xml:space="preserve">Kleine Hilfsfunktion die einen Inhalt in eine Pane schreibt: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fillPane</w:t>
      </w:r>
      <w:r>
        <w:rPr>
          <w:rStyle w:val="NormalTok"/>
        </w:rPr>
        <w:t xml:space="preserve">(pane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lang) {</w:t>
      </w:r>
      <w:r>
        <w:br/>
      </w:r>
      <w:r>
        <w:rPr>
          <w:rStyle w:val="NormalTok"/>
        </w:rPr>
        <w:t xml:space="preserve">  pane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'&lt;p class="pane-placeholder"&gt;⏳ Wird noch bearbeitet...&lt;/p&gt;'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(lang) pane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'lang'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-Attribut ist wichtig: es wird vom CSS genutzt um automatisch den richtigen Font zu setzen (</w:t>
      </w:r>
      <w:r>
        <w:rPr>
          <w:rStyle w:val="VerbatimChar"/>
        </w:rPr>
        <w:t xml:space="preserve">[lang='bo']</w:t>
      </w:r>
      <w:r>
        <w:t xml:space="preserve"> </w:t>
      </w:r>
      <w:r>
        <w:t xml:space="preserve">= Tibetan-Font).</w:t>
      </w:r>
    </w:p>
    <w:bookmarkEnd w:id="44"/>
    <w:bookmarkStart w:id="45" w:name="updateregisterspage"/>
    <w:p>
      <w:pPr>
        <w:pStyle w:val="Heading2"/>
      </w:pPr>
      <w:r>
        <w:t xml:space="preserve">6.7 updateRegisters(page)</w:t>
      </w:r>
    </w:p>
    <w:p>
      <w:pPr>
        <w:pStyle w:val="FirstParagraph"/>
      </w:pPr>
      <w:r>
        <w:rPr>
          <w:rStyle w:val="VerbatimChar"/>
        </w:rPr>
        <w:t xml:space="preserve">updateRegisters()</w:t>
      </w:r>
      <w:r>
        <w:t xml:space="preserve"> </w:t>
      </w:r>
      <w:r>
        <w:t xml:space="preserve">befüllt die vier Register-Tabs nach jedem Seitenwechsel.</w:t>
      </w:r>
    </w:p>
    <w:p>
      <w:pPr>
        <w:pStyle w:val="BodyText"/>
      </w:pPr>
      <w:r>
        <w:rPr>
          <w:bCs/>
          <w:b/>
        </w:rPr>
        <w:t xml:space="preserve">Personen- und Ortsregister: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projectData.listPerson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projectData.listPlaces</w:t>
      </w:r>
      <w:r>
        <w:t xml:space="preserve"> </w:t>
      </w:r>
      <w:r>
        <w:t xml:space="preserve">wird eine sortierte HTML-Liste aufgebaut. Jeder Eintrag zeigt:</w:t>
      </w:r>
    </w:p>
    <w:p>
      <w:pPr>
        <w:numPr>
          <w:ilvl w:val="0"/>
          <w:numId w:val="1006"/>
        </w:numPr>
        <w:pStyle w:val="Compact"/>
      </w:pPr>
      <w:r>
        <w:t xml:space="preserve">Name in U-chen-Schrift (anklickbar wenn BUDA-Link vorhanden)</w:t>
      </w:r>
    </w:p>
    <w:p>
      <w:pPr>
        <w:numPr>
          <w:ilvl w:val="0"/>
          <w:numId w:val="1006"/>
        </w:numPr>
        <w:pStyle w:val="Compact"/>
      </w:pPr>
      <w:r>
        <w:t xml:space="preserve">Wylie-Transliteration</w:t>
      </w:r>
    </w:p>
    <w:p>
      <w:pPr>
        <w:numPr>
          <w:ilvl w:val="0"/>
          <w:numId w:val="1006"/>
        </w:numPr>
        <w:pStyle w:val="Compact"/>
      </w:pPr>
      <w:r>
        <w:t xml:space="preserve">Häufigkeit (wie oft kommt die Person/der Ort vor)</w:t>
      </w:r>
    </w:p>
    <w:p>
      <w:pPr>
        <w:numPr>
          <w:ilvl w:val="0"/>
          <w:numId w:val="1006"/>
        </w:numPr>
        <w:pStyle w:val="Compact"/>
      </w:pPr>
      <w:r>
        <w:t xml:space="preserve">Seiten-Buttons die per Klick zur Seite springen</w:t>
      </w:r>
    </w:p>
    <w:p>
      <w:pPr>
        <w:pStyle w:val="FirstParagraph"/>
      </w:pPr>
      <w:r>
        <w:rPr>
          <w:bCs/>
          <w:b/>
        </w:rPr>
        <w:t xml:space="preserve">Sortierung:</w:t>
      </w:r>
      <w:r>
        <w:t xml:space="preserve"> </w:t>
      </w:r>
      <w:r>
        <w:t xml:space="preserve">Primär alphabetisch nach Wylie, sekundär nach Häufigkeit.</w:t>
      </w:r>
    </w:p>
    <w:p>
      <w:pPr>
        <w:pStyle w:val="BodyText"/>
      </w:pPr>
      <w:r>
        <w:rPr>
          <w:bCs/>
          <w:b/>
        </w:rPr>
        <w:t xml:space="preserve">Rollenregister:</w:t>
      </w:r>
      <w:r>
        <w:t xml:space="preserve"> </w:t>
      </w:r>
      <w:r>
        <w:t xml:space="preserve">Personen werden nach ihrer Rolle (Philosoph, König, Mönch…) gruppiert.</w:t>
      </w:r>
    </w:p>
    <w:p>
      <w:pPr>
        <w:pStyle w:val="BodyText"/>
      </w:pPr>
      <w:r>
        <w:rPr>
          <w:bCs/>
          <w:b/>
        </w:rPr>
        <w:t xml:space="preserve">Vokabelregister:</w:t>
      </w:r>
      <w:r>
        <w:t xml:space="preserve"> </w:t>
      </w:r>
      <w:r>
        <w:rPr>
          <w:rStyle w:val="VerbatimChar"/>
        </w:rPr>
        <w:t xml:space="preserve">buildVocabList(page)</w:t>
      </w:r>
      <w:r>
        <w:t xml:space="preserve"> </w:t>
      </w:r>
      <w:r>
        <w:t xml:space="preserve">durchsucht den XML-Rohtext der aktuellen Seite nach</w:t>
      </w:r>
      <w:r>
        <w:t xml:space="preserve"> </w:t>
      </w:r>
      <w:r>
        <w:rPr>
          <w:rStyle w:val="VerbatimChar"/>
        </w:rPr>
        <w:t xml:space="preserve">@ana</w:t>
      </w:r>
      <w:r>
        <w:t xml:space="preserve">-Attributen, löst sie gegen</w:t>
      </w:r>
      <w:r>
        <w:t xml:space="preserve"> </w:t>
      </w:r>
      <w:r>
        <w:rPr>
          <w:rStyle w:val="VerbatimChar"/>
        </w:rPr>
        <w:t xml:space="preserve">projectData.vocab</w:t>
      </w:r>
      <w:r>
        <w:t xml:space="preserve"> </w:t>
      </w:r>
      <w:r>
        <w:t xml:space="preserve">auf und zeigt eine Tabelle: U-chen | Wylie | Deutsch | Englisch.</w:t>
      </w:r>
    </w:p>
    <w:bookmarkEnd w:id="45"/>
    <w:bookmarkStart w:id="46" w:name="buildvocablistpage"/>
    <w:p>
      <w:pPr>
        <w:pStyle w:val="Heading2"/>
      </w:pPr>
      <w:r>
        <w:t xml:space="preserve">6.8 buildVocabList(page)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buildVocabList</w:t>
      </w:r>
      <w:r>
        <w:rPr>
          <w:rStyle w:val="NormalTok"/>
        </w:rPr>
        <w:t xml:space="preserve">(page)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anaRefs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anaRegex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/xml:id="</w:t>
      </w:r>
      <w:r>
        <w:rPr>
          <w:rStyle w:val="SpecialCharTok"/>
        </w:rPr>
        <w:t xml:space="preserve">([^"]+)</w:t>
      </w:r>
      <w:r>
        <w:rPr>
          <w:rStyle w:val="SpecialStringTok"/>
        </w:rPr>
        <w:t xml:space="preserve">"</w:t>
      </w:r>
      <w:r>
        <w:rPr>
          <w:rStyle w:val="SpecialCharTok"/>
        </w:rPr>
        <w:t xml:space="preserve">[^&gt;]*</w:t>
      </w:r>
      <w:r>
        <w:rPr>
          <w:rStyle w:val="SpecialStringTok"/>
        </w:rPr>
        <w:t xml:space="preserve">ana="#</w:t>
      </w:r>
      <w:r>
        <w:rPr>
          <w:rStyle w:val="SpecialCharTok"/>
        </w:rPr>
        <w:t xml:space="preserve">([^"]+)</w:t>
      </w:r>
      <w:r>
        <w:rPr>
          <w:rStyle w:val="SpecialStringTok"/>
        </w:rPr>
        <w:t xml:space="preserve">"/g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xmlRaw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lexId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anaRefs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(lexId)) anaRefs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(lexId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anaRefs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(lexId)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(wId)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Tabelle aufbauen...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Die Funktion durchsucht den XML-Rohtext nach Wörtern mit</w:t>
      </w:r>
      <w:r>
        <w:t xml:space="preserve"> </w:t>
      </w:r>
      <w:r>
        <w:rPr>
          <w:rStyle w:val="VerbatimChar"/>
        </w:rPr>
        <w:t xml:space="preserve">@ana</w:t>
      </w:r>
      <w:r>
        <w:t xml:space="preserve">-Attribut. Für jedes Lemma werden alle Vorkommen gesammelt. Der</w:t>
      </w:r>
      <w:r>
        <w:t xml:space="preserve"> </w:t>
      </w:r>
      <w:r>
        <w:rPr>
          <w:rStyle w:val="VerbatimChar"/>
        </w:rPr>
        <w:t xml:space="preserve">[→]</w:t>
      </w:r>
      <w:r>
        <w:t xml:space="preserve">-Button in der Tabelle springt zum entsprechenden Wort im Tibetan-Tab.</w:t>
      </w:r>
    </w:p>
    <w:bookmarkEnd w:id="46"/>
    <w:bookmarkStart w:id="47" w:name="jumptopagepagen-id-name"/>
    <w:p>
      <w:pPr>
        <w:pStyle w:val="Heading2"/>
      </w:pPr>
      <w:r>
        <w:t xml:space="preserve">6.9 jumpToPage(pageN, id, name)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jumpToPage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'selectPage'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renderPage</w:t>
      </w:r>
      <w:r>
        <w:rPr>
          <w:rStyle w:val="NormalTok"/>
        </w:rPr>
        <w:t xml:space="preserve">(projectData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pageN))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pendingHighlightId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Wird aufgerufen wenn ein Seiten-Button im Register geklickt wird. Die Seite wechselt, wird neu gerendert, und der entsprechende Registereintrag wird hervorgehoben und in den Sichtbereich gescrollt.</w:t>
      </w:r>
      <w:r>
        <w:t xml:space="preserve"> </w:t>
      </w:r>
      <w:r>
        <w:rPr>
          <w:rStyle w:val="VerbatimChar"/>
        </w:rPr>
        <w:t xml:space="preserve">pendingHighlightId</w:t>
      </w:r>
      <w:r>
        <w:t xml:space="preserve"> </w:t>
      </w:r>
      <w:r>
        <w:t xml:space="preserve">ist nötig weil das Rendern asynchron ist — man kann erst nach dem Rendern scrollen.</w:t>
      </w:r>
    </w:p>
    <w:bookmarkEnd w:id="47"/>
    <w:bookmarkStart w:id="48" w:name="highlightwordwid"/>
    <w:p>
      <w:pPr>
        <w:pStyle w:val="Heading2"/>
      </w:pPr>
      <w:r>
        <w:t xml:space="preserve">6.10 highlightWord(wId)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(wId)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`[data-wid="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Tibetan-Tab aktivieren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Wort hervorheben (Klasse word-highlight)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Zum Wort scrollen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Sucht das Element mit der gegebenen</w:t>
      </w:r>
      <w:r>
        <w:t xml:space="preserve"> </w:t>
      </w:r>
      <w:r>
        <w:rPr>
          <w:rStyle w:val="VerbatimChar"/>
        </w:rPr>
        <w:t xml:space="preserve">data-wid</w:t>
      </w:r>
      <w:r>
        <w:t xml:space="preserve">-ID im DOM, aktiviert den Tibetan-Tab der entsprechenden Spalte, fügt die Hervorhebungs-Klasse hinzu und scrollt das Element in den sichtbaren Bereich.</w:t>
      </w:r>
    </w:p>
    <w:bookmarkEnd w:id="48"/>
    <w:bookmarkStart w:id="49" w:name="initfacsimilezoom"/>
    <w:p>
      <w:pPr>
        <w:pStyle w:val="Heading2"/>
      </w:pPr>
      <w:r>
        <w:t xml:space="preserve">6.11 initFacsimileZoom()</w:t>
      </w:r>
    </w:p>
    <w:p>
      <w:pPr>
        <w:pStyle w:val="FirstParagraph"/>
      </w:pPr>
      <w:r>
        <w:t xml:space="preserve">Macht das Faksimile-Bild interaktiv: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Scrollrad</w:t>
      </w:r>
      <w:r>
        <w:t xml:space="preserve"> </w:t>
      </w:r>
      <w:r>
        <w:t xml:space="preserve">— Zoom in/out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Drag</w:t>
      </w:r>
      <w:r>
        <w:t xml:space="preserve"> </w:t>
      </w:r>
      <w:r>
        <w:t xml:space="preserve">— Bild verschieben durch Klicken und Ziehen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Reset-Button</w:t>
      </w:r>
      <w:r>
        <w:t xml:space="preserve"> </w:t>
      </w:r>
      <w:r>
        <w:t xml:space="preserve">— Zoom und Position zurücksetzen</w:t>
      </w:r>
    </w:p>
    <w:p>
      <w:pPr>
        <w:pStyle w:val="FirstParagraph"/>
      </w:pPr>
      <w:r>
        <w:t xml:space="preserve">Technisch wird die CSS-Transform-Eigenschaft des Bildes manipuliert:</w:t>
      </w:r>
      <w:r>
        <w:t xml:space="preserve"> </w:t>
      </w:r>
      <w:r>
        <w:rPr>
          <w:rStyle w:val="VerbatimChar"/>
        </w:rPr>
        <w:t xml:space="preserve">transform: scale(N) translate(X, Y)</w:t>
      </w:r>
      <w:r>
        <w:t xml:space="preserve">. Die Mausposition bei Scroll-Events bestimmt den Zoom-Mittelpunkt.</w:t>
      </w:r>
    </w:p>
    <w:bookmarkEnd w:id="49"/>
    <w:bookmarkStart w:id="50" w:name="setupsearch"/>
    <w:p>
      <w:pPr>
        <w:pStyle w:val="Heading2"/>
      </w:pPr>
      <w:r>
        <w:t xml:space="preserve">6.12 setupSearch()</w:t>
      </w:r>
    </w:p>
    <w:p>
      <w:pPr>
        <w:pStyle w:val="FirstParagraph"/>
      </w:pPr>
      <w:r>
        <w:t xml:space="preserve">Richtet die Volltext-Suche ein. Die Suche reagiert auf Tastatureingaben (Events: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Suchablauf:</w:t>
      </w:r>
    </w:p>
    <w:p>
      <w:pPr>
        <w:numPr>
          <w:ilvl w:val="0"/>
          <w:numId w:val="1008"/>
        </w:numPr>
        <w:pStyle w:val="Compact"/>
      </w:pPr>
      <w:r>
        <w:t xml:space="preserve">Suchbegriff wird in Kleinbuchstaben umgewandelt.</w:t>
      </w:r>
    </w:p>
    <w:p>
      <w:pPr>
        <w:numPr>
          <w:ilvl w:val="0"/>
          <w:numId w:val="1008"/>
        </w:numPr>
        <w:pStyle w:val="Compact"/>
      </w:pPr>
      <w:r>
        <w:t xml:space="preserve">Jede Seite in</w:t>
      </w:r>
      <w:r>
        <w:t xml:space="preserve"> </w:t>
      </w:r>
      <w:r>
        <w:rPr>
          <w:rStyle w:val="VerbatimChar"/>
        </w:rPr>
        <w:t xml:space="preserve">projectData.pages</w:t>
      </w:r>
      <w:r>
        <w:t xml:space="preserve"> </w:t>
      </w:r>
      <w:r>
        <w:t xml:space="preserve">wird durchsucht — sowohl der XML-Rohtext (für tibetische Suche nach Entfernung der Tags) als auch Übersetzungen.</w:t>
      </w:r>
    </w:p>
    <w:p>
      <w:pPr>
        <w:numPr>
          <w:ilvl w:val="0"/>
          <w:numId w:val="1008"/>
        </w:numPr>
        <w:pStyle w:val="Compact"/>
      </w:pPr>
      <w:r>
        <w:t xml:space="preserve">Für jede Seite mit Treffern wird ein Eintrag in der Trefferliste angezeigt mit Kontext-Snippet (3 Wörter vor und nach dem Treffer).</w:t>
      </w:r>
    </w:p>
    <w:p>
      <w:pPr>
        <w:numPr>
          <w:ilvl w:val="0"/>
          <w:numId w:val="1008"/>
        </w:numPr>
        <w:pStyle w:val="Compact"/>
      </w:pPr>
      <w:r>
        <w:t xml:space="preserve">Klick auf einen Treffer springt zur entsprechenden Seite und hebt den Begriff hervor.</w:t>
      </w:r>
    </w:p>
    <w:p>
      <w:pPr>
        <w:pStyle w:val="FirstParagraph"/>
      </w:pPr>
      <w:r>
        <w:rPr>
          <w:bCs/>
          <w:b/>
        </w:rPr>
        <w:t xml:space="preserve">Tibetische Suche:</w:t>
      </w:r>
      <w:r>
        <w:t xml:space="preserve"> </w:t>
      </w:r>
      <w:r>
        <w:t xml:space="preserve">Tibetisch wird nach Entfernung aller Tags durchsucht, weil tibetische Silben oft innerhalb von</w:t>
      </w:r>
      <w:r>
        <w:t xml:space="preserve"> </w:t>
      </w:r>
      <w:r>
        <w:rPr>
          <w:rStyle w:val="VerbatimChar"/>
        </w:rPr>
        <w:t xml:space="preserve">&lt;w&gt;</w:t>
      </w:r>
      <w:r>
        <w:t xml:space="preserve">-Elementen stehen.</w:t>
      </w:r>
    </w:p>
    <w:bookmarkEnd w:id="50"/>
    <w:bookmarkStart w:id="51" w:name="attachparalleltextpage"/>
    <w:p>
      <w:pPr>
        <w:pStyle w:val="Heading2"/>
      </w:pPr>
      <w:r>
        <w:t xml:space="preserve">6.13 attachParallelText(page)</w:t>
      </w:r>
    </w:p>
    <w:p>
      <w:pPr>
        <w:pStyle w:val="FirstParagraph"/>
      </w:pPr>
      <w:r>
        <w:t xml:space="preserve">Macht tibetische Sätze mit</w:t>
      </w:r>
      <w:r>
        <w:t xml:space="preserve"> </w:t>
      </w:r>
      <w:r>
        <w:rPr>
          <w:rStyle w:val="VerbatimChar"/>
        </w:rPr>
        <w:t xml:space="preserve">@corresp</w:t>
      </w:r>
      <w:r>
        <w:t xml:space="preserve"> </w:t>
      </w:r>
      <w:r>
        <w:t xml:space="preserve">anklickbar:</w:t>
      </w:r>
    </w:p>
    <w:p>
      <w:pPr>
        <w:numPr>
          <w:ilvl w:val="0"/>
          <w:numId w:val="1009"/>
        </w:numPr>
        <w:pStyle w:val="Compact"/>
      </w:pPr>
      <w:r>
        <w:t xml:space="preserve">Der Satz wird hervorgehoben (Klasse</w:t>
      </w:r>
      <w:r>
        <w:t xml:space="preserve"> </w:t>
      </w:r>
      <w:r>
        <w:rPr>
          <w:rStyle w:val="VerbatimChar"/>
        </w:rPr>
        <w:t xml:space="preserve">parallel-active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Ein Tooltip erscheint direkt darunter mit dem deutschen/englischen Parallelsatz.</w:t>
      </w:r>
    </w:p>
    <w:p>
      <w:pPr>
        <w:numPr>
          <w:ilvl w:val="0"/>
          <w:numId w:val="1009"/>
        </w:numPr>
        <w:pStyle w:val="Compact"/>
      </w:pPr>
      <w:r>
        <w:t xml:space="preserve">Klick irgendwo sonst entfernt den Tooltip.</w:t>
      </w:r>
    </w:p>
    <w:bookmarkEnd w:id="51"/>
    <w:bookmarkStart w:id="52" w:name="attachinteractivity"/>
    <w:p>
      <w:pPr>
        <w:pStyle w:val="Heading2"/>
      </w:pPr>
      <w:r>
        <w:t xml:space="preserve">6.14 attachInteractivity()</w:t>
      </w:r>
    </w:p>
    <w:p>
      <w:pPr>
        <w:pStyle w:val="FirstParagraph"/>
      </w:pPr>
      <w:r>
        <w:t xml:space="preserve">Verbindet Wörter mit</w:t>
      </w:r>
      <w:r>
        <w:t xml:space="preserve"> </w:t>
      </w:r>
      <w:r>
        <w:rPr>
          <w:rStyle w:val="VerbatimChar"/>
        </w:rPr>
        <w:t xml:space="preserve">@ana</w:t>
      </w:r>
      <w:r>
        <w:t xml:space="preserve"> </w:t>
      </w:r>
      <w:r>
        <w:t xml:space="preserve">bidirektional mit dem Vokabular-Tab:</w:t>
      </w:r>
    </w:p>
    <w:p>
      <w:pPr>
        <w:numPr>
          <w:ilvl w:val="0"/>
          <w:numId w:val="1010"/>
        </w:numPr>
        <w:pStyle w:val="Compact"/>
      </w:pPr>
      <w:r>
        <w:t xml:space="preserve">Klick auf ein Wort mit</w:t>
      </w:r>
      <w:r>
        <w:t xml:space="preserve"> </w:t>
      </w:r>
      <w:r>
        <w:rPr>
          <w:rStyle w:val="VerbatimChar"/>
        </w:rPr>
        <w:t xml:space="preserve">@ana</w:t>
      </w:r>
      <w:r>
        <w:t xml:space="preserve"> </w:t>
      </w:r>
      <w:r>
        <w:t xml:space="preserve">im Tibetan-Tab → Vok.-Tab aktiviert, Zeile hervorgehoben</w:t>
      </w:r>
    </w:p>
    <w:p>
      <w:pPr>
        <w:numPr>
          <w:ilvl w:val="0"/>
          <w:numId w:val="1010"/>
        </w:numPr>
        <w:pStyle w:val="Compact"/>
      </w:pPr>
      <w:r>
        <w:t xml:space="preserve">Klick auf</w:t>
      </w:r>
      <w:r>
        <w:t xml:space="preserve"> </w:t>
      </w:r>
      <w:r>
        <w:rPr>
          <w:rStyle w:val="VerbatimChar"/>
        </w:rPr>
        <w:t xml:space="preserve">[→]</w:t>
      </w:r>
      <w:r>
        <w:t xml:space="preserve"> </w:t>
      </w:r>
      <w:r>
        <w:t xml:space="preserve">im Vok.-Tab → Tibetan-Tab aktiviert, Wort hervorgehoben</w:t>
      </w:r>
    </w:p>
    <w:bookmarkEnd w:id="52"/>
    <w:bookmarkStart w:id="53" w:name="checkxmlconsistency"/>
    <w:p>
      <w:pPr>
        <w:pStyle w:val="Heading2"/>
      </w:pPr>
      <w:r>
        <w:t xml:space="preserve">6.15 checkXmlConsistency()</w:t>
      </w:r>
    </w:p>
    <w:p>
      <w:pPr>
        <w:pStyle w:val="FirstParagraph"/>
      </w:pPr>
      <w:r>
        <w:t xml:space="preserve">Wird nach dem Laden des XML aufgerufen und gibt Hinweise in die Browser-Konsole (F12 → Console). Prüft:</w:t>
      </w:r>
    </w:p>
    <w:p>
      <w:pPr>
        <w:numPr>
          <w:ilvl w:val="0"/>
          <w:numId w:val="1011"/>
        </w:numPr>
        <w:pStyle w:val="Compact"/>
      </w:pPr>
      <w:r>
        <w:t xml:space="preserve">Dubletten im Personen- und Ortsregister</w:t>
      </w:r>
    </w:p>
    <w:p>
      <w:pPr>
        <w:numPr>
          <w:ilvl w:val="0"/>
          <w:numId w:val="1011"/>
        </w:numPr>
        <w:pStyle w:val="Compact"/>
      </w:pPr>
      <w:r>
        <w:t xml:space="preserve">Fehlende standOff-IDs (</w:t>
      </w:r>
      <w:r>
        <w:rPr>
          <w:rStyle w:val="VerbatimChar"/>
        </w:rPr>
        <w:t xml:space="preserve">@corresp</w:t>
      </w:r>
      <w:r>
        <w:t xml:space="preserve"> </w:t>
      </w:r>
      <w:r>
        <w:t xml:space="preserve">ohne Entsprechung)</w:t>
      </w:r>
    </w:p>
    <w:p>
      <w:pPr>
        <w:numPr>
          <w:ilvl w:val="0"/>
          <w:numId w:val="1011"/>
        </w:numPr>
        <w:pStyle w:val="Compact"/>
      </w:pPr>
      <w:r>
        <w:t xml:space="preserve">Fehlende Vokabeleinträge (</w:t>
      </w:r>
      <w:r>
        <w:rPr>
          <w:rStyle w:val="VerbatimChar"/>
        </w:rPr>
        <w:t xml:space="preserve">@ana</w:t>
      </w:r>
      <w:r>
        <w:t xml:space="preserve"> </w:t>
      </w:r>
      <w:r>
        <w:t xml:space="preserve">ohne</w:t>
      </w:r>
      <w:r>
        <w:t xml:space="preserve"> </w:t>
      </w:r>
      <w:r>
        <w:rPr>
          <w:rStyle w:val="VerbatimChar"/>
        </w:rPr>
        <w:t xml:space="preserve">&lt;fs&gt;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&lt;fvLib&gt;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Unbenutzte</w:t>
      </w:r>
      <w:r>
        <w:t xml:space="preserve"> </w:t>
      </w:r>
      <w:r>
        <w:rPr>
          <w:rStyle w:val="VerbatimChar"/>
        </w:rPr>
        <w:t xml:space="preserve">&lt;fs&gt;</w:t>
      </w:r>
      <w:r>
        <w:t xml:space="preserve">-Einträge</w:t>
      </w:r>
    </w:p>
    <w:p>
      <w:pPr>
        <w:numPr>
          <w:ilvl w:val="0"/>
          <w:numId w:val="1011"/>
        </w:numPr>
        <w:pStyle w:val="Compact"/>
      </w:pPr>
      <w:r>
        <w:t xml:space="preserve">Verben/Nomina/Adjektive ohne</w:t>
      </w:r>
      <w:r>
        <w:t xml:space="preserve"> </w:t>
      </w:r>
      <w:r>
        <w:rPr>
          <w:rStyle w:val="VerbatimChar"/>
        </w:rPr>
        <w:t xml:space="preserve">@ana</w:t>
      </w:r>
      <w:r>
        <w:t xml:space="preserve">-Annotation</w:t>
      </w:r>
    </w:p>
    <w:p>
      <w:pPr>
        <w:pStyle w:val="FirstParagraph"/>
      </w:pPr>
      <w:r>
        <w:rPr>
          <w:bCs/>
          <w:b/>
        </w:rPr>
        <w:t xml:space="preserve">Ausgabe:</w:t>
      </w:r>
      <w:r>
        <w:t xml:space="preserve"> </w:t>
      </w:r>
      <w:r>
        <w:t xml:space="preserve">Fehler = gelbe Warnungen. Hinweise = blaue eingeklappte Gruppen. Drei getrennte Gruppen: Fehler, BUDA-Links, Vokabelregister.</w:t>
      </w:r>
    </w:p>
    <w:bookmarkEnd w:id="53"/>
    <w:bookmarkStart w:id="54" w:name="hilfsfunktionen"/>
    <w:p>
      <w:pPr>
        <w:pStyle w:val="Heading2"/>
      </w:pPr>
      <w:r>
        <w:t xml:space="preserve">6.16 Hilfsfunktionen</w:t>
      </w:r>
    </w:p>
    <w:p>
      <w:pPr>
        <w:pStyle w:val="FirstParagraph"/>
      </w:pPr>
      <w:r>
        <w:rPr>
          <w:rStyle w:val="VerbatimChar"/>
          <w:bCs/>
          <w:b/>
        </w:rPr>
        <w:t xml:space="preserve">xmlInnerHTML(element)</w:t>
      </w:r>
      <w:r>
        <w:t xml:space="preserve"> </w:t>
      </w:r>
      <w:r>
        <w:t xml:space="preserve">— Serialisiert ein XML-DOM-Element zurück in einen String.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 </w:t>
      </w:r>
      <w:r>
        <w:t xml:space="preserve">fügt automatisch Namespace-Deklarationen ein — diese werden entfernt weil sie redundant sind.</w:t>
      </w:r>
    </w:p>
    <w:p>
      <w:pPr>
        <w:pStyle w:val="BodyText"/>
      </w:pPr>
      <w:r>
        <w:rPr>
          <w:rStyle w:val="VerbatimChar"/>
          <w:bCs/>
          <w:b/>
        </w:rPr>
        <w:t xml:space="preserve">escapeXml(str)</w:t>
      </w:r>
      <w:r>
        <w:t xml:space="preserve"> </w:t>
      </w:r>
      <w:r>
        <w:t xml:space="preserve">— Wandelt XML-Sonderzeichen in HTML-Entities um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). Notwendig wenn XML-Text als Browserinhalt angezeigt wird.</w:t>
      </w:r>
    </w:p>
    <w:p>
      <w:pPr>
        <w:pStyle w:val="BodyText"/>
      </w:pPr>
      <w:r>
        <w:rPr>
          <w:rStyle w:val="VerbatimChar"/>
          <w:bCs/>
          <w:b/>
        </w:rPr>
        <w:t xml:space="preserve">isValidUrl(str)</w:t>
      </w:r>
      <w:r>
        <w:t xml:space="preserve"> </w:t>
      </w:r>
      <w:r>
        <w:t xml:space="preserve">— Prüft ob ein String eine gültige HTTP/HTTPS-URL ist. Wird für BUDA-Links verwendet.</w:t>
      </w:r>
    </w:p>
    <w:p>
      <w:pPr>
        <w:pStyle w:val="BodyText"/>
      </w:pPr>
      <w:r>
        <w:rPr>
          <w:rStyle w:val="VerbatimChar"/>
          <w:bCs/>
          <w:b/>
        </w:rPr>
        <w:t xml:space="preserve">applyHighlight(html, query)</w:t>
      </w:r>
      <w:r>
        <w:t xml:space="preserve"> </w:t>
      </w:r>
      <w:r>
        <w:t xml:space="preserve">— Hebt alle Vorkommen des Suchbegriffs hervor indem es sie mit</w:t>
      </w:r>
      <w:r>
        <w:t xml:space="preserve"> </w:t>
      </w:r>
      <w:r>
        <w:rPr>
          <w:rStyle w:val="VerbatimChar"/>
        </w:rPr>
        <w:t xml:space="preserve">&lt;mark class="highlight-match"&gt;</w:t>
      </w:r>
      <w:r>
        <w:t xml:space="preserve"> </w:t>
      </w:r>
      <w:r>
        <w:t xml:space="preserve">umschließt.</w:t>
      </w:r>
    </w:p>
    <w:p>
      <w:pPr>
        <w:pStyle w:val="BodyText"/>
      </w:pPr>
      <w:r>
        <w:rPr>
          <w:rStyle w:val="VerbatimChar"/>
          <w:bCs/>
          <w:b/>
        </w:rPr>
        <w:t xml:space="preserve">escapeHtml(str)</w:t>
      </w:r>
      <w:r>
        <w:t xml:space="preserve"> </w:t>
      </w:r>
      <w:r>
        <w:t xml:space="preserve">— Für den Paralleltext-Tooltip: HTML-Sonderzeichen escapen damit der Text sicher als innerHTML eingefügt werden kann.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content.xml-tei-p5-dateien"/>
    <w:p>
      <w:pPr>
        <w:pStyle w:val="Heading1"/>
      </w:pPr>
      <w:r>
        <w:t xml:space="preserve">7. content/*.xml — TEI-P5-Dateien</w:t>
      </w:r>
    </w:p>
    <w:p>
      <w:pPr>
        <w:pStyle w:val="FirstParagraph"/>
      </w:pPr>
      <w:r>
        <w:t xml:space="preserve">Die sieben XML-Dateien sind das Herzstück der Edition. Sie folgen dem TEI-P5-Standard.</w:t>
      </w:r>
    </w:p>
    <w:bookmarkStart w:id="56" w:name="grundstruktur-1"/>
    <w:p>
      <w:pPr>
        <w:pStyle w:val="Heading2"/>
      </w:pPr>
      <w:r>
        <w:t xml:space="preserve">7.1 Grundstruktur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TEI</w:t>
      </w:r>
      <w:r>
        <w:rPr>
          <w:rStyle w:val="OtherTok"/>
        </w:rPr>
        <w:t xml:space="preserve"> xmlns=</w:t>
      </w:r>
      <w:r>
        <w:rPr>
          <w:rStyle w:val="StringTok"/>
        </w:rPr>
        <w:t xml:space="preserve">"http://www.tei-c.org/ns/1.0"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teiHeader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teiHeader</w:t>
      </w:r>
      <w:r>
        <w:rPr>
          <w:rStyle w:val="NormalTok"/>
        </w:rPr>
        <w:t xml:space="preserve">&gt;  </w:t>
      </w:r>
      <w:r>
        <w:rPr>
          <w:rStyle w:val="CommentTok"/>
        </w:rPr>
        <w:t xml:space="preserve">&lt;!-- Metadaten    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standOff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standOff</w:t>
      </w:r>
      <w:r>
        <w:rPr>
          <w:rStyle w:val="NormalTok"/>
        </w:rPr>
        <w:t xml:space="preserve">&gt;    </w:t>
      </w:r>
      <w:r>
        <w:rPr>
          <w:rStyle w:val="CommentTok"/>
        </w:rPr>
        <w:t xml:space="preserve">&lt;!-- Register     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&gt;                   </w:t>
      </w:r>
      <w:r>
        <w:rPr>
          <w:rStyle w:val="CommentTok"/>
        </w:rPr>
        <w:t xml:space="preserve">&lt;!-- Eine Seite    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pb</w:t>
      </w:r>
      <w:r>
        <w:rPr>
          <w:rStyle w:val="OtherTok"/>
        </w:rPr>
        <w:t xml:space="preserve"> n=</w:t>
      </w:r>
      <w:r>
        <w:rPr>
          <w:rStyle w:val="StringTok"/>
        </w:rPr>
        <w:t xml:space="preserve">"65a"</w:t>
      </w:r>
      <w:r>
        <w:rPr>
          <w:rStyle w:val="OtherTok"/>
        </w:rPr>
        <w:t xml:space="preserve"> facs=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 ed=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xml:lang=</w:t>
      </w:r>
      <w:r>
        <w:rPr>
          <w:rStyle w:val="StringTok"/>
        </w:rPr>
        <w:t xml:space="preserve">"bo"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       </w:t>
      </w:r>
      <w:r>
        <w:rPr>
          <w:rStyle w:val="CommentTok"/>
        </w:rPr>
        <w:t xml:space="preserve">&lt;!-- Tibetisch 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xml:lang=</w:t>
      </w:r>
      <w:r>
        <w:rPr>
          <w:rStyle w:val="StringTok"/>
        </w:rPr>
        <w:t xml:space="preserve">"bo-Latn"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  </w:t>
      </w:r>
      <w:r>
        <w:rPr>
          <w:rStyle w:val="CommentTok"/>
        </w:rPr>
        <w:t xml:space="preserve">&lt;!-- Wylie     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xml:lang=</w:t>
      </w:r>
      <w:r>
        <w:rPr>
          <w:rStyle w:val="StringTok"/>
        </w:rPr>
        <w:t xml:space="preserve">"de"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       </w:t>
      </w:r>
      <w:r>
        <w:rPr>
          <w:rStyle w:val="CommentTok"/>
        </w:rPr>
        <w:t xml:space="preserve">&lt;!-- Deutsch   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xml:lang=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&gt;...&lt;/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       </w:t>
      </w:r>
      <w:r>
        <w:rPr>
          <w:rStyle w:val="CommentTok"/>
        </w:rPr>
        <w:t xml:space="preserve">&lt;!-- Englisch   --&gt;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TEI</w:t>
      </w:r>
      <w:r>
        <w:rPr>
          <w:rStyle w:val="NormalTok"/>
        </w:rPr>
        <w:t xml:space="preserve">&gt;</w:t>
      </w:r>
    </w:p>
    <w:bookmarkEnd w:id="56"/>
    <w:bookmarkStart w:id="57" w:name="teiheader"/>
    <w:p>
      <w:pPr>
        <w:pStyle w:val="Heading2"/>
      </w:pPr>
      <w:r>
        <w:t xml:space="preserve">7.2 teiHeader</w:t>
      </w:r>
    </w:p>
    <w:p>
      <w:pPr>
        <w:pStyle w:val="FirstParagraph"/>
      </w:pPr>
      <w:r>
        <w:t xml:space="preserve">Enthält alle Metadaten: Titel, Autor, Entstehungskontext, Textzeugen (</w:t>
      </w:r>
      <w:r>
        <w:rPr>
          <w:rStyle w:val="VerbatimChar"/>
        </w:rPr>
        <w:t xml:space="preserve">listWit</w:t>
      </w:r>
      <w:r>
        <w:t xml:space="preserve">), Codierungshinweise und Änderungshistorie (</w:t>
      </w:r>
      <w:r>
        <w:rPr>
          <w:rStyle w:val="VerbatimChar"/>
        </w:rPr>
        <w:t xml:space="preserve">revisionDesc</w:t>
      </w:r>
      <w:r>
        <w:t xml:space="preserve">).</w:t>
      </w:r>
    </w:p>
    <w:bookmarkEnd w:id="57"/>
    <w:bookmarkStart w:id="58" w:name="standoff"/>
    <w:p>
      <w:pPr>
        <w:pStyle w:val="Heading2"/>
      </w:pPr>
      <w:r>
        <w:t xml:space="preserve">7.3 standOff</w:t>
      </w:r>
    </w:p>
    <w:p>
      <w:pPr>
        <w:pStyle w:val="FirstParagraph"/>
      </w:pPr>
      <w:r>
        <w:t xml:space="preserve">Der standOff-Bereich enthält alle Register-Daten getrennt vom Text: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listPerson</w:t>
      </w:r>
      <w:r>
        <w:t xml:space="preserve"> </w:t>
      </w:r>
      <w:r>
        <w:t xml:space="preserve">— Personen mit u-chen, Wylie, BUDA-URL, Rolle, Lebensdaten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listPlace</w:t>
      </w:r>
      <w:r>
        <w:t xml:space="preserve"> </w:t>
      </w:r>
      <w:r>
        <w:t xml:space="preserve">— Orte mit u-chen, Wylie, BUDA-URL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listBibl</w:t>
      </w:r>
      <w:r>
        <w:t xml:space="preserve"> </w:t>
      </w:r>
      <w:r>
        <w:t xml:space="preserve">— Werkverzeichnis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fvLib</w:t>
      </w:r>
      <w:r>
        <w:t xml:space="preserve"> </w:t>
      </w:r>
      <w:r>
        <w:t xml:space="preserve">— Vokabelregister (Feature Value Library)</w:t>
      </w:r>
    </w:p>
    <w:bookmarkEnd w:id="58"/>
    <w:bookmarkStart w:id="59" w:name="vokabelregister-fvlib"/>
    <w:p>
      <w:pPr>
        <w:pStyle w:val="Heading2"/>
      </w:pPr>
      <w:r>
        <w:t xml:space="preserve">7.4 Vokabelregister (fvLib)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fvLib</w:t>
      </w:r>
      <w:r>
        <w:rPr>
          <w:rStyle w:val="OtherTok"/>
        </w:rPr>
        <w:t xml:space="preserve"> n=</w:t>
      </w:r>
      <w:r>
        <w:rPr>
          <w:rStyle w:val="StringTok"/>
        </w:rPr>
        <w:t xml:space="preserve">"vocab"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fs</w:t>
      </w:r>
      <w:r>
        <w:rPr>
          <w:rStyle w:val="OtherTok"/>
        </w:rPr>
        <w:t xml:space="preserve"> xml:id=</w:t>
      </w:r>
      <w:r>
        <w:rPr>
          <w:rStyle w:val="StringTok"/>
        </w:rPr>
        <w:t xml:space="preserve">"lex_btang"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"vocab"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"wylie"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&gt;btang&lt;/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"lemma_wylie"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&gt;gtong ba&lt;/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"lemma_uchen"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&gt;གཏོང་བ་&lt;/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"pos"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&gt;V.past&lt;/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"subc"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&gt;tdV&lt;/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"def_de"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&gt;schicken, loslassen&lt;/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f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"def_en"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&gt;to send, to release&lt;/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fs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fvLib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Verweis im Text: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w</w:t>
      </w:r>
      <w:r>
        <w:rPr>
          <w:rStyle w:val="OtherTok"/>
        </w:rPr>
        <w:t xml:space="preserve"> xml:id=</w:t>
      </w:r>
      <w:r>
        <w:rPr>
          <w:rStyle w:val="StringTok"/>
        </w:rPr>
        <w:t xml:space="preserve">"w65b03"</w:t>
      </w:r>
      <w:r>
        <w:rPr>
          <w:rStyle w:val="OtherTok"/>
        </w:rPr>
        <w:t xml:space="preserve"> pos=</w:t>
      </w:r>
      <w:r>
        <w:rPr>
          <w:rStyle w:val="StringTok"/>
        </w:rPr>
        <w:t xml:space="preserve">"V.past"</w:t>
      </w:r>
      <w:r>
        <w:rPr>
          <w:rStyle w:val="OtherTok"/>
        </w:rPr>
        <w:t xml:space="preserve"> ana=</w:t>
      </w:r>
      <w:r>
        <w:rPr>
          <w:rStyle w:val="StringTok"/>
        </w:rPr>
        <w:t xml:space="preserve">"#lex_btang"</w:t>
      </w:r>
      <w:r>
        <w:rPr>
          <w:rStyle w:val="NormalTok"/>
        </w:rPr>
        <w:t xml:space="preserve">&gt;བཏང་&lt;/</w:t>
      </w:r>
      <w:r>
        <w:rPr>
          <w:rStyle w:val="KeywordTok"/>
        </w:rPr>
        <w:t xml:space="preserve">w</w:t>
      </w:r>
      <w:r>
        <w:rPr>
          <w:rStyle w:val="NormalTok"/>
        </w:rPr>
        <w:t xml:space="preserve">&gt;</w:t>
      </w:r>
    </w:p>
    <w:bookmarkEnd w:id="59"/>
    <w:bookmarkStart w:id="60" w:name="textannotation"/>
    <w:p>
      <w:pPr>
        <w:pStyle w:val="Heading2"/>
      </w:pPr>
      <w:r>
        <w:t xml:space="preserve">7.5 Textannotation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 xml:id="s65a01"&gt;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Satzgrenze mit eindeutiger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 corresp="#s65a01_de"&gt;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Paralleltext-Verlinkung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&lt;w xml:id="w65a01_01" pos="N"&gt;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Wort mit POS-Tag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&lt;w ana="#lex_btang"&gt;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Vokabular-Verlinkung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&lt;pc type="shad"&gt;|&lt;/pc&gt;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Satzzeichen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&lt;lb/&gt;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Zeilenwechsel im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&lt;persName corresp="#vasubandhu"&gt;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Personenname mit Register-Verweis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&lt;placeName corresp="#kashmir"&gt;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Ortsname mit Register-Verweis</w:t>
            </w:r>
          </w:p>
        </w:tc>
      </w:tr>
    </w:tbl>
    <w:bookmarkEnd w:id="60"/>
    <w:bookmarkStart w:id="61" w:name="faksimile-referenzen"/>
    <w:p>
      <w:pPr>
        <w:pStyle w:val="Heading2"/>
      </w:pPr>
      <w:r>
        <w:t xml:space="preserve">7.6 Faksimile-Referenzen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pb</w:t>
      </w:r>
      <w:r>
        <w:rPr>
          <w:rStyle w:val="OtherTok"/>
        </w:rPr>
        <w:t xml:space="preserve"> ed=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 n=</w:t>
      </w:r>
      <w:r>
        <w:rPr>
          <w:rStyle w:val="StringTok"/>
        </w:rPr>
        <w:t xml:space="preserve">"65a"</w:t>
      </w:r>
      <w:r>
        <w:br/>
      </w:r>
      <w:r>
        <w:rPr>
          <w:rStyle w:val="OtherTok"/>
        </w:rPr>
        <w:t xml:space="preserve">    facs=</w:t>
      </w:r>
      <w:r>
        <w:rPr>
          <w:rStyle w:val="StringTok"/>
        </w:rPr>
        <w:t xml:space="preserve">"../content/images/2_dignaga/taranatha_dignaga_Page_593.jpg"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@n</w:t>
      </w:r>
      <w:r>
        <w:t xml:space="preserve"> </w:t>
      </w:r>
      <w:r>
        <w:t xml:space="preserve">ist die Seitenbezeichnung,</w:t>
      </w:r>
      <w:r>
        <w:t xml:space="preserve"> </w:t>
      </w:r>
      <w:r>
        <w:rPr>
          <w:rStyle w:val="VerbatimChar"/>
        </w:rPr>
        <w:t xml:space="preserve">@facs</w:t>
      </w:r>
      <w:r>
        <w:t xml:space="preserve"> </w:t>
      </w:r>
      <w:r>
        <w:t xml:space="preserve">der relative Pfad zum Faksimile-Bild,</w:t>
      </w:r>
      <w:r>
        <w:t xml:space="preserve"> </w:t>
      </w:r>
      <w:r>
        <w:rPr>
          <w:rStyle w:val="VerbatimChar"/>
        </w:rPr>
        <w:t xml:space="preserve">@ed</w:t>
      </w:r>
      <w:r>
        <w:t xml:space="preserve"> </w:t>
      </w:r>
      <w:r>
        <w:t xml:space="preserve">der Textzeugenbezeichner.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ontent.xsl-xslt-stylesheets"/>
    <w:p>
      <w:pPr>
        <w:pStyle w:val="Heading1"/>
      </w:pPr>
      <w:r>
        <w:t xml:space="preserve">8. content/*.xsl — XSLT-Stylesheets</w:t>
      </w:r>
    </w:p>
    <w:p>
      <w:pPr>
        <w:pStyle w:val="FirstParagraph"/>
      </w:pPr>
      <w:r>
        <w:t xml:space="preserve">Die XSLT-Dateien ermöglichen eine Transformation der XML-Dateien in HTML — als Alternative zur JavaScript-Darstellung. Sie werden in Oxygen mit Saxon-PE ausgeführt.</w:t>
      </w:r>
    </w:p>
    <w:bookmarkStart w:id="63" w:name="tibetantei.xsl-generisches-stylesheet"/>
    <w:p>
      <w:pPr>
        <w:pStyle w:val="Heading2"/>
      </w:pPr>
      <w:r>
        <w:t xml:space="preserve">8.1 tibetantei.xsl — Generisches Stylesheet</w:t>
      </w:r>
    </w:p>
    <w:p>
      <w:pPr>
        <w:pStyle w:val="FirstParagraph"/>
      </w:pPr>
      <w:r>
        <w:t xml:space="preserve">Gilt für alle sieben Textzeugen. Erzeugt eine statische HTML-Seite mit:</w:t>
      </w:r>
    </w:p>
    <w:p>
      <w:pPr>
        <w:numPr>
          <w:ilvl w:val="0"/>
          <w:numId w:val="1013"/>
        </w:numPr>
        <w:pStyle w:val="Compact"/>
      </w:pPr>
      <w:r>
        <w:t xml:space="preserve">Zweispaltigem Layout (Tibetisch links, Deutsch rechts)</w:t>
      </w:r>
    </w:p>
    <w:p>
      <w:pPr>
        <w:numPr>
          <w:ilvl w:val="0"/>
          <w:numId w:val="1013"/>
        </w:numPr>
        <w:pStyle w:val="Compact"/>
      </w:pPr>
      <w:r>
        <w:t xml:space="preserve">Faksimile-Link je Seite</w:t>
      </w:r>
    </w:p>
    <w:p>
      <w:pPr>
        <w:numPr>
          <w:ilvl w:val="0"/>
          <w:numId w:val="1013"/>
        </w:numPr>
        <w:pStyle w:val="Compact"/>
      </w:pPr>
      <w:r>
        <w:t xml:space="preserve">Farbigen Personennamen und Ortsnamen mit Hover-Tooltips (Wylie-Name, Rolle)</w:t>
      </w:r>
    </w:p>
    <w:p>
      <w:pPr>
        <w:numPr>
          <w:ilvl w:val="0"/>
          <w:numId w:val="1013"/>
        </w:numPr>
        <w:pStyle w:val="Compact"/>
      </w:pPr>
      <w:r>
        <w:t xml:space="preserve">Hover-Tooltip auf Wörtern mit</w:t>
      </w:r>
      <w:r>
        <w:t xml:space="preserve"> </w:t>
      </w:r>
      <w:r>
        <w:rPr>
          <w:rStyle w:val="VerbatimChar"/>
        </w:rPr>
        <w:t xml:space="preserve">@ana</w:t>
      </w:r>
      <w:r>
        <w:t xml:space="preserve"> </w:t>
      </w:r>
      <w:r>
        <w:t xml:space="preserve">(POS + Lemma + deutsche Definition)</w:t>
      </w:r>
    </w:p>
    <w:p>
      <w:pPr>
        <w:numPr>
          <w:ilvl w:val="0"/>
          <w:numId w:val="1013"/>
        </w:numPr>
        <w:pStyle w:val="Compact"/>
      </w:pPr>
      <w:r>
        <w:t xml:space="preserve">Personen- und Ortsregister am Ende</w:t>
      </w:r>
    </w:p>
    <w:p>
      <w:pPr>
        <w:numPr>
          <w:ilvl w:val="0"/>
          <w:numId w:val="1013"/>
        </w:numPr>
        <w:pStyle w:val="Compact"/>
      </w:pPr>
      <w:r>
        <w:t xml:space="preserve">Vokabeltabelle am Ende</w:t>
      </w:r>
    </w:p>
    <w:p>
      <w:pPr>
        <w:pStyle w:val="FirstParagraph"/>
      </w:pPr>
      <w:r>
        <w:t xml:space="preserve">Parameter die in Oxygen überschrieben werden können: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$lang-primary</w:t>
      </w:r>
      <w:r>
        <w:t xml:space="preserve"> </w:t>
      </w:r>
      <w:r>
        <w:t xml:space="preserve">(Standard:</w:t>
      </w:r>
      <w:r>
        <w:t xml:space="preserve"> </w:t>
      </w:r>
      <w:r>
        <w:rPr>
          <w:rStyle w:val="VerbatimChar"/>
        </w:rPr>
        <w:t xml:space="preserve">bo</w:t>
      </w:r>
      <w:r>
        <w:t xml:space="preserve">) — Sprache der linken Spalte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$lang-secondary</w:t>
      </w:r>
      <w:r>
        <w:t xml:space="preserve"> </w:t>
      </w:r>
      <w:r>
        <w:t xml:space="preserve">(Standard:</w:t>
      </w:r>
      <w:r>
        <w:t xml:space="preserve"> </w:t>
      </w:r>
      <w:r>
        <w:rPr>
          <w:rStyle w:val="VerbatimChar"/>
        </w:rPr>
        <w:t xml:space="preserve">de</w:t>
      </w:r>
      <w:r>
        <w:t xml:space="preserve">) — Sprache der rechten Spalte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$show-line-numbers</w:t>
      </w:r>
      <w:r>
        <w:t xml:space="preserve"> </w:t>
      </w:r>
      <w:r>
        <w:t xml:space="preserve">— Zeilennummern aus</w:t>
      </w:r>
      <w:r>
        <w:t xml:space="preserve"> </w:t>
      </w:r>
      <w:r>
        <w:rPr>
          <w:rStyle w:val="VerbatimChar"/>
        </w:rPr>
        <w:t xml:space="preserve">&lt;w&gt;</w:t>
      </w:r>
      <w:r>
        <w:t xml:space="preserve">-IDs anzeigen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$show-apparatus</w:t>
      </w:r>
      <w:r>
        <w:t xml:space="preserve"> </w:t>
      </w:r>
      <w:r>
        <w:t xml:space="preserve">— Kritischen Apparat anzeigen</w:t>
      </w:r>
    </w:p>
    <w:bookmarkEnd w:id="63"/>
    <w:bookmarkStart w:id="64" w:name="Xa681308b1a533da45847fc98ec544754a41ca6a"/>
    <w:p>
      <w:pPr>
        <w:pStyle w:val="Heading2"/>
      </w:pPr>
      <w:r>
        <w:t xml:space="preserve">8.2 2_dignaga.xsl — Textzeugenbezogenes Stylesheet</w:t>
      </w:r>
    </w:p>
    <w:p>
      <w:pPr>
        <w:pStyle w:val="FirstParagraph"/>
      </w:pPr>
      <w:r>
        <w:t xml:space="preserve">Importiert tibetantei.xsl und überschreibt spezifische Templates: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doc-header:</w:t>
      </w:r>
      <w:r>
        <w:t xml:space="preserve"> </w:t>
      </w:r>
      <w:r>
        <w:t xml:space="preserve">Zeigt Untertitel und Textzeugen-Information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tei:div:</w:t>
      </w:r>
      <w:r>
        <w:t xml:space="preserve"> </w:t>
      </w:r>
      <w:r>
        <w:t xml:space="preserve">Paralleltext-Rendering wenn</w:t>
      </w:r>
      <w:r>
        <w:t xml:space="preserve"> </w:t>
      </w:r>
      <w:r>
        <w:rPr>
          <w:rStyle w:val="VerbatimChar"/>
        </w:rPr>
        <w:t xml:space="preserve">@corresp</w:t>
      </w:r>
      <w:r>
        <w:t xml:space="preserve"> </w:t>
      </w:r>
      <w:r>
        <w:t xml:space="preserve">vorhanden (Satzpaare nebeneinander)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Sanskrit-Termini:</w:t>
      </w:r>
      <w:r>
        <w:t xml:space="preserve"> </w:t>
      </w:r>
      <w:r>
        <w:t xml:space="preserve">Kursiv markiert</w:t>
      </w:r>
    </w:p>
    <w:bookmarkEnd w:id="64"/>
    <w:bookmarkStart w:id="65" w:name="verwendung-in-oxygen"/>
    <w:p>
      <w:pPr>
        <w:pStyle w:val="Heading2"/>
      </w:pPr>
      <w:r>
        <w:t xml:space="preserve">8.3 Verwendung in Oxygen</w:t>
      </w:r>
    </w:p>
    <w:p>
      <w:pPr>
        <w:numPr>
          <w:ilvl w:val="0"/>
          <w:numId w:val="1016"/>
        </w:numPr>
        <w:pStyle w:val="Compact"/>
      </w:pPr>
      <w:r>
        <w:t xml:space="preserve">XML-Datei öffnen (z. B. 2_dignaga.xml)</w:t>
      </w:r>
    </w:p>
    <w:p>
      <w:pPr>
        <w:numPr>
          <w:ilvl w:val="0"/>
          <w:numId w:val="1016"/>
        </w:numPr>
        <w:pStyle w:val="Compact"/>
      </w:pPr>
      <w:r>
        <w:t xml:space="preserve">Document → Transformation → Configure Transformation Scenarios</w:t>
      </w:r>
    </w:p>
    <w:p>
      <w:pPr>
        <w:numPr>
          <w:ilvl w:val="0"/>
          <w:numId w:val="1016"/>
        </w:numPr>
        <w:pStyle w:val="Compact"/>
      </w:pPr>
      <w:r>
        <w:t xml:space="preserve">New → XML Transformation with XSLT</w:t>
      </w:r>
    </w:p>
    <w:p>
      <w:pPr>
        <w:numPr>
          <w:ilvl w:val="0"/>
          <w:numId w:val="1016"/>
        </w:numPr>
        <w:pStyle w:val="Compact"/>
      </w:pPr>
      <w:r>
        <w:t xml:space="preserve">XSL URL: absoluter Pfad zu 2_dignaga.xsl</w:t>
      </w:r>
    </w:p>
    <w:p>
      <w:pPr>
        <w:numPr>
          <w:ilvl w:val="0"/>
          <w:numId w:val="1016"/>
        </w:numPr>
        <w:pStyle w:val="Compact"/>
      </w:pPr>
      <w:r>
        <w:t xml:space="preserve">Transformer: Saxon-PE 12.9</w:t>
      </w:r>
    </w:p>
    <w:p>
      <w:pPr>
        <w:numPr>
          <w:ilvl w:val="0"/>
          <w:numId w:val="1016"/>
        </w:numPr>
        <w:pStyle w:val="Compact"/>
      </w:pPr>
      <w:r>
        <w:t xml:space="preserve">Ausgabedatei: content/2_dignaga.html</w:t>
      </w:r>
    </w:p>
    <w:p>
      <w:pPr>
        <w:numPr>
          <w:ilvl w:val="0"/>
          <w:numId w:val="1016"/>
        </w:numPr>
        <w:pStyle w:val="Compact"/>
      </w:pPr>
      <w:r>
        <w:t xml:space="preserve">Apply → Run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nhang-abhängigkeiten"/>
    <w:p>
      <w:pPr>
        <w:pStyle w:val="Heading1"/>
      </w:pPr>
      <w:r>
        <w:t xml:space="preserve">9. Anhang: Abhängigkeiten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Lädt / Verwendet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texts.html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main.css, texts.js, detail.js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impressum.html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texts.js (global), fetch(content/*.xml)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content/*.xml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content/images/* (Faksimile)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2_dignaga.xsl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tibetantei.xsl (via xsl:import)</w:t>
            </w:r>
          </w:p>
        </w:tc>
      </w:tr>
    </w:tbl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TibetanTEI — Technische Dokumentation</dc:title>
  <dc:creator>Albert Brugnara</dc:creator>
  <dc:language>de</dc:language>
  <cp:keywords/>
  <dcterms:created xsi:type="dcterms:W3CDTF">2026-05-22T23:37:11Z</dcterms:created>
  <dcterms:modified xsi:type="dcterms:W3CDTF">2026-05-22T23:37:11Z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  <property fmtid="{D5CDD505-2E9C-101B-9397-08002B2CF9AE}" pid="3" name="subtitle">
    <vt:lpwstr>Struktur, Dateien und Zusammenwirken</vt:lpwstr>
  </property>
</Properties>
</file>