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6E" w:rsidRPr="007012EB" w:rsidRDefault="0045786E" w:rsidP="0045786E">
      <w:pPr>
        <w:pStyle w:val="a3"/>
      </w:pPr>
      <w:bookmarkStart w:id="0" w:name="_Ref346887139"/>
      <w:bookmarkStart w:id="1" w:name="_Ref346887130"/>
      <w:r w:rsidRPr="007012EB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 w:rsidRPr="007012EB">
        <w:t xml:space="preserve"> Metrics of </w:t>
      </w:r>
      <w:r w:rsidRPr="007012EB">
        <w:rPr>
          <w:i/>
        </w:rPr>
        <w:t>Hypsibius</w:t>
      </w:r>
      <w:r w:rsidRPr="007012EB">
        <w:t xml:space="preserve"> </w:t>
      </w:r>
      <w:r w:rsidRPr="007012EB">
        <w:rPr>
          <w:i/>
        </w:rPr>
        <w:t xml:space="preserve">dujardini </w:t>
      </w:r>
      <w:r w:rsidRPr="007012EB">
        <w:t>genome assemblies.</w:t>
      </w:r>
      <w:bookmarkEnd w:id="1"/>
    </w:p>
    <w:p w:rsidR="0045786E" w:rsidRPr="007012EB" w:rsidRDefault="0045786E" w:rsidP="0045786E">
      <w:pPr>
        <w:pStyle w:val="Normal1"/>
      </w:pPr>
    </w:p>
    <w:tbl>
      <w:tblPr>
        <w:tblStyle w:val="4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22"/>
        <w:gridCol w:w="1957"/>
        <w:gridCol w:w="1850"/>
        <w:gridCol w:w="1896"/>
      </w:tblGrid>
      <w:tr w:rsidR="0045786E" w:rsidRPr="007012EB" w:rsidTr="00B26F14">
        <w:trPr>
          <w:trHeight w:val="306"/>
        </w:trPr>
        <w:tc>
          <w:tcPr>
            <w:tcW w:w="33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Data Source</w:t>
            </w:r>
          </w:p>
        </w:tc>
        <w:tc>
          <w:tcPr>
            <w:tcW w:w="19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This work</w:t>
            </w:r>
          </w:p>
        </w:tc>
        <w:tc>
          <w:tcPr>
            <w:tcW w:w="18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Edinburgh</w:t>
            </w:r>
          </w:p>
        </w:tc>
        <w:tc>
          <w:tcPr>
            <w:tcW w:w="18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UNC</w:t>
            </w:r>
          </w:p>
        </w:tc>
      </w:tr>
      <w:tr w:rsidR="0045786E" w:rsidRPr="007012EB" w:rsidTr="00B26F14">
        <w:trPr>
          <w:trHeight w:val="306"/>
        </w:trPr>
        <w:tc>
          <w:tcPr>
            <w:tcW w:w="3322" w:type="dxa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Sequencing technologies</w:t>
            </w:r>
          </w:p>
        </w:tc>
        <w:tc>
          <w:tcPr>
            <w:tcW w:w="1957" w:type="dxa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Illumina &amp; PacBio</w:t>
            </w:r>
          </w:p>
        </w:tc>
        <w:tc>
          <w:tcPr>
            <w:tcW w:w="1850" w:type="dxa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Illumina</w:t>
            </w:r>
          </w:p>
        </w:tc>
        <w:tc>
          <w:tcPr>
            <w:tcW w:w="1896" w:type="dxa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Illumina &amp; PacBio</w:t>
            </w:r>
          </w:p>
        </w:tc>
      </w:tr>
      <w:tr w:rsidR="0045786E" w:rsidRPr="007012EB" w:rsidTr="00B26F14">
        <w:trPr>
          <w:trHeight w:val="306"/>
        </w:trPr>
        <w:tc>
          <w:tcPr>
            <w:tcW w:w="3322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Genome version</w:t>
            </w:r>
          </w:p>
        </w:tc>
        <w:tc>
          <w:tcPr>
            <w:tcW w:w="1957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nHd.3.0</w:t>
            </w:r>
          </w:p>
        </w:tc>
        <w:tc>
          <w:tcPr>
            <w:tcW w:w="185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nHd.2.3</w:t>
            </w:r>
          </w:p>
        </w:tc>
        <w:tc>
          <w:tcPr>
            <w:tcW w:w="18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tg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Scaffold number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1,421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13,202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16,175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Total Scaffold Length (bp)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104,155,103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134,961,902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212,302,995</w:t>
            </w:r>
          </w:p>
        </w:tc>
      </w:tr>
      <w:tr w:rsidR="0045786E" w:rsidRPr="007012EB" w:rsidTr="00B26F14">
        <w:trPr>
          <w:trHeight w:val="306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Average Scaffold Length (bp)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73,297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10,222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13,125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 xml:space="preserve">Longest Scaffold Length (bp) 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2,115,976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594,143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1,208,507*</w:t>
            </w:r>
          </w:p>
        </w:tc>
      </w:tr>
      <w:tr w:rsidR="0045786E" w:rsidRPr="007012EB" w:rsidTr="00B26F14">
        <w:trPr>
          <w:trHeight w:val="306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Shortest Scaffold Length (bp)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1,000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2,002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N50 (bp) (no. scaffs in N50)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342,180 (#85)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50,531 (#701)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17,496 (#3,422)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N90 (bp) (no. scaffs in N90)</w:t>
            </w:r>
          </w:p>
        </w:tc>
        <w:tc>
          <w:tcPr>
            <w:tcW w:w="1957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65,573 (#343)</w:t>
            </w:r>
          </w:p>
        </w:tc>
        <w:tc>
          <w:tcPr>
            <w:tcW w:w="1850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6,194 (#3,280)</w:t>
            </w:r>
          </w:p>
        </w:tc>
        <w:tc>
          <w:tcPr>
            <w:tcW w:w="1896" w:type="dxa"/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6,637 (#11,175)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CEGMA genes found (partial)</w:t>
            </w:r>
          </w:p>
        </w:tc>
        <w:tc>
          <w:tcPr>
            <w:tcW w:w="1957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237 (240)</w:t>
            </w:r>
          </w:p>
        </w:tc>
        <w:tc>
          <w:tcPr>
            <w:tcW w:w="1850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220 (241)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221 (235)</w:t>
            </w:r>
          </w:p>
        </w:tc>
      </w:tr>
      <w:tr w:rsidR="0045786E" w:rsidRPr="007012EB" w:rsidTr="00B26F14">
        <w:trPr>
          <w:trHeight w:val="323"/>
        </w:trPr>
        <w:tc>
          <w:tcPr>
            <w:tcW w:w="3322" w:type="dxa"/>
            <w:tcBorders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CEGMA gene duplication ratio</w:t>
            </w:r>
          </w:p>
        </w:tc>
        <w:tc>
          <w:tcPr>
            <w:tcW w:w="1957" w:type="dxa"/>
            <w:tcBorders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1.17 (1.23)</w:t>
            </w:r>
          </w:p>
        </w:tc>
        <w:tc>
          <w:tcPr>
            <w:tcW w:w="1850" w:type="dxa"/>
            <w:tcBorders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1.35 (1.56)</w:t>
            </w:r>
          </w:p>
        </w:tc>
        <w:tc>
          <w:tcPr>
            <w:tcW w:w="1896" w:type="dxa"/>
            <w:tcBorders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  <w:szCs w:val="20"/>
              </w:rPr>
            </w:pPr>
            <w:r w:rsidRPr="007012EB">
              <w:rPr>
                <w:rFonts w:asciiTheme="majorHAnsi" w:hAnsiTheme="majorHAnsi" w:cstheme="majorHAnsi"/>
                <w:sz w:val="20"/>
                <w:szCs w:val="20"/>
              </w:rPr>
              <w:t>3.26 (3.53)</w:t>
            </w:r>
          </w:p>
        </w:tc>
      </w:tr>
    </w:tbl>
    <w:p w:rsidR="0045786E" w:rsidRPr="007012EB" w:rsidRDefault="0045786E" w:rsidP="0045786E">
      <w:pPr>
        <w:pStyle w:val="Normal1"/>
      </w:pPr>
      <w:r w:rsidRPr="007012EB">
        <w:t>* The longest scaffolds in the tg assembly are derived from bacterial contaminants.</w:t>
      </w:r>
    </w:p>
    <w:p w:rsidR="0045786E" w:rsidRPr="007012EB" w:rsidRDefault="0045786E" w:rsidP="0045786E">
      <w:pPr>
        <w:pStyle w:val="Normal1"/>
      </w:pPr>
    </w:p>
    <w:p w:rsidR="0045786E" w:rsidRPr="007012EB" w:rsidRDefault="0045786E" w:rsidP="0045786E">
      <w:pPr>
        <w:pStyle w:val="Normal1"/>
      </w:pPr>
    </w:p>
    <w:p w:rsidR="0045786E" w:rsidRPr="007012EB" w:rsidRDefault="0045786E" w:rsidP="0045786E">
      <w:pPr>
        <w:pStyle w:val="Normal1"/>
      </w:pPr>
    </w:p>
    <w:p w:rsidR="0045786E" w:rsidRPr="007012EB" w:rsidRDefault="0045786E" w:rsidP="0045786E">
      <w:pPr>
        <w:pStyle w:val="Normal1"/>
      </w:pPr>
      <w:r w:rsidRPr="007012EB">
        <w:br w:type="page"/>
      </w:r>
    </w:p>
    <w:p w:rsidR="0045786E" w:rsidRPr="007012EB" w:rsidRDefault="0045786E" w:rsidP="0045786E">
      <w:pPr>
        <w:pStyle w:val="a3"/>
      </w:pPr>
      <w:bookmarkStart w:id="2" w:name="_Ref346887176"/>
      <w:r w:rsidRPr="007012EB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 w:rsidRPr="007012EB">
        <w:t xml:space="preserve"> Comparison of the genomes of </w:t>
      </w:r>
      <w:r w:rsidRPr="007012EB">
        <w:rPr>
          <w:i/>
        </w:rPr>
        <w:t>H. dujardini</w:t>
      </w:r>
      <w:r w:rsidRPr="007012EB">
        <w:t xml:space="preserve"> and </w:t>
      </w:r>
      <w:r w:rsidRPr="007012EB">
        <w:rPr>
          <w:i/>
        </w:rPr>
        <w:t>R. varieornatus</w:t>
      </w:r>
    </w:p>
    <w:p w:rsidR="0045786E" w:rsidRPr="007012EB" w:rsidRDefault="0045786E" w:rsidP="0045786E">
      <w:pPr>
        <w:pStyle w:val="Normal1"/>
      </w:pPr>
    </w:p>
    <w:tbl>
      <w:tblPr>
        <w:tblStyle w:val="4"/>
        <w:tblW w:w="0" w:type="auto"/>
        <w:tblInd w:w="0" w:type="dxa"/>
        <w:tblLook w:val="0600" w:firstRow="0" w:lastRow="0" w:firstColumn="0" w:lastColumn="0" w:noHBand="1" w:noVBand="1"/>
      </w:tblPr>
      <w:tblGrid>
        <w:gridCol w:w="3624"/>
        <w:gridCol w:w="907"/>
        <w:gridCol w:w="907"/>
        <w:gridCol w:w="907"/>
        <w:gridCol w:w="907"/>
        <w:gridCol w:w="907"/>
        <w:gridCol w:w="907"/>
      </w:tblGrid>
      <w:tr w:rsidR="0045786E" w:rsidRPr="007012EB" w:rsidTr="00B26F14">
        <w:tc>
          <w:tcPr>
            <w:tcW w:w="0" w:type="auto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9646" w:themeFill="accent6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Assembly</w:t>
            </w:r>
          </w:p>
        </w:tc>
        <w:tc>
          <w:tcPr>
            <w:tcW w:w="1814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9646" w:themeFill="accent6"/>
          </w:tcPr>
          <w:p w:rsidR="0045786E" w:rsidRPr="007012EB" w:rsidRDefault="0045786E" w:rsidP="00B26F14">
            <w:pPr>
              <w:pStyle w:val="Normal1"/>
              <w:wordWrap w:val="0"/>
              <w:jc w:val="righ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i/>
                <w:sz w:val="20"/>
              </w:rPr>
              <w:t>H. dujardini</w:t>
            </w:r>
            <w:r w:rsidRPr="007012EB">
              <w:rPr>
                <w:rFonts w:asciiTheme="majorHAnsi" w:hAnsiTheme="majorHAnsi" w:cstheme="majorHAnsi"/>
                <w:b/>
                <w:sz w:val="20"/>
              </w:rPr>
              <w:t xml:space="preserve"> 3.0</w:t>
            </w:r>
          </w:p>
        </w:tc>
        <w:tc>
          <w:tcPr>
            <w:tcW w:w="1814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9646" w:themeFill="accent6"/>
          </w:tcPr>
          <w:p w:rsidR="0045786E" w:rsidRPr="007012EB" w:rsidRDefault="0045786E" w:rsidP="00B26F14">
            <w:pPr>
              <w:pStyle w:val="Normal1"/>
              <w:wordWrap w:val="0"/>
              <w:jc w:val="righ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i/>
                <w:sz w:val="20"/>
              </w:rPr>
              <w:t>R. varieornatus</w:t>
            </w:r>
            <w:r w:rsidRPr="007012EB">
              <w:rPr>
                <w:rFonts w:asciiTheme="majorHAnsi" w:hAnsiTheme="majorHAnsi" w:cstheme="majorHAnsi"/>
                <w:b/>
                <w:sz w:val="20"/>
              </w:rPr>
              <w:t>1.1</w:t>
            </w:r>
          </w:p>
        </w:tc>
        <w:tc>
          <w:tcPr>
            <w:tcW w:w="1814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9646" w:themeFill="accent6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 xml:space="preserve">Difference 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GENOME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Mb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%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bp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%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Mb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%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Total span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104.16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55.83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48.33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5786E" w:rsidRPr="007012EB" w:rsidTr="00B26F14">
        <w:tc>
          <w:tcPr>
            <w:tcW w:w="0" w:type="auto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Genic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59.03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56.67%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31.94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57.21%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27.09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56.06%</w:t>
            </w:r>
          </w:p>
        </w:tc>
      </w:tr>
      <w:tr w:rsidR="0045786E" w:rsidRPr="007012EB" w:rsidTr="00B26F14">
        <w:tc>
          <w:tcPr>
            <w:tcW w:w="0" w:type="auto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 xml:space="preserve">   exon span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25.25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24.24%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19.56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35.03%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5.69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11.78%</w:t>
            </w:r>
          </w:p>
        </w:tc>
      </w:tr>
      <w:tr w:rsidR="0045786E" w:rsidRPr="007012EB" w:rsidTr="00B26F14">
        <w:tc>
          <w:tcPr>
            <w:tcW w:w="0" w:type="auto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 xml:space="preserve">   intron span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33.78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32.43%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12.38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22.17%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21.40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44.28%</w:t>
            </w:r>
          </w:p>
        </w:tc>
      </w:tr>
      <w:tr w:rsidR="0045786E" w:rsidRPr="007012EB" w:rsidTr="00B26F14">
        <w:tc>
          <w:tcPr>
            <w:tcW w:w="0" w:type="auto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Intergenic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45.13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43.33%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23.89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42.79%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21.23</w:t>
            </w:r>
          </w:p>
        </w:tc>
        <w:tc>
          <w:tcPr>
            <w:tcW w:w="907" w:type="dxa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43.94%</w:t>
            </w:r>
          </w:p>
        </w:tc>
      </w:tr>
      <w:tr w:rsidR="0045786E" w:rsidRPr="007012EB" w:rsidTr="00B26F14">
        <w:tc>
          <w:tcPr>
            <w:tcW w:w="0" w:type="auto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 xml:space="preserve">   repeat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27.11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26.03%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10.11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18.12%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17.00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color w:val="666666"/>
                <w:sz w:val="20"/>
              </w:rPr>
              <w:t>35.17%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20"/>
              </w:rPr>
            </w:pPr>
            <w:r w:rsidRPr="007012EB">
              <w:rPr>
                <w:rFonts w:asciiTheme="majorHAnsi" w:hAnsiTheme="majorHAnsi" w:cstheme="majorHAnsi"/>
                <w:b/>
                <w:sz w:val="20"/>
              </w:rPr>
              <w:t>GENES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 families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 genes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 families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 genes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#families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#genes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number of genes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11,705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19,901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9,029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13,917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2,676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FFFFFF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5,984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number of proteins (including isoforms)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20,815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14,538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6,277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species-specific singletons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4,364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4,364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1,995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1,995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2,369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2,369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 xml:space="preserve">species-specific gene families 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258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123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135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shared gene families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7,296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15,279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7,014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11,799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258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3,480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uniquely retained ancestral genes *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471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999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189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311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282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688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genes with BLAST matches to SwissProt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8,337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6,978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genes with BLAST matches to TrEMBL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10,202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8,359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genes with InterPro domain matches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11,227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8,633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genes with Gene Ontology terms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7,804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6,030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5786E" w:rsidRPr="007012EB" w:rsidTr="00B26F14">
        <w:tc>
          <w:tcPr>
            <w:tcW w:w="0" w:type="auto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All genes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median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median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ratio of means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ratio of medians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 length (bp)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2966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2131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2295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1641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1.29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1.30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exon span (bp)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1269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978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1405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1074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0.90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0.91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exon count (#)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5.94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6.02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0.99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1.00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intron span (bp)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1697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1109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889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520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1.91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2.13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intron count (#)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4.94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5.02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0.98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1.00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tabs>
                <w:tab w:val="center" w:pos="1812"/>
              </w:tabs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Single-copy Orthologues **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median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median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ratio of means</w:t>
            </w:r>
          </w:p>
        </w:tc>
        <w:tc>
          <w:tcPr>
            <w:tcW w:w="907" w:type="dxa"/>
            <w:tcBorders>
              <w:top w:val="single" w:sz="12" w:space="0" w:color="FFFFFF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ratio of medians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gene length (bp)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3716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2776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2579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1929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1.44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1.44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exon span (bp)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1615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1278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1581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1253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1.02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1.02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exon count (#)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7.64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6.96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1.10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1.00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intron span (bp)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2101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1475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998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635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2.11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2.32</w:t>
            </w:r>
          </w:p>
        </w:tc>
      </w:tr>
      <w:tr w:rsidR="0045786E" w:rsidRPr="007012EB" w:rsidTr="00B26F14"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hAnsiTheme="majorHAnsi" w:cstheme="majorHAnsi"/>
                <w:sz w:val="20"/>
              </w:rPr>
              <w:t>intron count (#)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3716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2776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2579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1929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1.44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nil"/>
              <w:bottom w:val="single" w:sz="12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right"/>
              <w:rPr>
                <w:rFonts w:asciiTheme="majorHAnsi" w:hAnsiTheme="majorHAnsi" w:cstheme="majorHAnsi"/>
                <w:sz w:val="20"/>
              </w:rPr>
            </w:pPr>
            <w:r w:rsidRPr="007012EB">
              <w:rPr>
                <w:rFonts w:asciiTheme="majorHAnsi" w:eastAsia="Arial" w:hAnsiTheme="majorHAnsi" w:cstheme="majorHAnsi"/>
                <w:sz w:val="20"/>
              </w:rPr>
              <w:t>1.44</w:t>
            </w:r>
          </w:p>
        </w:tc>
      </w:tr>
    </w:tbl>
    <w:p w:rsidR="0045786E" w:rsidRPr="007012EB" w:rsidRDefault="0045786E" w:rsidP="0045786E">
      <w:pPr>
        <w:pStyle w:val="Normal1"/>
      </w:pPr>
    </w:p>
    <w:p w:rsidR="0045786E" w:rsidRPr="007012EB" w:rsidRDefault="0045786E" w:rsidP="0045786E">
      <w:pPr>
        <w:pStyle w:val="Normal1"/>
      </w:pPr>
      <w:r w:rsidRPr="007012EB">
        <w:t xml:space="preserve">* Uniquely retained ancestral genes include genes shared by only one Tardigrade and at least one non-Tardigrade taxon. </w:t>
      </w:r>
    </w:p>
    <w:p w:rsidR="0045786E" w:rsidRPr="007012EB" w:rsidRDefault="0045786E" w:rsidP="0045786E">
      <w:pPr>
        <w:pStyle w:val="Normal1"/>
      </w:pPr>
      <w:r w:rsidRPr="007012EB">
        <w:t xml:space="preserve">** Single-copy Orthologues: orthologues with CDS lengths differing by more than 20% were not considered. </w:t>
      </w:r>
    </w:p>
    <w:p w:rsidR="0045786E" w:rsidRPr="007012EB" w:rsidRDefault="0045786E" w:rsidP="0045786E">
      <w:pPr>
        <w:pStyle w:val="Normal1"/>
      </w:pPr>
    </w:p>
    <w:p w:rsidR="0045786E" w:rsidRPr="007012EB" w:rsidRDefault="0045786E" w:rsidP="0045786E">
      <w:pPr>
        <w:rPr>
          <w:rFonts w:ascii="Times" w:eastAsia="Times New Roman" w:hAnsi="Times" w:cs="Times New Roman"/>
          <w:color w:val="auto"/>
          <w:sz w:val="20"/>
          <w:szCs w:val="20"/>
        </w:rPr>
      </w:pPr>
      <w:r w:rsidRPr="007012EB">
        <w:br w:type="page"/>
      </w:r>
    </w:p>
    <w:p w:rsidR="0045786E" w:rsidRDefault="0045786E" w:rsidP="0045786E">
      <w:pPr>
        <w:pStyle w:val="a3"/>
      </w:pPr>
      <w:bookmarkStart w:id="3" w:name="_Ref346887728"/>
      <w:bookmarkStart w:id="4" w:name="_Ref346887716"/>
      <w:r w:rsidRPr="007012EB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 w:rsidRPr="007012EB">
        <w:t xml:space="preserve"> </w:t>
      </w:r>
      <w:bookmarkEnd w:id="4"/>
      <w:r w:rsidRPr="007012EB">
        <w:t>Gene family births that support different relationships of Tardigrada</w:t>
      </w:r>
    </w:p>
    <w:p w:rsidR="0045786E" w:rsidRPr="006D793F" w:rsidRDefault="0045786E" w:rsidP="0045786E"/>
    <w:tbl>
      <w:tblPr>
        <w:tblStyle w:val="4"/>
        <w:tblW w:w="4964" w:type="pct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413"/>
        <w:gridCol w:w="854"/>
        <w:gridCol w:w="1087"/>
        <w:gridCol w:w="1070"/>
        <w:gridCol w:w="1064"/>
        <w:gridCol w:w="1034"/>
        <w:gridCol w:w="3049"/>
      </w:tblGrid>
      <w:tr w:rsidR="0045786E" w:rsidRPr="007012EB" w:rsidTr="00B26F14">
        <w:trPr>
          <w:jc w:val="center"/>
        </w:trPr>
        <w:tc>
          <w:tcPr>
            <w:tcW w:w="738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Protein </w:t>
            </w: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Family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*</w:t>
            </w:r>
          </w:p>
        </w:tc>
        <w:tc>
          <w:tcPr>
            <w:tcW w:w="446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Number of proteins</w:t>
            </w:r>
          </w:p>
        </w:tc>
        <w:tc>
          <w:tcPr>
            <w:tcW w:w="2223" w:type="pct"/>
            <w:gridSpan w:val="4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Proportion of proteomes represented</w:t>
            </w:r>
          </w:p>
        </w:tc>
        <w:tc>
          <w:tcPr>
            <w:tcW w:w="1593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Domain annotations*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*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vMerge/>
            <w:tcBorders>
              <w:left w:val="nil"/>
              <w:bottom w:val="single" w:sz="8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46" w:type="pct"/>
            <w:vMerge/>
            <w:tcBorders>
              <w:left w:val="nil"/>
              <w:bottom w:val="single" w:sz="8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all</w:t>
            </w:r>
          </w:p>
        </w:tc>
        <w:tc>
          <w:tcPr>
            <w:tcW w:w="559" w:type="pct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Nematoda (n=9)</w:t>
            </w:r>
          </w:p>
        </w:tc>
        <w:tc>
          <w:tcPr>
            <w:tcW w:w="556" w:type="pct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Arthropoda (n=15)</w:t>
            </w:r>
          </w:p>
        </w:tc>
        <w:tc>
          <w:tcPr>
            <w:tcW w:w="540" w:type="pct"/>
            <w:tcBorders>
              <w:top w:val="single" w:sz="3" w:space="0" w:color="000000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Tardigrada (n=2)</w:t>
            </w:r>
          </w:p>
        </w:tc>
        <w:tc>
          <w:tcPr>
            <w:tcW w:w="1593" w:type="pct"/>
            <w:vMerge/>
            <w:tcBorders>
              <w:left w:val="nil"/>
              <w:bottom w:val="single" w:sz="8" w:space="0" w:color="000000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5786E" w:rsidRPr="007012EB" w:rsidTr="00B26F14">
        <w:trPr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Synapomorphies with membership ≥ 0.7 under the Panarthropoda (Tardigrada + Arthropoda) hypothesis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OG0000436</w:t>
            </w:r>
          </w:p>
        </w:tc>
        <w:tc>
          <w:tcPr>
            <w:tcW w:w="446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104</w:t>
            </w:r>
          </w:p>
        </w:tc>
        <w:tc>
          <w:tcPr>
            <w:tcW w:w="568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  <w:tcBorders>
              <w:top w:val="single" w:sz="6" w:space="0" w:color="auto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top w:val="single" w:sz="6" w:space="0" w:color="auto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Serine proteases, trypsin domain (IPR001254)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OG0001236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54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Major facilitator superfamily associated domain (IPR024989)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OG0002592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Spä</w:t>
            </w: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tzle (IPR032104)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OG0006538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Leucine-rich repeat (IPR001611)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OG0006541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OG0006869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Thioredoxin domain (IPR013766)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OG0005117</w:t>
            </w:r>
          </w:p>
        </w:tc>
        <w:tc>
          <w:tcPr>
            <w:tcW w:w="44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568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0.88</w:t>
            </w:r>
          </w:p>
        </w:tc>
        <w:tc>
          <w:tcPr>
            <w:tcW w:w="559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0.93</w:t>
            </w:r>
          </w:p>
        </w:tc>
        <w:tc>
          <w:tcPr>
            <w:tcW w:w="540" w:type="pct"/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0.50</w:t>
            </w:r>
          </w:p>
        </w:tc>
        <w:tc>
          <w:tcPr>
            <w:tcW w:w="1593" w:type="pct"/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BTB/POZ domain (IPR000210)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OG0005941</w:t>
            </w:r>
          </w:p>
        </w:tc>
        <w:tc>
          <w:tcPr>
            <w:tcW w:w="446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568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0.77</w:t>
            </w:r>
          </w:p>
        </w:tc>
        <w:tc>
          <w:tcPr>
            <w:tcW w:w="559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0.73</w:t>
            </w:r>
          </w:p>
        </w:tc>
        <w:tc>
          <w:tcPr>
            <w:tcW w:w="540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top w:val="nil"/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OG0006662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OG0006889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0.50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OG0006940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0.50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EGF-like domain (IPR000742), Laminin G domain (IPR001791)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OG0006941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EF-hand domain (IPR002048)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OG0006951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Adipokinetic hormone (IPR010475)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OG0007141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OG0007285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GPCR, family 2, secretin-like (IPR000832)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OG0007290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Allatostatin (IPR010276)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OG0007298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0.88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OG0007328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Sulfakinin (IPR013259)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OG0007463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0.77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Peptidase S1A, nudel (IPR015420), Serine proteases, trypsin domain (IPR001254), Low-density lipoprotein (LDL) receptor class A repeat (IPR002172)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OG0007689</w:t>
            </w:r>
          </w:p>
        </w:tc>
        <w:tc>
          <w:tcPr>
            <w:tcW w:w="446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568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0.71</w:t>
            </w:r>
          </w:p>
        </w:tc>
        <w:tc>
          <w:tcPr>
            <w:tcW w:w="559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56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</w:p>
        </w:tc>
        <w:tc>
          <w:tcPr>
            <w:tcW w:w="540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bottom w:val="single" w:sz="6" w:space="0" w:color="auto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Marvel domain (IPR008253)</w:t>
            </w:r>
          </w:p>
        </w:tc>
      </w:tr>
      <w:tr w:rsidR="0045786E" w:rsidRPr="007012EB" w:rsidTr="00B26F14">
        <w:trPr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Synapomorphies with membership ≥ 0.7 under the Tardigrada + Nematoda hypothesis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OG0005423</w:t>
            </w:r>
          </w:p>
        </w:tc>
        <w:tc>
          <w:tcPr>
            <w:tcW w:w="446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568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0.89</w:t>
            </w:r>
          </w:p>
        </w:tc>
        <w:tc>
          <w:tcPr>
            <w:tcW w:w="556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40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0.50</w:t>
            </w:r>
          </w:p>
        </w:tc>
        <w:tc>
          <w:tcPr>
            <w:tcW w:w="1593" w:type="pct"/>
            <w:tcBorders>
              <w:top w:val="single" w:sz="6" w:space="0" w:color="auto"/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Amidinotransferase (PF02274)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OG0006414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0.78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Proteolipid membrane potential modulator (IPR000612)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OG0007199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0.91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0.50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Zona pellucida domain (IPR001507)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OG0007812</w:t>
            </w:r>
          </w:p>
        </w:tc>
        <w:tc>
          <w:tcPr>
            <w:tcW w:w="44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568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0.78</w:t>
            </w:r>
          </w:p>
        </w:tc>
        <w:tc>
          <w:tcPr>
            <w:tcW w:w="556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None</w:t>
            </w:r>
          </w:p>
        </w:tc>
      </w:tr>
      <w:tr w:rsidR="0045786E" w:rsidRPr="007012EB" w:rsidTr="00B26F14">
        <w:trPr>
          <w:jc w:val="center"/>
        </w:trPr>
        <w:tc>
          <w:tcPr>
            <w:tcW w:w="738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b/>
                <w:sz w:val="18"/>
                <w:szCs w:val="18"/>
              </w:rPr>
              <w:t>OG0008368</w:t>
            </w:r>
          </w:p>
        </w:tc>
        <w:tc>
          <w:tcPr>
            <w:tcW w:w="446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568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</w:p>
        </w:tc>
        <w:tc>
          <w:tcPr>
            <w:tcW w:w="559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0.78</w:t>
            </w:r>
          </w:p>
        </w:tc>
        <w:tc>
          <w:tcPr>
            <w:tcW w:w="556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i/>
                <w:sz w:val="18"/>
                <w:szCs w:val="18"/>
              </w:rPr>
              <w:t>0.00</w:t>
            </w:r>
          </w:p>
        </w:tc>
        <w:tc>
          <w:tcPr>
            <w:tcW w:w="540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B26F14">
            <w:pPr>
              <w:pStyle w:val="Normal1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1.00</w:t>
            </w:r>
          </w:p>
        </w:tc>
        <w:tc>
          <w:tcPr>
            <w:tcW w:w="1593" w:type="pct"/>
            <w:tcBorders>
              <w:left w:val="nil"/>
              <w:bottom w:val="single" w:sz="12" w:space="0" w:color="auto"/>
              <w:right w:val="nil"/>
            </w:tcBorders>
          </w:tcPr>
          <w:p w:rsidR="0045786E" w:rsidRPr="007012EB" w:rsidRDefault="0045786E" w:rsidP="0045786E">
            <w:pPr>
              <w:pStyle w:val="Normal1"/>
              <w:ind w:leftChars="64" w:left="141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7012EB">
              <w:rPr>
                <w:rFonts w:asciiTheme="majorHAnsi" w:hAnsiTheme="majorHAnsi" w:cstheme="majorHAnsi"/>
                <w:sz w:val="18"/>
                <w:szCs w:val="18"/>
              </w:rPr>
              <w:t>RUN domain (IPR004012)</w:t>
            </w:r>
          </w:p>
        </w:tc>
      </w:tr>
    </w:tbl>
    <w:p w:rsidR="0045786E" w:rsidRPr="007012EB" w:rsidRDefault="0045786E" w:rsidP="0045786E">
      <w:pPr>
        <w:pStyle w:val="Normal1"/>
      </w:pPr>
    </w:p>
    <w:p w:rsidR="0045786E" w:rsidRDefault="0045786E" w:rsidP="0045786E">
      <w:pPr>
        <w:widowControl/>
        <w:spacing w:line="240" w:lineRule="auto"/>
        <w:jc w:val="left"/>
        <w:rPr>
          <w:rFonts w:eastAsia="Times New Roman"/>
        </w:rPr>
      </w:pPr>
      <w:r w:rsidRPr="007012EB">
        <w:rPr>
          <w:rFonts w:eastAsia="Times New Roman"/>
        </w:rPr>
        <w:t xml:space="preserve">* </w:t>
      </w:r>
      <w:r>
        <w:rPr>
          <w:rFonts w:eastAsia="Times New Roman"/>
        </w:rPr>
        <w:t>Protein families from OrthoFinder clustering at inflation value 1.5</w:t>
      </w:r>
    </w:p>
    <w:p w:rsidR="0045786E" w:rsidRPr="00EB3954" w:rsidRDefault="0045786E" w:rsidP="0045786E">
      <w:pPr>
        <w:widowControl/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</w:rPr>
      </w:pPr>
      <w:r>
        <w:rPr>
          <w:rFonts w:eastAsia="Times New Roman"/>
        </w:rPr>
        <w:t xml:space="preserve">* </w:t>
      </w:r>
      <w:r w:rsidRPr="007012EB">
        <w:rPr>
          <w:rFonts w:eastAsia="Times New Roman"/>
        </w:rPr>
        <w:t>Domain annotations are reported where proteins from more than one third of the proteomes in the family had that annotation. IPR = InterPro domain identifier; PF = PFam identifier.</w:t>
      </w:r>
    </w:p>
    <w:p w:rsidR="0045786E" w:rsidRDefault="0045786E" w:rsidP="0045786E">
      <w:pPr>
        <w:pStyle w:val="Normal1"/>
      </w:pPr>
    </w:p>
    <w:p w:rsidR="0045786E" w:rsidRDefault="0045786E" w:rsidP="0045786E">
      <w:pPr>
        <w:pStyle w:val="Normal1"/>
      </w:pPr>
    </w:p>
    <w:p w:rsidR="007F730C" w:rsidRDefault="007F730C">
      <w:bookmarkStart w:id="5" w:name="_GoBack"/>
      <w:bookmarkEnd w:id="5"/>
    </w:p>
    <w:sectPr w:rsidR="007F730C" w:rsidSect="00874739">
      <w:headerReference w:type="default" r:id="rId5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D4" w:rsidRDefault="0045786E" w:rsidP="005E79BA">
    <w:pPr>
      <w:pStyle w:val="Normal1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6E"/>
    <w:rsid w:val="0045786E"/>
    <w:rsid w:val="007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1B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86E"/>
    <w:pPr>
      <w:widowControl w:val="0"/>
      <w:spacing w:line="276" w:lineRule="auto"/>
      <w:jc w:val="both"/>
    </w:pPr>
    <w:rPr>
      <w:rFonts w:ascii="Gill Sans" w:hAnsi="Gill Sans" w:cs="Gill Sans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5786E"/>
    <w:pPr>
      <w:spacing w:line="276" w:lineRule="auto"/>
      <w:jc w:val="both"/>
    </w:pPr>
    <w:rPr>
      <w:rFonts w:ascii="Gill Sans" w:hAnsi="Gill Sans" w:cs="Gill Sans"/>
      <w:color w:val="000000"/>
      <w:kern w:val="0"/>
      <w:sz w:val="22"/>
      <w:szCs w:val="22"/>
    </w:rPr>
  </w:style>
  <w:style w:type="table" w:customStyle="1" w:styleId="4">
    <w:name w:val="4"/>
    <w:basedOn w:val="a1"/>
    <w:rsid w:val="0045786E"/>
    <w:pPr>
      <w:spacing w:line="276" w:lineRule="auto"/>
    </w:pPr>
    <w:rPr>
      <w:rFonts w:ascii="Gill Sans" w:hAnsi="Gill Sans" w:cs="Gill Sans"/>
      <w:color w:val="000000"/>
      <w:kern w:val="0"/>
      <w:sz w:val="22"/>
      <w:szCs w:val="22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45786E"/>
    <w:rPr>
      <w:b/>
      <w:bCs/>
      <w:sz w:val="21"/>
      <w:szCs w:val="21"/>
    </w:rPr>
  </w:style>
  <w:style w:type="character" w:styleId="a4">
    <w:name w:val="line number"/>
    <w:basedOn w:val="a0"/>
    <w:uiPriority w:val="99"/>
    <w:semiHidden/>
    <w:unhideWhenUsed/>
    <w:rsid w:val="00457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86E"/>
    <w:pPr>
      <w:widowControl w:val="0"/>
      <w:spacing w:line="276" w:lineRule="auto"/>
      <w:jc w:val="both"/>
    </w:pPr>
    <w:rPr>
      <w:rFonts w:ascii="Gill Sans" w:hAnsi="Gill Sans" w:cs="Gill Sans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5786E"/>
    <w:pPr>
      <w:spacing w:line="276" w:lineRule="auto"/>
      <w:jc w:val="both"/>
    </w:pPr>
    <w:rPr>
      <w:rFonts w:ascii="Gill Sans" w:hAnsi="Gill Sans" w:cs="Gill Sans"/>
      <w:color w:val="000000"/>
      <w:kern w:val="0"/>
      <w:sz w:val="22"/>
      <w:szCs w:val="22"/>
    </w:rPr>
  </w:style>
  <w:style w:type="table" w:customStyle="1" w:styleId="4">
    <w:name w:val="4"/>
    <w:basedOn w:val="a1"/>
    <w:rsid w:val="0045786E"/>
    <w:pPr>
      <w:spacing w:line="276" w:lineRule="auto"/>
    </w:pPr>
    <w:rPr>
      <w:rFonts w:ascii="Gill Sans" w:hAnsi="Gill Sans" w:cs="Gill Sans"/>
      <w:color w:val="000000"/>
      <w:kern w:val="0"/>
      <w:sz w:val="22"/>
      <w:szCs w:val="22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45786E"/>
    <w:rPr>
      <w:b/>
      <w:bCs/>
      <w:sz w:val="21"/>
      <w:szCs w:val="21"/>
    </w:rPr>
  </w:style>
  <w:style w:type="character" w:styleId="a4">
    <w:name w:val="line number"/>
    <w:basedOn w:val="a0"/>
    <w:uiPriority w:val="99"/>
    <w:semiHidden/>
    <w:unhideWhenUsed/>
    <w:rsid w:val="004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4290</Characters>
  <Application>Microsoft Macintosh Word</Application>
  <DocSecurity>0</DocSecurity>
  <Lines>78</Lines>
  <Paragraphs>23</Paragraphs>
  <ScaleCrop>false</ScaleCrop>
  <Company>慶応義塾大学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荒川 和晴</dc:creator>
  <cp:keywords/>
  <dc:description/>
  <cp:lastModifiedBy>荒川 和晴</cp:lastModifiedBy>
  <cp:revision>1</cp:revision>
  <dcterms:created xsi:type="dcterms:W3CDTF">2017-02-20T09:30:00Z</dcterms:created>
  <dcterms:modified xsi:type="dcterms:W3CDTF">2017-02-20T09:31:00Z</dcterms:modified>
</cp:coreProperties>
</file>