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jc w:val="center"/>
      </w:pPr>
      <w:r>
        <w:rPr>
          <w:rFonts w:ascii="Calibri" w:hAnsi="Calibri"/>
          <w:b/>
          <w:color w:val="2E74B5"/>
          <w:sz w:val="21"/>
        </w:rPr>
        <w:t>QUALITY &amp; RELEASE READINESS</w:t>
      </w:r>
    </w:p>
    <w:p>
      <w:pPr>
        <w:pStyle w:val="Title"/>
        <w:jc w:val="center"/>
      </w:pPr>
      <w:r>
        <w:t>NegosyoOS</w:t>
        <w:br/>
        <w:t>Complete User Acceptance Test Plan</w:t>
      </w:r>
    </w:p>
    <w:p>
      <w:pPr>
        <w:pStyle w:val="Subtitle"/>
        <w:jc w:val="center"/>
      </w:pPr>
      <w:r>
        <w:t>Multi-tenant Business Operating System for Philippine SMEs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EEF5"/>
          </w:tcPr>
          <w:p>
            <w:r>
              <w:rPr>
                <w:rFonts w:ascii="Calibri" w:hAnsi="Calibri"/>
                <w:b/>
                <w:color w:val="1F4D78"/>
              </w:rPr>
              <w:t xml:space="preserve">Release decision: </w:t>
            </w:r>
            <w:r>
              <w:rPr>
                <w:rFonts w:ascii="Calibri" w:hAnsi="Calibri"/>
                <w:color w:val="1F4D78"/>
              </w:rPr>
              <w:t>UAT validates that representative business users can complete end-to-end work safely, accurately, and with appropriate Branch and tenant isolation before production release.</w:t>
            </w:r>
          </w:p>
        </w:tc>
      </w:tr>
    </w:tbl>
    <w:p>
      <w:pPr>
        <w:spacing w:after="0"/>
      </w:pPr>
    </w:p>
    <w:p>
      <w:pPr>
        <w:spacing w:after="720"/>
      </w:pPr>
    </w:p>
    <w:p>
      <w:pPr>
        <w:jc w:val="center"/>
      </w:pPr>
      <w:r>
        <w:rPr>
          <w:rFonts w:ascii="Calibri" w:hAnsi="Calibri"/>
          <w:b/>
          <w:color w:val="14213D"/>
          <w:sz w:val="20"/>
        </w:rPr>
        <w:t xml:space="preserve">Document version: </w:t>
      </w:r>
      <w:r>
        <w:rPr>
          <w:rFonts w:ascii="Calibri" w:hAnsi="Calibri"/>
          <w:color w:val="6B7280"/>
          <w:sz w:val="20"/>
        </w:rPr>
        <w:t>1.0</w:t>
        <w:br/>
      </w:r>
      <w:r>
        <w:rPr>
          <w:rFonts w:ascii="Calibri" w:hAnsi="Calibri"/>
          <w:b/>
          <w:color w:val="14213D"/>
          <w:sz w:val="20"/>
        </w:rPr>
        <w:t xml:space="preserve">Prepared: </w:t>
      </w:r>
      <w:r>
        <w:rPr>
          <w:rFonts w:ascii="Calibri" w:hAnsi="Calibri"/>
          <w:color w:val="6B7280"/>
          <w:sz w:val="20"/>
        </w:rPr>
        <w:t>30 August 2026</w:t>
        <w:br/>
      </w:r>
      <w:r>
        <w:rPr>
          <w:rFonts w:ascii="Calibri" w:hAnsi="Calibri"/>
          <w:b/>
          <w:color w:val="14213D"/>
          <w:sz w:val="20"/>
        </w:rPr>
        <w:t xml:space="preserve">Target locale: </w:t>
      </w:r>
      <w:r>
        <w:rPr>
          <w:rFonts w:ascii="Calibri" w:hAnsi="Calibri"/>
          <w:color w:val="6B7280"/>
          <w:sz w:val="20"/>
        </w:rPr>
        <w:t>Philippines (en-PH / fil-PH; PHP; Asia/Manila)</w:t>
        <w:br/>
      </w:r>
      <w:r>
        <w:rPr>
          <w:rFonts w:ascii="Calibri" w:hAnsi="Calibri"/>
          <w:b/>
          <w:color w:val="14213D"/>
          <w:sz w:val="20"/>
        </w:rPr>
        <w:t xml:space="preserve">Product baseline: </w:t>
      </w:r>
      <w:r>
        <w:rPr>
          <w:rFonts w:ascii="Calibri" w:hAnsi="Calibri"/>
          <w:color w:val="6B7280"/>
          <w:sz w:val="20"/>
        </w:rPr>
        <w:t>Repository state inspected 30 August 2026</w:t>
        <w:br/>
      </w:r>
      <w:r>
        <w:rPr>
          <w:rFonts w:ascii="Calibri" w:hAnsi="Calibri"/>
          <w:b/>
          <w:color w:val="14213D"/>
          <w:sz w:val="20"/>
        </w:rPr>
        <w:t xml:space="preserve">Classification: </w:t>
      </w:r>
      <w:r>
        <w:rPr>
          <w:rFonts w:ascii="Calibri" w:hAnsi="Calibri"/>
          <w:color w:val="6B7280"/>
          <w:sz w:val="20"/>
        </w:rPr>
        <w:t>Internal - UAT Working Document</w:t>
        <w:br/>
      </w:r>
    </w:p>
    <w:p>
      <w:r>
        <w:br w:type="page"/>
      </w:r>
    </w:p>
    <w:p>
      <w:pPr>
        <w:pStyle w:val="Heading1"/>
      </w:pPr>
      <w:r>
        <w:t>Document control</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shd w:fill="E8EEF5"/>
            <w:vAlign w:val="center"/>
          </w:tcPr>
          <w:p>
            <w:pPr>
              <w:keepNext/>
              <w:spacing w:after="0"/>
            </w:pPr>
            <w:r>
              <w:rPr>
                <w:rFonts w:ascii="Calibri" w:hAnsi="Calibri"/>
                <w:b/>
                <w:color w:val="14213D"/>
                <w:sz w:val="18"/>
              </w:rPr>
              <w:t>Field</w:t>
            </w:r>
          </w:p>
        </w:tc>
        <w:tc>
          <w:tcPr>
            <w:tcW w:type="dxa" w:w="6660"/>
            <w:tcMar>
              <w:top w:w="80" w:type="dxa"/>
              <w:start w:w="120" w:type="dxa"/>
              <w:bottom w:w="80" w:type="dxa"/>
              <w:end w:w="120" w:type="dxa"/>
            </w:tcMar>
            <w:shd w:fill="E8EEF5"/>
            <w:vAlign w:val="center"/>
          </w:tcPr>
          <w:p>
            <w:pPr>
              <w:keepNext/>
              <w:spacing w:after="0"/>
            </w:pPr>
            <w:r>
              <w:rPr>
                <w:rFonts w:ascii="Calibri" w:hAnsi="Calibri"/>
                <w:b/>
                <w:color w:val="14213D"/>
                <w:sz w:val="18"/>
              </w:rPr>
              <w:t>Value</w:t>
            </w:r>
          </w:p>
        </w:tc>
      </w:tr>
      <w:tr>
        <w:trPr>
          <w:cantSplit/>
        </w:trPr>
        <w:tc>
          <w:tcPr>
            <w:tcW w:type="dxa" w:w="2700"/>
            <w:vAlign w:val="center"/>
          </w:tcPr>
          <w:p>
            <w:pPr>
              <w:spacing w:after="0"/>
            </w:pPr>
            <w:r>
              <w:rPr>
                <w:rFonts w:ascii="Calibri" w:hAnsi="Calibri"/>
                <w:color w:val="14213D"/>
                <w:sz w:val="18"/>
              </w:rPr>
              <w:t>Owner</w:t>
            </w:r>
          </w:p>
        </w:tc>
        <w:tc>
          <w:tcPr>
            <w:tcW w:type="dxa" w:w="6660"/>
            <w:vAlign w:val="center"/>
          </w:tcPr>
          <w:p>
            <w:pPr>
              <w:spacing w:after="0"/>
            </w:pPr>
            <w:r>
              <w:rPr>
                <w:rFonts w:ascii="Calibri" w:hAnsi="Calibri"/>
                <w:color w:val="14213D"/>
                <w:sz w:val="18"/>
              </w:rPr>
              <w:t>Product Owner / UAT Lead</w:t>
            </w:r>
          </w:p>
        </w:tc>
      </w:tr>
      <w:tr>
        <w:trPr>
          <w:cantSplit/>
        </w:trPr>
        <w:tc>
          <w:tcPr>
            <w:tcW w:type="dxa" w:w="2700"/>
            <w:vAlign w:val="center"/>
          </w:tcPr>
          <w:p>
            <w:pPr>
              <w:spacing w:after="0"/>
            </w:pPr>
            <w:r>
              <w:rPr>
                <w:rFonts w:ascii="Calibri" w:hAnsi="Calibri"/>
                <w:color w:val="14213D"/>
                <w:sz w:val="18"/>
              </w:rPr>
              <w:t>Approvers</w:t>
            </w:r>
          </w:p>
        </w:tc>
        <w:tc>
          <w:tcPr>
            <w:tcW w:type="dxa" w:w="6660"/>
            <w:vAlign w:val="center"/>
          </w:tcPr>
          <w:p>
            <w:pPr>
              <w:spacing w:after="0"/>
            </w:pPr>
            <w:r>
              <w:rPr>
                <w:rFonts w:ascii="Calibri" w:hAnsi="Calibri"/>
                <w:color w:val="14213D"/>
                <w:sz w:val="18"/>
              </w:rPr>
              <w:t>Business Sponsor, Product Owner, Engineering Lead, Security/Privacy representative</w:t>
            </w:r>
          </w:p>
        </w:tc>
      </w:tr>
      <w:tr>
        <w:trPr>
          <w:cantSplit/>
        </w:trPr>
        <w:tc>
          <w:tcPr>
            <w:tcW w:type="dxa" w:w="2700"/>
            <w:vAlign w:val="center"/>
          </w:tcPr>
          <w:p>
            <w:pPr>
              <w:spacing w:after="0"/>
            </w:pPr>
            <w:r>
              <w:rPr>
                <w:rFonts w:ascii="Calibri" w:hAnsi="Calibri"/>
                <w:color w:val="14213D"/>
                <w:sz w:val="18"/>
              </w:rPr>
              <w:t>Purpose</w:t>
            </w:r>
          </w:p>
        </w:tc>
        <w:tc>
          <w:tcPr>
            <w:tcW w:type="dxa" w:w="6660"/>
            <w:vAlign w:val="center"/>
          </w:tcPr>
          <w:p>
            <w:pPr>
              <w:spacing w:after="0"/>
            </w:pPr>
            <w:r>
              <w:rPr>
                <w:rFonts w:ascii="Calibri" w:hAnsi="Calibri"/>
                <w:color w:val="14213D"/>
                <w:sz w:val="18"/>
              </w:rPr>
              <w:t>Plan, execute, evidence, and sign off business acceptance for NegosyoOS.</w:t>
            </w:r>
          </w:p>
        </w:tc>
      </w:tr>
      <w:tr>
        <w:trPr>
          <w:cantSplit/>
        </w:trPr>
        <w:tc>
          <w:tcPr>
            <w:tcW w:type="dxa" w:w="2700"/>
            <w:vAlign w:val="center"/>
          </w:tcPr>
          <w:p>
            <w:pPr>
              <w:spacing w:after="0"/>
            </w:pPr>
            <w:r>
              <w:rPr>
                <w:rFonts w:ascii="Calibri" w:hAnsi="Calibri"/>
                <w:color w:val="14213D"/>
                <w:sz w:val="18"/>
              </w:rPr>
              <w:t>Source baseline</w:t>
            </w:r>
          </w:p>
        </w:tc>
        <w:tc>
          <w:tcPr>
            <w:tcW w:type="dxa" w:w="6660"/>
            <w:vAlign w:val="center"/>
          </w:tcPr>
          <w:p>
            <w:pPr>
              <w:spacing w:after="0"/>
            </w:pPr>
            <w:r>
              <w:rPr>
                <w:rFonts w:ascii="Calibri" w:hAnsi="Calibri"/>
                <w:color w:val="14213D"/>
                <w:sz w:val="18"/>
              </w:rPr>
              <w:t>Implemented routes, Server Actions, domain packages, migrations, and automated tests in this repository.</w:t>
            </w:r>
          </w:p>
        </w:tc>
      </w:tr>
      <w:tr>
        <w:trPr>
          <w:cantSplit/>
        </w:trPr>
        <w:tc>
          <w:tcPr>
            <w:tcW w:type="dxa" w:w="2700"/>
            <w:vAlign w:val="center"/>
          </w:tcPr>
          <w:p>
            <w:pPr>
              <w:spacing w:after="0"/>
            </w:pPr>
            <w:r>
              <w:rPr>
                <w:rFonts w:ascii="Calibri" w:hAnsi="Calibri"/>
                <w:color w:val="14213D"/>
                <w:sz w:val="18"/>
              </w:rPr>
              <w:t>Automated baseline</w:t>
            </w:r>
          </w:p>
        </w:tc>
        <w:tc>
          <w:tcPr>
            <w:tcW w:type="dxa" w:w="6660"/>
            <w:vAlign w:val="center"/>
          </w:tcPr>
          <w:p>
            <w:pPr>
              <w:spacing w:after="0"/>
            </w:pPr>
            <w:r>
              <w:rPr>
                <w:rFonts w:ascii="Calibri" w:hAnsi="Calibri"/>
                <w:color w:val="14213D"/>
                <w:sz w:val="18"/>
              </w:rPr>
              <w:t>npm test: 51 test files and 168 tests passed on 30 August 2026.</w:t>
            </w:r>
          </w:p>
        </w:tc>
      </w:tr>
      <w:tr>
        <w:trPr>
          <w:cantSplit/>
        </w:trPr>
        <w:tc>
          <w:tcPr>
            <w:tcW w:type="dxa" w:w="2700"/>
            <w:vAlign w:val="center"/>
          </w:tcPr>
          <w:p>
            <w:pPr>
              <w:spacing w:after="0"/>
            </w:pPr>
            <w:r>
              <w:rPr>
                <w:rFonts w:ascii="Calibri" w:hAnsi="Calibri"/>
                <w:color w:val="14213D"/>
                <w:sz w:val="18"/>
              </w:rPr>
              <w:t>Outstanding technical gate</w:t>
            </w:r>
          </w:p>
        </w:tc>
        <w:tc>
          <w:tcPr>
            <w:tcW w:type="dxa" w:w="6660"/>
            <w:vAlign w:val="center"/>
          </w:tcPr>
          <w:p>
            <w:pPr>
              <w:spacing w:after="0"/>
            </w:pPr>
            <w:r>
              <w:rPr>
                <w:rFonts w:ascii="Calibri" w:hAnsi="Calibri"/>
                <w:color w:val="14213D"/>
                <w:sz w:val="18"/>
              </w:rPr>
              <w:t>Run the local Supabase database/RLS suite and record results before UAT entry.</w:t>
            </w:r>
          </w:p>
        </w:tc>
      </w:tr>
    </w:tbl>
    <w:p>
      <w:pPr>
        <w:spacing w:after="0"/>
      </w:pPr>
    </w:p>
    <w:p>
      <w:pPr>
        <w:pStyle w:val="Heading2"/>
      </w:pPr>
      <w:r>
        <w:t>Revision history</w:t>
      </w:r>
    </w:p>
    <w:tbl>
      <w:tblPr>
        <w:tblStyle w:val="TableGrid"/>
        <w:tblW w:type="dxa" w:w="9360"/>
        <w:tblLayout w:type="fixed"/>
        <w:tblLook w:firstColumn="1" w:firstRow="1" w:lastColumn="0" w:lastRow="0" w:noHBand="0" w:noVBand="1" w:val="04A0"/>
        <w:tblInd w:w="120" w:type="dxa"/>
      </w:tblPr>
      <w:tblGrid>
        <w:gridCol w:w="1100"/>
        <w:gridCol w:w="1500"/>
        <w:gridCol w:w="1800"/>
        <w:gridCol w:w="4960"/>
      </w:tblGrid>
      <w:tr>
        <w:trPr>
          <w:tblHeader w:val="true"/>
          <w:cantSplit/>
        </w:trPr>
        <w:tc>
          <w:tcPr>
            <w:tcW w:type="dxa" w:w="1100"/>
            <w:tcMar>
              <w:top w:w="80" w:type="dxa"/>
              <w:start w:w="120" w:type="dxa"/>
              <w:bottom w:w="80" w:type="dxa"/>
              <w:end w:w="120" w:type="dxa"/>
            </w:tcMar>
            <w:shd w:fill="E8EEF5"/>
            <w:vAlign w:val="center"/>
          </w:tcPr>
          <w:p>
            <w:pPr>
              <w:keepNext/>
              <w:spacing w:after="0"/>
            </w:pPr>
            <w:r>
              <w:rPr>
                <w:rFonts w:ascii="Calibri" w:hAnsi="Calibri"/>
                <w:b/>
                <w:color w:val="14213D"/>
                <w:sz w:val="18"/>
              </w:rPr>
              <w:t>Version</w:t>
            </w:r>
          </w:p>
        </w:tc>
        <w:tc>
          <w:tcPr>
            <w:tcW w:type="dxa" w:w="1500"/>
            <w:tcMar>
              <w:top w:w="80" w:type="dxa"/>
              <w:start w:w="120" w:type="dxa"/>
              <w:bottom w:w="80" w:type="dxa"/>
              <w:end w:w="120" w:type="dxa"/>
            </w:tcMar>
            <w:shd w:fill="E8EEF5"/>
            <w:vAlign w:val="center"/>
          </w:tcPr>
          <w:p>
            <w:pPr>
              <w:keepNext/>
              <w:spacing w:after="0"/>
            </w:pPr>
            <w:r>
              <w:rPr>
                <w:rFonts w:ascii="Calibri" w:hAnsi="Calibri"/>
                <w:b/>
                <w:color w:val="14213D"/>
                <w:sz w:val="18"/>
              </w:rPr>
              <w:t>Date</w:t>
            </w:r>
          </w:p>
        </w:tc>
        <w:tc>
          <w:tcPr>
            <w:tcW w:type="dxa" w:w="1800"/>
            <w:tcMar>
              <w:top w:w="80" w:type="dxa"/>
              <w:start w:w="120" w:type="dxa"/>
              <w:bottom w:w="80" w:type="dxa"/>
              <w:end w:w="120" w:type="dxa"/>
            </w:tcMar>
            <w:shd w:fill="E8EEF5"/>
            <w:vAlign w:val="center"/>
          </w:tcPr>
          <w:p>
            <w:pPr>
              <w:keepNext/>
              <w:spacing w:after="0"/>
            </w:pPr>
            <w:r>
              <w:rPr>
                <w:rFonts w:ascii="Calibri" w:hAnsi="Calibri"/>
                <w:b/>
                <w:color w:val="14213D"/>
                <w:sz w:val="18"/>
              </w:rPr>
              <w:t>Author</w:t>
            </w:r>
          </w:p>
        </w:tc>
        <w:tc>
          <w:tcPr>
            <w:tcW w:type="dxa" w:w="4960"/>
            <w:tcMar>
              <w:top w:w="80" w:type="dxa"/>
              <w:start w:w="120" w:type="dxa"/>
              <w:bottom w:w="80" w:type="dxa"/>
              <w:end w:w="120" w:type="dxa"/>
            </w:tcMar>
            <w:shd w:fill="E8EEF5"/>
            <w:vAlign w:val="center"/>
          </w:tcPr>
          <w:p>
            <w:pPr>
              <w:keepNext/>
              <w:spacing w:after="0"/>
            </w:pPr>
            <w:r>
              <w:rPr>
                <w:rFonts w:ascii="Calibri" w:hAnsi="Calibri"/>
                <w:b/>
                <w:color w:val="14213D"/>
                <w:sz w:val="18"/>
              </w:rPr>
              <w:t>Change</w:t>
            </w:r>
          </w:p>
        </w:tc>
      </w:tr>
      <w:tr>
        <w:trPr>
          <w:cantSplit/>
        </w:trPr>
        <w:tc>
          <w:tcPr>
            <w:tcW w:type="dxa" w:w="1100"/>
            <w:vAlign w:val="center"/>
          </w:tcPr>
          <w:p>
            <w:pPr>
              <w:spacing w:after="0"/>
            </w:pPr>
            <w:r>
              <w:rPr>
                <w:rFonts w:ascii="Calibri" w:hAnsi="Calibri"/>
                <w:color w:val="14213D"/>
                <w:sz w:val="18"/>
              </w:rPr>
              <w:t>1.0</w:t>
            </w:r>
          </w:p>
        </w:tc>
        <w:tc>
          <w:tcPr>
            <w:tcW w:type="dxa" w:w="1500"/>
            <w:vAlign w:val="center"/>
          </w:tcPr>
          <w:p>
            <w:pPr>
              <w:spacing w:after="0"/>
            </w:pPr>
            <w:r>
              <w:rPr>
                <w:rFonts w:ascii="Calibri" w:hAnsi="Calibri"/>
                <w:color w:val="14213D"/>
                <w:sz w:val="18"/>
              </w:rPr>
              <w:t>30 Aug 2026</w:t>
            </w:r>
          </w:p>
        </w:tc>
        <w:tc>
          <w:tcPr>
            <w:tcW w:type="dxa" w:w="1800"/>
            <w:vAlign w:val="center"/>
          </w:tcPr>
          <w:p>
            <w:pPr>
              <w:spacing w:after="0"/>
            </w:pPr>
            <w:r>
              <w:rPr>
                <w:rFonts w:ascii="Calibri" w:hAnsi="Calibri"/>
                <w:color w:val="14213D"/>
                <w:sz w:val="18"/>
              </w:rPr>
              <w:t>Codex</w:t>
            </w:r>
          </w:p>
        </w:tc>
        <w:tc>
          <w:tcPr>
            <w:tcW w:type="dxa" w:w="4960"/>
            <w:vAlign w:val="center"/>
          </w:tcPr>
          <w:p>
            <w:pPr>
              <w:spacing w:after="0"/>
            </w:pPr>
            <w:r>
              <w:rPr>
                <w:rFonts w:ascii="Calibri" w:hAnsi="Calibri"/>
                <w:color w:val="14213D"/>
                <w:sz w:val="18"/>
              </w:rPr>
              <w:t>Initial complete UAT plan based on current application implementation.</w:t>
            </w:r>
          </w:p>
        </w:tc>
      </w:tr>
    </w:tbl>
    <w:p>
      <w:pPr>
        <w:spacing w:after="0"/>
      </w:pPr>
    </w:p>
    <w:p>
      <w:pPr>
        <w:pStyle w:val="Heading2"/>
      </w:pPr>
      <w:r>
        <w:t>Approval record</w:t>
      </w:r>
    </w:p>
    <w:tbl>
      <w:tblPr>
        <w:tblStyle w:val="TableGrid"/>
        <w:tblW w:type="dxa" w:w="9360"/>
        <w:tblLayout w:type="fixed"/>
        <w:tblLook w:firstColumn="1" w:firstRow="1" w:lastColumn="0" w:lastRow="0" w:noHBand="0" w:noVBand="1" w:val="04A0"/>
        <w:tblInd w:w="120" w:type="dxa"/>
      </w:tblPr>
      <w:tblGrid>
        <w:gridCol w:w="1900"/>
        <w:gridCol w:w="2100"/>
        <w:gridCol w:w="3160"/>
        <w:gridCol w:w="2200"/>
      </w:tblGrid>
      <w:tr>
        <w:trPr>
          <w:tblHeader w:val="true"/>
          <w:cantSplit/>
        </w:trPr>
        <w:tc>
          <w:tcPr>
            <w:tcW w:type="dxa" w:w="1900"/>
            <w:tcMar>
              <w:top w:w="80" w:type="dxa"/>
              <w:start w:w="120" w:type="dxa"/>
              <w:bottom w:w="80" w:type="dxa"/>
              <w:end w:w="120" w:type="dxa"/>
            </w:tcMar>
            <w:shd w:fill="E8EEF5"/>
            <w:vAlign w:val="center"/>
          </w:tcPr>
          <w:p>
            <w:pPr>
              <w:keepNext/>
              <w:spacing w:after="0"/>
            </w:pPr>
            <w:r>
              <w:rPr>
                <w:rFonts w:ascii="Calibri" w:hAnsi="Calibri"/>
                <w:b/>
                <w:color w:val="14213D"/>
                <w:sz w:val="18"/>
              </w:rPr>
              <w:t>Role</w:t>
            </w:r>
          </w:p>
        </w:tc>
        <w:tc>
          <w:tcPr>
            <w:tcW w:type="dxa" w:w="2100"/>
            <w:tcMar>
              <w:top w:w="80" w:type="dxa"/>
              <w:start w:w="120" w:type="dxa"/>
              <w:bottom w:w="80" w:type="dxa"/>
              <w:end w:w="120" w:type="dxa"/>
            </w:tcMar>
            <w:shd w:fill="E8EEF5"/>
            <w:vAlign w:val="center"/>
          </w:tcPr>
          <w:p>
            <w:pPr>
              <w:keepNext/>
              <w:spacing w:after="0"/>
            </w:pPr>
            <w:r>
              <w:rPr>
                <w:rFonts w:ascii="Calibri" w:hAnsi="Calibri"/>
                <w:b/>
                <w:color w:val="14213D"/>
                <w:sz w:val="18"/>
              </w:rPr>
              <w:t>Name</w:t>
            </w:r>
          </w:p>
        </w:tc>
        <w:tc>
          <w:tcPr>
            <w:tcW w:type="dxa" w:w="3160"/>
            <w:tcMar>
              <w:top w:w="80" w:type="dxa"/>
              <w:start w:w="120" w:type="dxa"/>
              <w:bottom w:w="80" w:type="dxa"/>
              <w:end w:w="120" w:type="dxa"/>
            </w:tcMar>
            <w:shd w:fill="E8EEF5"/>
            <w:vAlign w:val="center"/>
          </w:tcPr>
          <w:p>
            <w:pPr>
              <w:keepNext/>
              <w:spacing w:after="0"/>
            </w:pPr>
            <w:r>
              <w:rPr>
                <w:rFonts w:ascii="Calibri" w:hAnsi="Calibri"/>
                <w:b/>
                <w:color w:val="14213D"/>
                <w:sz w:val="18"/>
              </w:rPr>
              <w:t>Decision</w:t>
            </w:r>
          </w:p>
        </w:tc>
        <w:tc>
          <w:tcPr>
            <w:tcW w:type="dxa" w:w="2200"/>
            <w:tcMar>
              <w:top w:w="80" w:type="dxa"/>
              <w:start w:w="120" w:type="dxa"/>
              <w:bottom w:w="80" w:type="dxa"/>
              <w:end w:w="120" w:type="dxa"/>
            </w:tcMar>
            <w:shd w:fill="E8EEF5"/>
            <w:vAlign w:val="center"/>
          </w:tcPr>
          <w:p>
            <w:pPr>
              <w:keepNext/>
              <w:spacing w:after="0"/>
            </w:pPr>
            <w:r>
              <w:rPr>
                <w:rFonts w:ascii="Calibri" w:hAnsi="Calibri"/>
                <w:b/>
                <w:color w:val="14213D"/>
                <w:sz w:val="18"/>
              </w:rPr>
              <w:t>Date / Signature</w:t>
            </w:r>
          </w:p>
        </w:tc>
      </w:tr>
      <w:tr>
        <w:trPr>
          <w:cantSplit/>
        </w:trPr>
        <w:tc>
          <w:tcPr>
            <w:tcW w:type="dxa" w:w="1900"/>
            <w:vAlign w:val="center"/>
          </w:tcPr>
          <w:p>
            <w:pPr>
              <w:spacing w:after="0"/>
            </w:pPr>
            <w:r>
              <w:rPr>
                <w:rFonts w:ascii="Calibri" w:hAnsi="Calibri"/>
                <w:color w:val="14213D"/>
                <w:sz w:val="18"/>
              </w:rPr>
              <w:t>Business Sponsor</w:t>
            </w:r>
          </w:p>
        </w:tc>
        <w:tc>
          <w:tcPr>
            <w:tcW w:type="dxa" w:w="2100"/>
            <w:vAlign w:val="center"/>
          </w:tcPr>
          <w:p>
            <w:pPr>
              <w:spacing w:after="0"/>
            </w:pPr>
            <w:r>
              <w:rPr>
                <w:rFonts w:ascii="Calibri" w:hAnsi="Calibri"/>
                <w:color w:val="14213D"/>
                <w:sz w:val="18"/>
              </w:rPr>
            </w:r>
          </w:p>
        </w:tc>
        <w:tc>
          <w:tcPr>
            <w:tcW w:type="dxa" w:w="3160"/>
            <w:vAlign w:val="center"/>
          </w:tcPr>
          <w:p>
            <w:pPr>
              <w:spacing w:after="0"/>
            </w:pPr>
            <w:r>
              <w:rPr>
                <w:rFonts w:ascii="Calibri" w:hAnsi="Calibri"/>
                <w:color w:val="14213D"/>
                <w:sz w:val="18"/>
              </w:rPr>
              <w:t>Approve / Approve with conditions / Reject</w:t>
            </w:r>
          </w:p>
        </w:tc>
        <w:tc>
          <w:tcPr>
            <w:tcW w:type="dxa" w:w="2200"/>
            <w:vAlign w:val="center"/>
          </w:tcPr>
          <w:p>
            <w:pPr>
              <w:spacing w:after="0"/>
            </w:pPr>
            <w:r>
              <w:rPr>
                <w:rFonts w:ascii="Calibri" w:hAnsi="Calibri"/>
                <w:color w:val="14213D"/>
                <w:sz w:val="18"/>
              </w:rPr>
            </w:r>
          </w:p>
        </w:tc>
      </w:tr>
      <w:tr>
        <w:trPr>
          <w:cantSplit/>
        </w:trPr>
        <w:tc>
          <w:tcPr>
            <w:tcW w:type="dxa" w:w="1900"/>
            <w:vAlign w:val="center"/>
          </w:tcPr>
          <w:p>
            <w:pPr>
              <w:spacing w:after="0"/>
            </w:pPr>
            <w:r>
              <w:rPr>
                <w:rFonts w:ascii="Calibri" w:hAnsi="Calibri"/>
                <w:color w:val="14213D"/>
                <w:sz w:val="18"/>
              </w:rPr>
              <w:t>Product Owner</w:t>
            </w:r>
          </w:p>
        </w:tc>
        <w:tc>
          <w:tcPr>
            <w:tcW w:type="dxa" w:w="2100"/>
            <w:vAlign w:val="center"/>
          </w:tcPr>
          <w:p>
            <w:pPr>
              <w:spacing w:after="0"/>
            </w:pPr>
            <w:r>
              <w:rPr>
                <w:rFonts w:ascii="Calibri" w:hAnsi="Calibri"/>
                <w:color w:val="14213D"/>
                <w:sz w:val="18"/>
              </w:rPr>
            </w:r>
          </w:p>
        </w:tc>
        <w:tc>
          <w:tcPr>
            <w:tcW w:type="dxa" w:w="3160"/>
            <w:vAlign w:val="center"/>
          </w:tcPr>
          <w:p>
            <w:pPr>
              <w:spacing w:after="0"/>
            </w:pPr>
            <w:r>
              <w:rPr>
                <w:rFonts w:ascii="Calibri" w:hAnsi="Calibri"/>
                <w:color w:val="14213D"/>
                <w:sz w:val="18"/>
              </w:rPr>
              <w:t>Approve / Approve with conditions / Reject</w:t>
            </w:r>
          </w:p>
        </w:tc>
        <w:tc>
          <w:tcPr>
            <w:tcW w:type="dxa" w:w="2200"/>
            <w:vAlign w:val="center"/>
          </w:tcPr>
          <w:p>
            <w:pPr>
              <w:spacing w:after="0"/>
            </w:pPr>
            <w:r>
              <w:rPr>
                <w:rFonts w:ascii="Calibri" w:hAnsi="Calibri"/>
                <w:color w:val="14213D"/>
                <w:sz w:val="18"/>
              </w:rPr>
            </w:r>
          </w:p>
        </w:tc>
      </w:tr>
      <w:tr>
        <w:trPr>
          <w:cantSplit/>
        </w:trPr>
        <w:tc>
          <w:tcPr>
            <w:tcW w:type="dxa" w:w="1900"/>
            <w:vAlign w:val="center"/>
          </w:tcPr>
          <w:p>
            <w:pPr>
              <w:spacing w:after="0"/>
            </w:pPr>
            <w:r>
              <w:rPr>
                <w:rFonts w:ascii="Calibri" w:hAnsi="Calibri"/>
                <w:color w:val="14213D"/>
                <w:sz w:val="18"/>
              </w:rPr>
              <w:t>UAT Lead</w:t>
            </w:r>
          </w:p>
        </w:tc>
        <w:tc>
          <w:tcPr>
            <w:tcW w:type="dxa" w:w="2100"/>
            <w:vAlign w:val="center"/>
          </w:tcPr>
          <w:p>
            <w:pPr>
              <w:spacing w:after="0"/>
            </w:pPr>
            <w:r>
              <w:rPr>
                <w:rFonts w:ascii="Calibri" w:hAnsi="Calibri"/>
                <w:color w:val="14213D"/>
                <w:sz w:val="18"/>
              </w:rPr>
            </w:r>
          </w:p>
        </w:tc>
        <w:tc>
          <w:tcPr>
            <w:tcW w:type="dxa" w:w="3160"/>
            <w:vAlign w:val="center"/>
          </w:tcPr>
          <w:p>
            <w:pPr>
              <w:spacing w:after="0"/>
            </w:pPr>
            <w:r>
              <w:rPr>
                <w:rFonts w:ascii="Calibri" w:hAnsi="Calibri"/>
                <w:color w:val="14213D"/>
                <w:sz w:val="18"/>
              </w:rPr>
              <w:t>Approve / Approve with conditions / Reject</w:t>
            </w:r>
          </w:p>
        </w:tc>
        <w:tc>
          <w:tcPr>
            <w:tcW w:type="dxa" w:w="2200"/>
            <w:vAlign w:val="center"/>
          </w:tcPr>
          <w:p>
            <w:pPr>
              <w:spacing w:after="0"/>
            </w:pPr>
            <w:r>
              <w:rPr>
                <w:rFonts w:ascii="Calibri" w:hAnsi="Calibri"/>
                <w:color w:val="14213D"/>
                <w:sz w:val="18"/>
              </w:rPr>
            </w:r>
          </w:p>
        </w:tc>
      </w:tr>
      <w:tr>
        <w:trPr>
          <w:cantSplit/>
        </w:trPr>
        <w:tc>
          <w:tcPr>
            <w:tcW w:type="dxa" w:w="1900"/>
            <w:vAlign w:val="center"/>
          </w:tcPr>
          <w:p>
            <w:pPr>
              <w:spacing w:after="0"/>
            </w:pPr>
            <w:r>
              <w:rPr>
                <w:rFonts w:ascii="Calibri" w:hAnsi="Calibri"/>
                <w:color w:val="14213D"/>
                <w:sz w:val="18"/>
              </w:rPr>
              <w:t>Engineering Lead</w:t>
            </w:r>
          </w:p>
        </w:tc>
        <w:tc>
          <w:tcPr>
            <w:tcW w:type="dxa" w:w="2100"/>
            <w:vAlign w:val="center"/>
          </w:tcPr>
          <w:p>
            <w:pPr>
              <w:spacing w:after="0"/>
            </w:pPr>
            <w:r>
              <w:rPr>
                <w:rFonts w:ascii="Calibri" w:hAnsi="Calibri"/>
                <w:color w:val="14213D"/>
                <w:sz w:val="18"/>
              </w:rPr>
            </w:r>
          </w:p>
        </w:tc>
        <w:tc>
          <w:tcPr>
            <w:tcW w:type="dxa" w:w="3160"/>
            <w:vAlign w:val="center"/>
          </w:tcPr>
          <w:p>
            <w:pPr>
              <w:spacing w:after="0"/>
            </w:pPr>
            <w:r>
              <w:rPr>
                <w:rFonts w:ascii="Calibri" w:hAnsi="Calibri"/>
                <w:color w:val="14213D"/>
                <w:sz w:val="18"/>
              </w:rPr>
              <w:t>Approve / Approve with conditions / Reject</w:t>
            </w:r>
          </w:p>
        </w:tc>
        <w:tc>
          <w:tcPr>
            <w:tcW w:type="dxa" w:w="2200"/>
            <w:vAlign w:val="center"/>
          </w:tcPr>
          <w:p>
            <w:pPr>
              <w:spacing w:after="0"/>
            </w:pPr>
            <w:r>
              <w:rPr>
                <w:rFonts w:ascii="Calibri" w:hAnsi="Calibri"/>
                <w:color w:val="14213D"/>
                <w:sz w:val="18"/>
              </w:rPr>
            </w:r>
          </w:p>
        </w:tc>
      </w:tr>
      <w:tr>
        <w:trPr>
          <w:cantSplit/>
        </w:trPr>
        <w:tc>
          <w:tcPr>
            <w:tcW w:type="dxa" w:w="1900"/>
            <w:vAlign w:val="center"/>
          </w:tcPr>
          <w:p>
            <w:pPr>
              <w:spacing w:after="0"/>
            </w:pPr>
            <w:r>
              <w:rPr>
                <w:rFonts w:ascii="Calibri" w:hAnsi="Calibri"/>
                <w:color w:val="14213D"/>
                <w:sz w:val="18"/>
              </w:rPr>
              <w:t>Security / Privacy</w:t>
            </w:r>
          </w:p>
        </w:tc>
        <w:tc>
          <w:tcPr>
            <w:tcW w:type="dxa" w:w="2100"/>
            <w:vAlign w:val="center"/>
          </w:tcPr>
          <w:p>
            <w:pPr>
              <w:spacing w:after="0"/>
            </w:pPr>
            <w:r>
              <w:rPr>
                <w:rFonts w:ascii="Calibri" w:hAnsi="Calibri"/>
                <w:color w:val="14213D"/>
                <w:sz w:val="18"/>
              </w:rPr>
            </w:r>
          </w:p>
        </w:tc>
        <w:tc>
          <w:tcPr>
            <w:tcW w:type="dxa" w:w="3160"/>
            <w:vAlign w:val="center"/>
          </w:tcPr>
          <w:p>
            <w:pPr>
              <w:spacing w:after="0"/>
            </w:pPr>
            <w:r>
              <w:rPr>
                <w:rFonts w:ascii="Calibri" w:hAnsi="Calibri"/>
                <w:color w:val="14213D"/>
                <w:sz w:val="18"/>
              </w:rPr>
              <w:t>Approve / Approve with conditions / Reject</w:t>
            </w:r>
          </w:p>
        </w:tc>
        <w:tc>
          <w:tcPr>
            <w:tcW w:type="dxa" w:w="2200"/>
            <w:vAlign w:val="center"/>
          </w:tcPr>
          <w:p>
            <w:pPr>
              <w:spacing w:after="0"/>
            </w:pPr>
            <w:r>
              <w:rPr>
                <w:rFonts w:ascii="Calibri" w:hAnsi="Calibri"/>
                <w:color w:val="14213D"/>
                <w:sz w:val="18"/>
              </w:rPr>
            </w:r>
          </w:p>
        </w:tc>
      </w:tr>
    </w:tbl>
    <w:p>
      <w:pPr>
        <w:spacing w:after="0"/>
      </w:pPr>
    </w:p>
    <w:p>
      <w:pPr>
        <w:pStyle w:val="Heading1"/>
      </w:pPr>
      <w:r>
        <w:t>Contents</w:t>
      </w:r>
    </w:p>
    <w:p>
      <w:pPr>
        <w:keepLines/>
        <w:numPr>
          <w:ilvl w:val="0"/>
          <w:numId w:val="10"/>
        </w:numPr>
      </w:pPr>
      <w:r>
        <w:t>1. Purpose and acceptance objectives</w:t>
      </w:r>
    </w:p>
    <w:p>
      <w:pPr>
        <w:keepLines/>
        <w:numPr>
          <w:ilvl w:val="0"/>
          <w:numId w:val="10"/>
        </w:numPr>
      </w:pPr>
      <w:r>
        <w:t>2. Product and release scope</w:t>
      </w:r>
    </w:p>
    <w:p>
      <w:pPr>
        <w:keepLines/>
        <w:numPr>
          <w:ilvl w:val="0"/>
          <w:numId w:val="10"/>
        </w:numPr>
      </w:pPr>
      <w:r>
        <w:t>3. UAT governance and responsibilities</w:t>
      </w:r>
    </w:p>
    <w:p>
      <w:pPr>
        <w:keepLines/>
        <w:numPr>
          <w:ilvl w:val="0"/>
          <w:numId w:val="10"/>
        </w:numPr>
      </w:pPr>
      <w:r>
        <w:t>4. Entry, suspension, resumption, and exit criteria</w:t>
      </w:r>
    </w:p>
    <w:p>
      <w:pPr>
        <w:keepLines/>
        <w:numPr>
          <w:ilvl w:val="0"/>
          <w:numId w:val="10"/>
        </w:numPr>
      </w:pPr>
      <w:r>
        <w:t>5. Environment, accounts, and test data</w:t>
      </w:r>
    </w:p>
    <w:p>
      <w:pPr>
        <w:keepLines/>
        <w:numPr>
          <w:ilvl w:val="0"/>
          <w:numId w:val="10"/>
        </w:numPr>
      </w:pPr>
      <w:r>
        <w:t>6. Execution method and evidence</w:t>
      </w:r>
    </w:p>
    <w:p>
      <w:pPr>
        <w:keepLines/>
        <w:numPr>
          <w:ilvl w:val="0"/>
          <w:numId w:val="10"/>
        </w:numPr>
      </w:pPr>
      <w:r>
        <w:t>7. Defect management and release decision</w:t>
      </w:r>
    </w:p>
    <w:p>
      <w:pPr>
        <w:keepLines/>
        <w:numPr>
          <w:ilvl w:val="0"/>
          <w:numId w:val="10"/>
        </w:numPr>
      </w:pPr>
      <w:r>
        <w:t>8. Schedule and reporting</w:t>
      </w:r>
    </w:p>
    <w:p>
      <w:pPr>
        <w:keepLines/>
        <w:numPr>
          <w:ilvl w:val="0"/>
          <w:numId w:val="10"/>
        </w:numPr>
      </w:pPr>
      <w:r>
        <w:t>9. End-to-end business journeys</w:t>
      </w:r>
    </w:p>
    <w:p>
      <w:pPr>
        <w:keepLines/>
        <w:numPr>
          <w:ilvl w:val="0"/>
          <w:numId w:val="10"/>
        </w:numPr>
      </w:pPr>
      <w:r>
        <w:t>10. Detailed UAT scenario catalog</w:t>
      </w:r>
    </w:p>
    <w:p>
      <w:pPr>
        <w:keepLines/>
        <w:numPr>
          <w:ilvl w:val="0"/>
          <w:numId w:val="10"/>
        </w:numPr>
      </w:pPr>
      <w:r>
        <w:t>11. Non-functional acceptance</w:t>
      </w:r>
    </w:p>
    <w:p>
      <w:pPr>
        <w:keepLines/>
        <w:numPr>
          <w:ilvl w:val="0"/>
          <w:numId w:val="10"/>
        </w:numPr>
      </w:pPr>
      <w:r>
        <w:t>12. Traceability and coverage</w:t>
      </w:r>
    </w:p>
    <w:p>
      <w:pPr>
        <w:keepLines/>
        <w:numPr>
          <w:ilvl w:val="0"/>
          <w:numId w:val="10"/>
        </w:numPr>
      </w:pPr>
      <w:r>
        <w:t>13. Sign-off</w:t>
      </w:r>
    </w:p>
    <w:p>
      <w:pPr>
        <w:keepLines/>
        <w:numPr>
          <w:ilvl w:val="0"/>
          <w:numId w:val="10"/>
        </w:numPr>
      </w:pPr>
      <w:r>
        <w:t>Appendix A. Test case and defect templates</w:t>
      </w:r>
    </w:p>
    <w:p>
      <w:pPr>
        <w:keepLines/>
        <w:numPr>
          <w:ilvl w:val="0"/>
          <w:numId w:val="10"/>
        </w:numPr>
      </w:pPr>
      <w:r>
        <w:t>Appendix B. Daily execution checklist</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DCFCE7"/>
          </w:tcPr>
          <w:p>
            <w:r>
              <w:rPr>
                <w:rFonts w:ascii="Calibri" w:hAnsi="Calibri"/>
                <w:b/>
                <w:color w:val="166534"/>
              </w:rPr>
              <w:t xml:space="preserve">How to use this plan: </w:t>
            </w:r>
            <w:r>
              <w:rPr>
                <w:rFonts w:ascii="Calibri" w:hAnsi="Calibri"/>
                <w:color w:val="166534"/>
              </w:rPr>
              <w:t>Execute Priority 0 journeys first, then Priority 1 domain scenarios. Record evidence for every result. Retest fixes in the same environment and run the named regression pack before sign-off.</w:t>
            </w:r>
          </w:p>
        </w:tc>
      </w:tr>
    </w:tbl>
    <w:p>
      <w:pPr>
        <w:spacing w:after="0"/>
      </w:pPr>
    </w:p>
    <w:p>
      <w:pPr>
        <w:pStyle w:val="Heading1"/>
      </w:pPr>
      <w:r>
        <w:t>1. Purpose and acceptance objectives</w:t>
      </w:r>
    </w:p>
    <w:p>
      <w:r>
        <w:t>This plan defines business-led acceptance of NegosyoOS as a reliable operating system for Philippine brick-and-mortar SMEs. It is not a substitute for unit, integration, security, or database policy testing; it uses those as entry evidence and concentrates on whether real users can complete meaningful work.</w:t>
      </w:r>
    </w:p>
    <w:p>
      <w:pPr>
        <w:pStyle w:val="Heading2"/>
      </w:pPr>
      <w:r>
        <w:t>Acceptance objectives</w:t>
      </w:r>
    </w:p>
    <w:p>
      <w:pPr>
        <w:keepLines/>
        <w:numPr>
          <w:ilvl w:val="0"/>
          <w:numId w:val="10"/>
        </w:numPr>
      </w:pPr>
      <w:r>
        <w:t>Confirm that an owner can register, create and brand a Business, select an industry Business OS, activate modules, and begin a 45-day trial.</w:t>
      </w:r>
    </w:p>
    <w:p>
      <w:pPr>
        <w:keepLines/>
        <w:numPr>
          <w:ilvl w:val="0"/>
          <w:numId w:val="10"/>
        </w:numPr>
      </w:pPr>
      <w:r>
        <w:t>Confirm that daily operations work end to end across catalog, inventory, POS/sales, CRM, expenses, quotations, invoices, purchasing, appointments, job orders, delivery, employees, attendance, loyalty, approvals, and notifications.</w:t>
      </w:r>
    </w:p>
    <w:p>
      <w:pPr>
        <w:keepLines/>
        <w:numPr>
          <w:ilvl w:val="0"/>
          <w:numId w:val="10"/>
        </w:numPr>
      </w:pPr>
      <w:r>
        <w:t>Confirm that tenant, Branch, role, capability, and plan boundaries fail closed in the UI, Server Actions, RPCs, storage, and database policies.</w:t>
      </w:r>
    </w:p>
    <w:p>
      <w:pPr>
        <w:keepLines/>
        <w:numPr>
          <w:ilvl w:val="0"/>
          <w:numId w:val="10"/>
        </w:numPr>
      </w:pPr>
      <w:r>
        <w:t>Confirm that configurable objects, forms, views, workflows, templates, and version recovery behave deterministically without executable tenant code.</w:t>
      </w:r>
    </w:p>
    <w:p>
      <w:pPr>
        <w:keepLines/>
        <w:numPr>
          <w:ilvl w:val="0"/>
          <w:numId w:val="10"/>
        </w:numPr>
      </w:pPr>
      <w:r>
        <w:t>Confirm that AI-assisted interviews, system configuration, advisor responses, recommendations, and health assessments stay within approved data and human-review boundaries.</w:t>
      </w:r>
    </w:p>
    <w:p>
      <w:pPr>
        <w:keepLines/>
        <w:numPr>
          <w:ilvl w:val="0"/>
          <w:numId w:val="10"/>
        </w:numPr>
      </w:pPr>
      <w:r>
        <w:t>Confirm acceptable usability, accessibility, responsive behavior, localization, evidence quality, auditability, recoverability, and operational readiness.</w:t>
      </w:r>
    </w:p>
    <w:p>
      <w:pPr>
        <w:pStyle w:val="Heading2"/>
      </w:pPr>
      <w:r>
        <w:t>Release acceptance principles</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80" w:type="dxa"/>
              <w:start w:w="120" w:type="dxa"/>
              <w:bottom w:w="80" w:type="dxa"/>
              <w:end w:w="120" w:type="dxa"/>
            </w:tcMar>
            <w:shd w:fill="E8EEF5"/>
            <w:vAlign w:val="center"/>
          </w:tcPr>
          <w:p>
            <w:pPr>
              <w:keepNext/>
              <w:spacing w:after="0"/>
            </w:pPr>
            <w:r>
              <w:rPr>
                <w:rFonts w:ascii="Calibri" w:hAnsi="Calibri"/>
                <w:b/>
                <w:color w:val="14213D"/>
                <w:sz w:val="18"/>
              </w:rPr>
              <w:t>Principle</w:t>
            </w:r>
          </w:p>
        </w:tc>
        <w:tc>
          <w:tcPr>
            <w:tcW w:type="dxa" w:w="7060"/>
            <w:tcMar>
              <w:top w:w="80" w:type="dxa"/>
              <w:start w:w="120" w:type="dxa"/>
              <w:bottom w:w="80" w:type="dxa"/>
              <w:end w:w="120" w:type="dxa"/>
            </w:tcMar>
            <w:shd w:fill="E8EEF5"/>
            <w:vAlign w:val="center"/>
          </w:tcPr>
          <w:p>
            <w:pPr>
              <w:keepNext/>
              <w:spacing w:after="0"/>
            </w:pPr>
            <w:r>
              <w:rPr>
                <w:rFonts w:ascii="Calibri" w:hAnsi="Calibri"/>
                <w:b/>
                <w:color w:val="14213D"/>
                <w:sz w:val="18"/>
              </w:rPr>
              <w:t>Acceptance interpretation</w:t>
            </w:r>
          </w:p>
        </w:tc>
      </w:tr>
      <w:tr>
        <w:trPr>
          <w:cantSplit/>
        </w:trPr>
        <w:tc>
          <w:tcPr>
            <w:tcW w:type="dxa" w:w="2300"/>
            <w:vAlign w:val="center"/>
          </w:tcPr>
          <w:p>
            <w:pPr>
              <w:spacing w:after="0"/>
            </w:pPr>
            <w:r>
              <w:rPr>
                <w:rFonts w:ascii="Calibri" w:hAnsi="Calibri"/>
                <w:color w:val="14213D"/>
                <w:sz w:val="18"/>
              </w:rPr>
              <w:t>Business outcome first</w:t>
            </w:r>
          </w:p>
        </w:tc>
        <w:tc>
          <w:tcPr>
            <w:tcW w:type="dxa" w:w="7060"/>
            <w:vAlign w:val="center"/>
          </w:tcPr>
          <w:p>
            <w:pPr>
              <w:spacing w:after="0"/>
            </w:pPr>
            <w:r>
              <w:rPr>
                <w:rFonts w:ascii="Calibri" w:hAnsi="Calibri"/>
                <w:color w:val="14213D"/>
                <w:sz w:val="18"/>
              </w:rPr>
              <w:t>A test passes only when the intended business record, totals, stock, status, and downstream effects are correct.</w:t>
            </w:r>
          </w:p>
        </w:tc>
      </w:tr>
      <w:tr>
        <w:trPr>
          <w:cantSplit/>
        </w:trPr>
        <w:tc>
          <w:tcPr>
            <w:tcW w:type="dxa" w:w="2300"/>
            <w:vAlign w:val="center"/>
          </w:tcPr>
          <w:p>
            <w:pPr>
              <w:spacing w:after="0"/>
            </w:pPr>
            <w:r>
              <w:rPr>
                <w:rFonts w:ascii="Calibri" w:hAnsi="Calibri"/>
                <w:color w:val="14213D"/>
                <w:sz w:val="18"/>
              </w:rPr>
              <w:t>Defense in depth</w:t>
            </w:r>
          </w:p>
        </w:tc>
        <w:tc>
          <w:tcPr>
            <w:tcW w:type="dxa" w:w="7060"/>
            <w:vAlign w:val="center"/>
          </w:tcPr>
          <w:p>
            <w:pPr>
              <w:spacing w:after="0"/>
            </w:pPr>
            <w:r>
              <w:rPr>
                <w:rFonts w:ascii="Calibri" w:hAnsi="Calibri"/>
                <w:color w:val="14213D"/>
                <w:sz w:val="18"/>
              </w:rPr>
              <w:t>Hidden UI is not sufficient; direct URL, alternate Business ID, crafted request, storage URL, and Branch-scope attempts must be denied.</w:t>
            </w:r>
          </w:p>
        </w:tc>
      </w:tr>
      <w:tr>
        <w:trPr>
          <w:cantSplit/>
        </w:trPr>
        <w:tc>
          <w:tcPr>
            <w:tcW w:type="dxa" w:w="2300"/>
            <w:vAlign w:val="center"/>
          </w:tcPr>
          <w:p>
            <w:pPr>
              <w:spacing w:after="0"/>
            </w:pPr>
            <w:r>
              <w:rPr>
                <w:rFonts w:ascii="Calibri" w:hAnsi="Calibri"/>
                <w:color w:val="14213D"/>
                <w:sz w:val="18"/>
              </w:rPr>
              <w:t>Philippine operating context</w:t>
            </w:r>
          </w:p>
        </w:tc>
        <w:tc>
          <w:tcPr>
            <w:tcW w:type="dxa" w:w="7060"/>
            <w:vAlign w:val="center"/>
          </w:tcPr>
          <w:p>
            <w:pPr>
              <w:spacing w:after="0"/>
            </w:pPr>
            <w:r>
              <w:rPr>
                <w:rFonts w:ascii="Calibri" w:hAnsi="Calibri"/>
                <w:color w:val="14213D"/>
                <w:sz w:val="18"/>
              </w:rPr>
              <w:t>PHP, Asia/Manila day boundaries, en-PH formatting, local addresses, mobile numbers, and common SME flows are used.</w:t>
            </w:r>
          </w:p>
        </w:tc>
      </w:tr>
      <w:tr>
        <w:trPr>
          <w:cantSplit/>
        </w:trPr>
        <w:tc>
          <w:tcPr>
            <w:tcW w:type="dxa" w:w="2300"/>
            <w:vAlign w:val="center"/>
          </w:tcPr>
          <w:p>
            <w:pPr>
              <w:spacing w:after="0"/>
            </w:pPr>
            <w:r>
              <w:rPr>
                <w:rFonts w:ascii="Calibri" w:hAnsi="Calibri"/>
                <w:color w:val="14213D"/>
                <w:sz w:val="18"/>
              </w:rPr>
              <w:t>Human control of AI</w:t>
            </w:r>
          </w:p>
        </w:tc>
        <w:tc>
          <w:tcPr>
            <w:tcW w:type="dxa" w:w="7060"/>
            <w:vAlign w:val="center"/>
          </w:tcPr>
          <w:p>
            <w:pPr>
              <w:spacing w:after="0"/>
            </w:pPr>
            <w:r>
              <w:rPr>
                <w:rFonts w:ascii="Calibri" w:hAnsi="Calibri"/>
                <w:color w:val="14213D"/>
                <w:sz w:val="18"/>
              </w:rPr>
              <w:t>AI proposals remain reviewable, bounded, auditable, reversible, and unable to emit or execute SQL/source code.</w:t>
            </w:r>
          </w:p>
        </w:tc>
      </w:tr>
      <w:tr>
        <w:trPr>
          <w:cantSplit/>
        </w:trPr>
        <w:tc>
          <w:tcPr>
            <w:tcW w:type="dxa" w:w="2300"/>
            <w:vAlign w:val="center"/>
          </w:tcPr>
          <w:p>
            <w:pPr>
              <w:spacing w:after="0"/>
            </w:pPr>
            <w:r>
              <w:rPr>
                <w:rFonts w:ascii="Calibri" w:hAnsi="Calibri"/>
                <w:color w:val="14213D"/>
                <w:sz w:val="18"/>
              </w:rPr>
              <w:t>Evidence over assertion</w:t>
            </w:r>
          </w:p>
        </w:tc>
        <w:tc>
          <w:tcPr>
            <w:tcW w:type="dxa" w:w="7060"/>
            <w:vAlign w:val="center"/>
          </w:tcPr>
          <w:p>
            <w:pPr>
              <w:spacing w:after="0"/>
            </w:pPr>
            <w:r>
              <w:rPr>
                <w:rFonts w:ascii="Calibri" w:hAnsi="Calibri"/>
                <w:color w:val="14213D"/>
                <w:sz w:val="18"/>
              </w:rPr>
              <w:t>Every pass has observable evidence; every failure has reproducible steps and impact.</w:t>
            </w:r>
          </w:p>
        </w:tc>
      </w:tr>
    </w:tbl>
    <w:p>
      <w:pPr>
        <w:spacing w:after="0"/>
      </w:pPr>
    </w:p>
    <w:p>
      <w:pPr>
        <w:pStyle w:val="Heading1"/>
      </w:pPr>
      <w:r>
        <w:t>2. Product and release scope</w:t>
      </w:r>
    </w:p>
    <w:p>
      <w:pPr>
        <w:pStyle w:val="Heading2"/>
      </w:pPr>
      <w:r>
        <w:t>In scope</w:t>
      </w:r>
    </w:p>
    <w:p>
      <w:pPr>
        <w:keepLines/>
        <w:numPr>
          <w:ilvl w:val="0"/>
          <w:numId w:val="10"/>
        </w:numPr>
      </w:pPr>
      <w:r>
        <w:t>Public pages, PWA metadata, authentication, email confirmation, password recovery, account profile and password changes.</w:t>
      </w:r>
    </w:p>
    <w:p>
      <w:pPr>
        <w:keepLines/>
        <w:numPr>
          <w:ilvl w:val="0"/>
          <w:numId w:val="10"/>
        </w:numPr>
      </w:pPr>
      <w:r>
        <w:t>Multi-Business dashboard, Business creation/switching, settings, branding, Branch management, subscription/trial surfaces.</w:t>
      </w:r>
    </w:p>
    <w:p>
      <w:pPr>
        <w:keepLines/>
        <w:numPr>
          <w:ilvl w:val="0"/>
          <w:numId w:val="10"/>
        </w:numPr>
      </w:pPr>
      <w:r>
        <w:t>Six system roles, custom roles, member role assignment, Branch grants, capability-aware navigation, and platform administration.</w:t>
      </w:r>
    </w:p>
    <w:p>
      <w:pPr>
        <w:keepLines/>
        <w:numPr>
          <w:ilvl w:val="0"/>
          <w:numId w:val="10"/>
        </w:numPr>
      </w:pPr>
      <w:r>
        <w:t>Module registry and dependencies; Retail Hardware, Food/Restaurant, and Salon/Service Business OS templates and updates.</w:t>
      </w:r>
    </w:p>
    <w:p>
      <w:pPr>
        <w:keepLines/>
        <w:numPr>
          <w:ilvl w:val="0"/>
          <w:numId w:val="10"/>
        </w:numPr>
      </w:pPr>
      <w:r>
        <w:t>Operational domains: catalog, inventory, POS/sales, CRM, expenses, quotations, invoicing/receivables, purchasing, appointments, job orders, delivery, employees, attendance, and loyalty.</w:t>
      </w:r>
    </w:p>
    <w:p>
      <w:pPr>
        <w:keepLines/>
        <w:numPr>
          <w:ilvl w:val="0"/>
          <w:numId w:val="10"/>
        </w:numPr>
      </w:pPr>
      <w:r>
        <w:t>Approvals, notification center/preferences/templates, audit history, dashboard attention items, coach progress, health assessments, and recommendations.</w:t>
      </w:r>
    </w:p>
    <w:p>
      <w:pPr>
        <w:keepLines/>
        <w:numPr>
          <w:ilvl w:val="0"/>
          <w:numId w:val="10"/>
        </w:numPr>
      </w:pPr>
      <w:r>
        <w:t>Dynamic object builder, record forms, configurable forms/views, workflow execution/retry, configuration history and restoration.</w:t>
      </w:r>
    </w:p>
    <w:p>
      <w:pPr>
        <w:pStyle w:val="Heading3"/>
      </w:pPr>
      <w:r>
        <w:t>AI, data exchange, and experience</w:t>
      </w:r>
    </w:p>
    <w:p>
      <w:pPr>
        <w:keepLines/>
        <w:numPr>
          <w:ilvl w:val="0"/>
          <w:numId w:val="10"/>
        </w:numPr>
      </w:pPr>
      <w:r>
        <w:t>AI Business Interview, System Builder, developer DSL review route, Business Advisor, and data-grounded recommendation behavior.</w:t>
      </w:r>
    </w:p>
    <w:p>
      <w:pPr>
        <w:keepLines/>
        <w:numPr>
          <w:ilvl w:val="0"/>
          <w:numId w:val="10"/>
        </w:numPr>
      </w:pPr>
      <w:r>
        <w:t>CSV import/export, quotation/purchase-order PDFs, receipt/proof/attachment storage, responsive/mobile navigation, and operational non-functional checks.</w:t>
      </w:r>
    </w:p>
    <w:p>
      <w:pPr>
        <w:pStyle w:val="Heading2"/>
      </w:pPr>
      <w:r>
        <w:t>Conditionally in scope</w:t>
      </w:r>
    </w:p>
    <w:p>
      <w:r>
        <w:t>The following are tested when configured in the target environment: Supabase email delivery and callback URLs, object storage, subscription provider integration, external AI provider, scheduled workflow dispatcher, and outbound notification channels. If any adapter is intentionally stubbed, acceptance covers the product's safe fallback and records a production-readiness condition.</w:t>
      </w:r>
    </w:p>
    <w:p>
      <w:pPr>
        <w:pStyle w:val="Heading2"/>
      </w:pPr>
      <w:r>
        <w:t>Out of scope</w:t>
      </w:r>
    </w:p>
    <w:p>
      <w:pPr>
        <w:keepLines/>
        <w:numPr>
          <w:ilvl w:val="0"/>
          <w:numId w:val="10"/>
        </w:numPr>
      </w:pPr>
      <w:r>
        <w:t>Native iOS/Android applications, offline mutation queues, push notifications, and background sync (deferred architecture).</w:t>
      </w:r>
    </w:p>
    <w:p>
      <w:pPr>
        <w:keepLines/>
        <w:numPr>
          <w:ilvl w:val="0"/>
          <w:numId w:val="10"/>
        </w:numPr>
      </w:pPr>
      <w:r>
        <w:t>Penetration testing, disaster-recovery exercises, and sustained load certification beyond the acceptance checks in this plan.</w:t>
      </w:r>
    </w:p>
    <w:p>
      <w:pPr>
        <w:keepLines/>
        <w:numPr>
          <w:ilvl w:val="0"/>
          <w:numId w:val="10"/>
        </w:numPr>
      </w:pPr>
      <w:r>
        <w:t>Provider contract certification for payment, SMS, email, logistics, or AI vendors unless separately commissioned.</w:t>
      </w:r>
    </w:p>
    <w:p>
      <w:pPr>
        <w:keepLines/>
        <w:numPr>
          <w:ilvl w:val="0"/>
          <w:numId w:val="10"/>
        </w:numPr>
      </w:pPr>
      <w:r>
        <w:t>Legal or tax certification of BIR invoicing, fiscal devices, accounting treatment, or statutory filings; these require specialist review.</w:t>
      </w:r>
    </w:p>
    <w:p>
      <w:pPr>
        <w:keepLines/>
        <w:numPr>
          <w:ilvl w:val="0"/>
          <w:numId w:val="10"/>
        </w:numPr>
      </w:pPr>
      <w:r>
        <w:t>Migration of production customer data and production cutover execution, which require separate runbooks.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EF3C7"/>
          </w:tcPr>
          <w:p>
            <w:r>
              <w:rPr>
                <w:rFonts w:ascii="Calibri" w:hAnsi="Calibri"/>
                <w:b/>
                <w:color w:val="92400E"/>
              </w:rPr>
              <w:t xml:space="preserve">Baseline note: </w:t>
            </w:r>
            <w:r>
              <w:rPr>
                <w:rFonts w:ascii="Calibri" w:hAnsi="Calibri"/>
                <w:color w:val="92400E"/>
              </w:rPr>
              <w:t>Repository documentation contains older phase language. This plan follows the current implemented routes, packages, migrations, and actions, including Phase 3+ operational modules and AI/trial/admin capabilities.</w:t>
            </w:r>
          </w:p>
        </w:tc>
      </w:tr>
    </w:tbl>
    <w:p>
      <w:pPr>
        <w:spacing w:after="0"/>
      </w:pPr>
    </w:p>
    <w:p>
      <w:pPr>
        <w:pStyle w:val="Heading1"/>
      </w:pPr>
      <w:r>
        <w:t>3. UAT governance and responsibilities</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80" w:type="dxa"/>
              <w:start w:w="120" w:type="dxa"/>
              <w:bottom w:w="80" w:type="dxa"/>
              <w:end w:w="120" w:type="dxa"/>
            </w:tcMar>
            <w:shd w:fill="E8EEF5"/>
            <w:vAlign w:val="center"/>
          </w:tcPr>
          <w:p>
            <w:pPr>
              <w:keepNext/>
              <w:spacing w:after="0"/>
            </w:pPr>
            <w:r>
              <w:rPr>
                <w:rFonts w:ascii="Calibri" w:hAnsi="Calibri"/>
                <w:b/>
                <w:color w:val="14213D"/>
                <w:sz w:val="18"/>
              </w:rPr>
              <w:t>Role</w:t>
            </w:r>
          </w:p>
        </w:tc>
        <w:tc>
          <w:tcPr>
            <w:tcW w:type="dxa" w:w="7160"/>
            <w:tcMar>
              <w:top w:w="80" w:type="dxa"/>
              <w:start w:w="120" w:type="dxa"/>
              <w:bottom w:w="80" w:type="dxa"/>
              <w:end w:w="120" w:type="dxa"/>
            </w:tcMar>
            <w:shd w:fill="E8EEF5"/>
            <w:vAlign w:val="center"/>
          </w:tcPr>
          <w:p>
            <w:pPr>
              <w:keepNext/>
              <w:spacing w:after="0"/>
            </w:pPr>
            <w:r>
              <w:rPr>
                <w:rFonts w:ascii="Calibri" w:hAnsi="Calibri"/>
                <w:b/>
                <w:color w:val="14213D"/>
                <w:sz w:val="18"/>
              </w:rPr>
              <w:t>Core responsibilities</w:t>
            </w:r>
          </w:p>
        </w:tc>
      </w:tr>
      <w:tr>
        <w:trPr>
          <w:cantSplit/>
        </w:trPr>
        <w:tc>
          <w:tcPr>
            <w:tcW w:type="dxa" w:w="2200"/>
            <w:vAlign w:val="center"/>
          </w:tcPr>
          <w:p>
            <w:pPr>
              <w:spacing w:after="0"/>
            </w:pPr>
            <w:r>
              <w:rPr>
                <w:rFonts w:ascii="Calibri" w:hAnsi="Calibri"/>
                <w:color w:val="14213D"/>
                <w:sz w:val="18"/>
              </w:rPr>
              <w:t>Business Sponsor</w:t>
            </w:r>
          </w:p>
        </w:tc>
        <w:tc>
          <w:tcPr>
            <w:tcW w:type="dxa" w:w="7160"/>
            <w:vAlign w:val="center"/>
          </w:tcPr>
          <w:p>
            <w:pPr>
              <w:spacing w:after="0"/>
            </w:pPr>
            <w:r>
              <w:rPr>
                <w:rFonts w:ascii="Calibri" w:hAnsi="Calibri"/>
                <w:color w:val="14213D"/>
                <w:sz w:val="18"/>
              </w:rPr>
              <w:t>Owns business acceptance, risk tolerance, conditional approval, and go-live decision.</w:t>
            </w:r>
          </w:p>
        </w:tc>
      </w:tr>
      <w:tr>
        <w:trPr>
          <w:cantSplit/>
        </w:trPr>
        <w:tc>
          <w:tcPr>
            <w:tcW w:type="dxa" w:w="2200"/>
            <w:vAlign w:val="center"/>
          </w:tcPr>
          <w:p>
            <w:pPr>
              <w:spacing w:after="0"/>
            </w:pPr>
            <w:r>
              <w:rPr>
                <w:rFonts w:ascii="Calibri" w:hAnsi="Calibri"/>
                <w:color w:val="14213D"/>
                <w:sz w:val="18"/>
              </w:rPr>
              <w:t>Product Owner</w:t>
            </w:r>
          </w:p>
        </w:tc>
        <w:tc>
          <w:tcPr>
            <w:tcW w:type="dxa" w:w="7160"/>
            <w:vAlign w:val="center"/>
          </w:tcPr>
          <w:p>
            <w:pPr>
              <w:spacing w:after="0"/>
            </w:pPr>
            <w:r>
              <w:rPr>
                <w:rFonts w:ascii="Calibri" w:hAnsi="Calibri"/>
                <w:color w:val="14213D"/>
                <w:sz w:val="18"/>
              </w:rPr>
              <w:t>Confirms scope and expected outcomes; prioritizes defects; owns requirements traceability.</w:t>
            </w:r>
          </w:p>
        </w:tc>
      </w:tr>
      <w:tr>
        <w:trPr>
          <w:cantSplit/>
        </w:trPr>
        <w:tc>
          <w:tcPr>
            <w:tcW w:type="dxa" w:w="2200"/>
            <w:vAlign w:val="center"/>
          </w:tcPr>
          <w:p>
            <w:pPr>
              <w:spacing w:after="0"/>
            </w:pPr>
            <w:r>
              <w:rPr>
                <w:rFonts w:ascii="Calibri" w:hAnsi="Calibri"/>
                <w:color w:val="14213D"/>
                <w:sz w:val="18"/>
              </w:rPr>
              <w:t>UAT Lead</w:t>
            </w:r>
          </w:p>
        </w:tc>
        <w:tc>
          <w:tcPr>
            <w:tcW w:type="dxa" w:w="7160"/>
            <w:vAlign w:val="center"/>
          </w:tcPr>
          <w:p>
            <w:pPr>
              <w:spacing w:after="0"/>
            </w:pPr>
            <w:r>
              <w:rPr>
                <w:rFonts w:ascii="Calibri" w:hAnsi="Calibri"/>
                <w:color w:val="14213D"/>
                <w:sz w:val="18"/>
              </w:rPr>
              <w:t>Controls plan, accounts, data, daily triage, execution metrics, evidence, retest, and final report.</w:t>
            </w:r>
          </w:p>
        </w:tc>
      </w:tr>
      <w:tr>
        <w:trPr>
          <w:cantSplit/>
        </w:trPr>
        <w:tc>
          <w:tcPr>
            <w:tcW w:type="dxa" w:w="2200"/>
            <w:vAlign w:val="center"/>
          </w:tcPr>
          <w:p>
            <w:pPr>
              <w:spacing w:after="0"/>
            </w:pPr>
            <w:r>
              <w:rPr>
                <w:rFonts w:ascii="Calibri" w:hAnsi="Calibri"/>
                <w:color w:val="14213D"/>
                <w:sz w:val="18"/>
              </w:rPr>
              <w:t>SME Testers</w:t>
            </w:r>
          </w:p>
        </w:tc>
        <w:tc>
          <w:tcPr>
            <w:tcW w:type="dxa" w:w="7160"/>
            <w:vAlign w:val="center"/>
          </w:tcPr>
          <w:p>
            <w:pPr>
              <w:spacing w:after="0"/>
            </w:pPr>
            <w:r>
              <w:rPr>
                <w:rFonts w:ascii="Calibri" w:hAnsi="Calibri"/>
                <w:color w:val="14213D"/>
                <w:sz w:val="18"/>
              </w:rPr>
              <w:t>Execute assigned journeys using realistic behavior; capture evidence; validate terminology and usability.</w:t>
            </w:r>
          </w:p>
        </w:tc>
      </w:tr>
      <w:tr>
        <w:trPr>
          <w:cantSplit/>
        </w:trPr>
        <w:tc>
          <w:tcPr>
            <w:tcW w:type="dxa" w:w="2200"/>
            <w:vAlign w:val="center"/>
          </w:tcPr>
          <w:p>
            <w:pPr>
              <w:spacing w:after="0"/>
            </w:pPr>
            <w:r>
              <w:rPr>
                <w:rFonts w:ascii="Calibri" w:hAnsi="Calibri"/>
                <w:color w:val="14213D"/>
                <w:sz w:val="18"/>
              </w:rPr>
              <w:t>Engineering</w:t>
            </w:r>
          </w:p>
        </w:tc>
        <w:tc>
          <w:tcPr>
            <w:tcW w:type="dxa" w:w="7160"/>
            <w:vAlign w:val="center"/>
          </w:tcPr>
          <w:p>
            <w:pPr>
              <w:spacing w:after="0"/>
            </w:pPr>
            <w:r>
              <w:rPr>
                <w:rFonts w:ascii="Calibri" w:hAnsi="Calibri"/>
                <w:color w:val="14213D"/>
                <w:sz w:val="18"/>
              </w:rPr>
              <w:t>Deploys stable builds, supplies logs/request IDs, diagnoses defects, fixes and communicates change scope.</w:t>
            </w:r>
          </w:p>
        </w:tc>
      </w:tr>
      <w:tr>
        <w:trPr>
          <w:cantSplit/>
        </w:trPr>
        <w:tc>
          <w:tcPr>
            <w:tcW w:type="dxa" w:w="2200"/>
            <w:vAlign w:val="center"/>
          </w:tcPr>
          <w:p>
            <w:pPr>
              <w:spacing w:after="0"/>
            </w:pPr>
            <w:r>
              <w:rPr>
                <w:rFonts w:ascii="Calibri" w:hAnsi="Calibri"/>
                <w:color w:val="14213D"/>
                <w:sz w:val="18"/>
              </w:rPr>
              <w:t>QA / Test Analyst</w:t>
            </w:r>
          </w:p>
        </w:tc>
        <w:tc>
          <w:tcPr>
            <w:tcW w:type="dxa" w:w="7160"/>
            <w:vAlign w:val="center"/>
          </w:tcPr>
          <w:p>
            <w:pPr>
              <w:spacing w:after="0"/>
            </w:pPr>
            <w:r>
              <w:rPr>
                <w:rFonts w:ascii="Calibri" w:hAnsi="Calibri"/>
                <w:color w:val="14213D"/>
                <w:sz w:val="18"/>
              </w:rPr>
              <w:t>Prepares data, supports exploratory testing, verifies reproduction, maintains regression packs.</w:t>
            </w:r>
          </w:p>
        </w:tc>
      </w:tr>
      <w:tr>
        <w:trPr>
          <w:cantSplit/>
        </w:trPr>
        <w:tc>
          <w:tcPr>
            <w:tcW w:type="dxa" w:w="2200"/>
            <w:vAlign w:val="center"/>
          </w:tcPr>
          <w:p>
            <w:pPr>
              <w:spacing w:after="0"/>
            </w:pPr>
            <w:r>
              <w:rPr>
                <w:rFonts w:ascii="Calibri" w:hAnsi="Calibri"/>
                <w:color w:val="14213D"/>
                <w:sz w:val="18"/>
              </w:rPr>
              <w:t>Security / Privacy</w:t>
            </w:r>
          </w:p>
        </w:tc>
        <w:tc>
          <w:tcPr>
            <w:tcW w:type="dxa" w:w="7160"/>
            <w:vAlign w:val="center"/>
          </w:tcPr>
          <w:p>
            <w:pPr>
              <w:spacing w:after="0"/>
            </w:pPr>
            <w:r>
              <w:rPr>
                <w:rFonts w:ascii="Calibri" w:hAnsi="Calibri"/>
                <w:color w:val="14213D"/>
                <w:sz w:val="18"/>
              </w:rPr>
              <w:t>Reviews access-control, tenant isolation, data handling, audit, and privacy-critical results.</w:t>
            </w:r>
          </w:p>
        </w:tc>
      </w:tr>
      <w:tr>
        <w:trPr>
          <w:cantSplit/>
        </w:trPr>
        <w:tc>
          <w:tcPr>
            <w:tcW w:type="dxa" w:w="2200"/>
            <w:vAlign w:val="center"/>
          </w:tcPr>
          <w:p>
            <w:pPr>
              <w:spacing w:after="0"/>
            </w:pPr>
            <w:r>
              <w:rPr>
                <w:rFonts w:ascii="Calibri" w:hAnsi="Calibri"/>
                <w:color w:val="14213D"/>
                <w:sz w:val="18"/>
              </w:rPr>
              <w:t>Operations / Support</w:t>
            </w:r>
          </w:p>
        </w:tc>
        <w:tc>
          <w:tcPr>
            <w:tcW w:type="dxa" w:w="7160"/>
            <w:vAlign w:val="center"/>
          </w:tcPr>
          <w:p>
            <w:pPr>
              <w:spacing w:after="0"/>
            </w:pPr>
            <w:r>
              <w:rPr>
                <w:rFonts w:ascii="Calibri" w:hAnsi="Calibri"/>
                <w:color w:val="14213D"/>
                <w:sz w:val="18"/>
              </w:rPr>
              <w:t>Validates support access, monitoring, help content, escalation, and launch readiness.</w:t>
            </w:r>
          </w:p>
        </w:tc>
      </w:tr>
    </w:tbl>
    <w:p>
      <w:pPr>
        <w:spacing w:after="0"/>
      </w:pPr>
    </w:p>
    <w:p>
      <w:pPr>
        <w:pStyle w:val="Heading2"/>
      </w:pPr>
      <w:r>
        <w:t>RACI for critical decisions</w:t>
      </w:r>
    </w:p>
    <w:tbl>
      <w:tblPr>
        <w:tblStyle w:val="TableGrid"/>
        <w:tblW w:type="dxa" w:w="9360"/>
        <w:tblLayout w:type="fixed"/>
        <w:tblLook w:firstColumn="1" w:firstRow="1" w:lastColumn="0" w:lastRow="0" w:noHBand="0" w:noVBand="1" w:val="04A0"/>
        <w:tblInd w:w="120" w:type="dxa"/>
      </w:tblPr>
      <w:tblGrid>
        <w:gridCol w:w="3100"/>
        <w:gridCol w:w="1565"/>
        <w:gridCol w:w="1565"/>
        <w:gridCol w:w="1565"/>
        <w:gridCol w:w="1565"/>
      </w:tblGrid>
      <w:tr>
        <w:trPr>
          <w:tblHeader w:val="true"/>
          <w:cantSplit/>
        </w:trPr>
        <w:tc>
          <w:tcPr>
            <w:tcW w:type="dxa" w:w="3100"/>
            <w:tcMar>
              <w:top w:w="80" w:type="dxa"/>
              <w:start w:w="120" w:type="dxa"/>
              <w:bottom w:w="80" w:type="dxa"/>
              <w:end w:w="120" w:type="dxa"/>
            </w:tcMar>
            <w:shd w:fill="E8EEF5"/>
            <w:vAlign w:val="center"/>
          </w:tcPr>
          <w:p>
            <w:pPr>
              <w:keepNext/>
              <w:spacing w:after="0"/>
            </w:pPr>
            <w:r>
              <w:rPr>
                <w:rFonts w:ascii="Calibri" w:hAnsi="Calibri"/>
                <w:b/>
                <w:color w:val="14213D"/>
                <w:sz w:val="18"/>
              </w:rPr>
              <w:t>Decision</w:t>
            </w:r>
          </w:p>
        </w:tc>
        <w:tc>
          <w:tcPr>
            <w:tcW w:type="dxa" w:w="1565"/>
            <w:tcMar>
              <w:top w:w="80" w:type="dxa"/>
              <w:start w:w="120" w:type="dxa"/>
              <w:bottom w:w="80" w:type="dxa"/>
              <w:end w:w="120" w:type="dxa"/>
            </w:tcMar>
            <w:shd w:fill="E8EEF5"/>
            <w:vAlign w:val="center"/>
          </w:tcPr>
          <w:p>
            <w:pPr>
              <w:keepNext/>
              <w:spacing w:after="0"/>
            </w:pPr>
            <w:r>
              <w:rPr>
                <w:rFonts w:ascii="Calibri" w:hAnsi="Calibri"/>
                <w:b/>
                <w:color w:val="14213D"/>
                <w:sz w:val="18"/>
              </w:rPr>
              <w:t>A</w:t>
            </w:r>
          </w:p>
        </w:tc>
        <w:tc>
          <w:tcPr>
            <w:tcW w:type="dxa" w:w="1565"/>
            <w:tcMar>
              <w:top w:w="80" w:type="dxa"/>
              <w:start w:w="120" w:type="dxa"/>
              <w:bottom w:w="80" w:type="dxa"/>
              <w:end w:w="120" w:type="dxa"/>
            </w:tcMar>
            <w:shd w:fill="E8EEF5"/>
            <w:vAlign w:val="center"/>
          </w:tcPr>
          <w:p>
            <w:pPr>
              <w:keepNext/>
              <w:spacing w:after="0"/>
            </w:pPr>
            <w:r>
              <w:rPr>
                <w:rFonts w:ascii="Calibri" w:hAnsi="Calibri"/>
                <w:b/>
                <w:color w:val="14213D"/>
                <w:sz w:val="18"/>
              </w:rPr>
              <w:t>R</w:t>
            </w:r>
          </w:p>
        </w:tc>
        <w:tc>
          <w:tcPr>
            <w:tcW w:type="dxa" w:w="1565"/>
            <w:tcMar>
              <w:top w:w="80" w:type="dxa"/>
              <w:start w:w="120" w:type="dxa"/>
              <w:bottom w:w="80" w:type="dxa"/>
              <w:end w:w="120" w:type="dxa"/>
            </w:tcMar>
            <w:shd w:fill="E8EEF5"/>
            <w:vAlign w:val="center"/>
          </w:tcPr>
          <w:p>
            <w:pPr>
              <w:keepNext/>
              <w:spacing w:after="0"/>
            </w:pPr>
            <w:r>
              <w:rPr>
                <w:rFonts w:ascii="Calibri" w:hAnsi="Calibri"/>
                <w:b/>
                <w:color w:val="14213D"/>
                <w:sz w:val="18"/>
              </w:rPr>
              <w:t>C</w:t>
            </w:r>
          </w:p>
        </w:tc>
        <w:tc>
          <w:tcPr>
            <w:tcW w:type="dxa" w:w="1565"/>
            <w:tcMar>
              <w:top w:w="80" w:type="dxa"/>
              <w:start w:w="120" w:type="dxa"/>
              <w:bottom w:w="80" w:type="dxa"/>
              <w:end w:w="120" w:type="dxa"/>
            </w:tcMar>
            <w:shd w:fill="E8EEF5"/>
            <w:vAlign w:val="center"/>
          </w:tcPr>
          <w:p>
            <w:pPr>
              <w:keepNext/>
              <w:spacing w:after="0"/>
            </w:pPr>
            <w:r>
              <w:rPr>
                <w:rFonts w:ascii="Calibri" w:hAnsi="Calibri"/>
                <w:b/>
                <w:color w:val="14213D"/>
                <w:sz w:val="18"/>
              </w:rPr>
              <w:t>I</w:t>
            </w:r>
          </w:p>
        </w:tc>
      </w:tr>
      <w:tr>
        <w:trPr>
          <w:cantSplit/>
        </w:trPr>
        <w:tc>
          <w:tcPr>
            <w:tcW w:type="dxa" w:w="3100"/>
            <w:vAlign w:val="center"/>
          </w:tcPr>
          <w:p>
            <w:pPr>
              <w:spacing w:after="0"/>
            </w:pPr>
            <w:r>
              <w:rPr>
                <w:rFonts w:ascii="Calibri" w:hAnsi="Calibri"/>
                <w:color w:val="14213D"/>
                <w:sz w:val="18"/>
              </w:rPr>
              <w:t>Enter UAT</w:t>
            </w:r>
          </w:p>
        </w:tc>
        <w:tc>
          <w:tcPr>
            <w:tcW w:type="dxa" w:w="1565"/>
            <w:vAlign w:val="center"/>
          </w:tcPr>
          <w:p>
            <w:pPr>
              <w:spacing w:after="0"/>
            </w:pPr>
            <w:r>
              <w:rPr>
                <w:rFonts w:ascii="Calibri" w:hAnsi="Calibri"/>
                <w:color w:val="14213D"/>
                <w:sz w:val="18"/>
              </w:rPr>
              <w:t>Product Owner</w:t>
            </w:r>
          </w:p>
        </w:tc>
        <w:tc>
          <w:tcPr>
            <w:tcW w:type="dxa" w:w="1565"/>
            <w:vAlign w:val="center"/>
          </w:tcPr>
          <w:p>
            <w:pPr>
              <w:spacing w:after="0"/>
            </w:pPr>
            <w:r>
              <w:rPr>
                <w:rFonts w:ascii="Calibri" w:hAnsi="Calibri"/>
                <w:color w:val="14213D"/>
                <w:sz w:val="18"/>
              </w:rPr>
              <w:t>UAT Lead</w:t>
            </w:r>
          </w:p>
        </w:tc>
        <w:tc>
          <w:tcPr>
            <w:tcW w:type="dxa" w:w="1565"/>
            <w:vAlign w:val="center"/>
          </w:tcPr>
          <w:p>
            <w:pPr>
              <w:spacing w:after="0"/>
            </w:pPr>
            <w:r>
              <w:rPr>
                <w:rFonts w:ascii="Calibri" w:hAnsi="Calibri"/>
                <w:color w:val="14213D"/>
                <w:sz w:val="18"/>
              </w:rPr>
              <w:t>Engineering, Security</w:t>
            </w:r>
          </w:p>
        </w:tc>
        <w:tc>
          <w:tcPr>
            <w:tcW w:type="dxa" w:w="1565"/>
            <w:vAlign w:val="center"/>
          </w:tcPr>
          <w:p>
            <w:pPr>
              <w:spacing w:after="0"/>
            </w:pPr>
            <w:r>
              <w:rPr>
                <w:rFonts w:ascii="Calibri" w:hAnsi="Calibri"/>
                <w:color w:val="14213D"/>
                <w:sz w:val="18"/>
              </w:rPr>
              <w:t>Sponsor, Testers</w:t>
            </w:r>
          </w:p>
        </w:tc>
      </w:tr>
      <w:tr>
        <w:trPr>
          <w:cantSplit/>
        </w:trPr>
        <w:tc>
          <w:tcPr>
            <w:tcW w:type="dxa" w:w="3100"/>
            <w:vAlign w:val="center"/>
          </w:tcPr>
          <w:p>
            <w:pPr>
              <w:spacing w:after="0"/>
            </w:pPr>
            <w:r>
              <w:rPr>
                <w:rFonts w:ascii="Calibri" w:hAnsi="Calibri"/>
                <w:color w:val="14213D"/>
                <w:sz w:val="18"/>
              </w:rPr>
              <w:t>Defect severity</w:t>
            </w:r>
          </w:p>
        </w:tc>
        <w:tc>
          <w:tcPr>
            <w:tcW w:type="dxa" w:w="1565"/>
            <w:vAlign w:val="center"/>
          </w:tcPr>
          <w:p>
            <w:pPr>
              <w:spacing w:after="0"/>
            </w:pPr>
            <w:r>
              <w:rPr>
                <w:rFonts w:ascii="Calibri" w:hAnsi="Calibri"/>
                <w:color w:val="14213D"/>
                <w:sz w:val="18"/>
              </w:rPr>
              <w:t>Product Owner</w:t>
            </w:r>
          </w:p>
        </w:tc>
        <w:tc>
          <w:tcPr>
            <w:tcW w:type="dxa" w:w="1565"/>
            <w:vAlign w:val="center"/>
          </w:tcPr>
          <w:p>
            <w:pPr>
              <w:spacing w:after="0"/>
            </w:pPr>
            <w:r>
              <w:rPr>
                <w:rFonts w:ascii="Calibri" w:hAnsi="Calibri"/>
                <w:color w:val="14213D"/>
                <w:sz w:val="18"/>
              </w:rPr>
              <w:t>UAT Lead</w:t>
            </w:r>
          </w:p>
        </w:tc>
        <w:tc>
          <w:tcPr>
            <w:tcW w:type="dxa" w:w="1565"/>
            <w:vAlign w:val="center"/>
          </w:tcPr>
          <w:p>
            <w:pPr>
              <w:spacing w:after="0"/>
            </w:pPr>
            <w:r>
              <w:rPr>
                <w:rFonts w:ascii="Calibri" w:hAnsi="Calibri"/>
                <w:color w:val="14213D"/>
                <w:sz w:val="18"/>
              </w:rPr>
              <w:t>Engineering, SME</w:t>
            </w:r>
          </w:p>
        </w:tc>
        <w:tc>
          <w:tcPr>
            <w:tcW w:type="dxa" w:w="1565"/>
            <w:vAlign w:val="center"/>
          </w:tcPr>
          <w:p>
            <w:pPr>
              <w:spacing w:after="0"/>
            </w:pPr>
            <w:r>
              <w:rPr>
                <w:rFonts w:ascii="Calibri" w:hAnsi="Calibri"/>
                <w:color w:val="14213D"/>
                <w:sz w:val="18"/>
              </w:rPr>
              <w:t>Sponsor</w:t>
            </w:r>
          </w:p>
        </w:tc>
      </w:tr>
      <w:tr>
        <w:trPr>
          <w:cantSplit/>
        </w:trPr>
        <w:tc>
          <w:tcPr>
            <w:tcW w:type="dxa" w:w="3100"/>
            <w:vAlign w:val="center"/>
          </w:tcPr>
          <w:p>
            <w:pPr>
              <w:spacing w:after="0"/>
            </w:pPr>
            <w:r>
              <w:rPr>
                <w:rFonts w:ascii="Calibri" w:hAnsi="Calibri"/>
                <w:color w:val="14213D"/>
                <w:sz w:val="18"/>
              </w:rPr>
              <w:t>Accept residual risk</w:t>
            </w:r>
          </w:p>
        </w:tc>
        <w:tc>
          <w:tcPr>
            <w:tcW w:type="dxa" w:w="1565"/>
            <w:vAlign w:val="center"/>
          </w:tcPr>
          <w:p>
            <w:pPr>
              <w:spacing w:after="0"/>
            </w:pPr>
            <w:r>
              <w:rPr>
                <w:rFonts w:ascii="Calibri" w:hAnsi="Calibri"/>
                <w:color w:val="14213D"/>
                <w:sz w:val="18"/>
              </w:rPr>
              <w:t>Business Sponsor</w:t>
            </w:r>
          </w:p>
        </w:tc>
        <w:tc>
          <w:tcPr>
            <w:tcW w:type="dxa" w:w="1565"/>
            <w:vAlign w:val="center"/>
          </w:tcPr>
          <w:p>
            <w:pPr>
              <w:spacing w:after="0"/>
            </w:pPr>
            <w:r>
              <w:rPr>
                <w:rFonts w:ascii="Calibri" w:hAnsi="Calibri"/>
                <w:color w:val="14213D"/>
                <w:sz w:val="18"/>
              </w:rPr>
              <w:t>Product Owner</w:t>
            </w:r>
          </w:p>
        </w:tc>
        <w:tc>
          <w:tcPr>
            <w:tcW w:type="dxa" w:w="1565"/>
            <w:vAlign w:val="center"/>
          </w:tcPr>
          <w:p>
            <w:pPr>
              <w:spacing w:after="0"/>
            </w:pPr>
            <w:r>
              <w:rPr>
                <w:rFonts w:ascii="Calibri" w:hAnsi="Calibri"/>
                <w:color w:val="14213D"/>
                <w:sz w:val="18"/>
              </w:rPr>
              <w:t>Security, Engineering</w:t>
            </w:r>
          </w:p>
        </w:tc>
        <w:tc>
          <w:tcPr>
            <w:tcW w:type="dxa" w:w="1565"/>
            <w:vAlign w:val="center"/>
          </w:tcPr>
          <w:p>
            <w:pPr>
              <w:spacing w:after="0"/>
            </w:pPr>
            <w:r>
              <w:rPr>
                <w:rFonts w:ascii="Calibri" w:hAnsi="Calibri"/>
                <w:color w:val="14213D"/>
                <w:sz w:val="18"/>
              </w:rPr>
              <w:t>All testers</w:t>
            </w:r>
          </w:p>
        </w:tc>
      </w:tr>
      <w:tr>
        <w:trPr>
          <w:cantSplit/>
        </w:trPr>
        <w:tc>
          <w:tcPr>
            <w:tcW w:type="dxa" w:w="3100"/>
            <w:vAlign w:val="center"/>
          </w:tcPr>
          <w:p>
            <w:pPr>
              <w:spacing w:after="0"/>
            </w:pPr>
            <w:r>
              <w:rPr>
                <w:rFonts w:ascii="Calibri" w:hAnsi="Calibri"/>
                <w:color w:val="14213D"/>
                <w:sz w:val="18"/>
              </w:rPr>
              <w:t>Suspend / resume</w:t>
            </w:r>
          </w:p>
        </w:tc>
        <w:tc>
          <w:tcPr>
            <w:tcW w:type="dxa" w:w="1565"/>
            <w:vAlign w:val="center"/>
          </w:tcPr>
          <w:p>
            <w:pPr>
              <w:spacing w:after="0"/>
            </w:pPr>
            <w:r>
              <w:rPr>
                <w:rFonts w:ascii="Calibri" w:hAnsi="Calibri"/>
                <w:color w:val="14213D"/>
                <w:sz w:val="18"/>
              </w:rPr>
              <w:t>Product Owner</w:t>
            </w:r>
          </w:p>
        </w:tc>
        <w:tc>
          <w:tcPr>
            <w:tcW w:type="dxa" w:w="1565"/>
            <w:vAlign w:val="center"/>
          </w:tcPr>
          <w:p>
            <w:pPr>
              <w:spacing w:after="0"/>
            </w:pPr>
            <w:r>
              <w:rPr>
                <w:rFonts w:ascii="Calibri" w:hAnsi="Calibri"/>
                <w:color w:val="14213D"/>
                <w:sz w:val="18"/>
              </w:rPr>
              <w:t>UAT Lead</w:t>
            </w:r>
          </w:p>
        </w:tc>
        <w:tc>
          <w:tcPr>
            <w:tcW w:type="dxa" w:w="1565"/>
            <w:vAlign w:val="center"/>
          </w:tcPr>
          <w:p>
            <w:pPr>
              <w:spacing w:after="0"/>
            </w:pPr>
            <w:r>
              <w:rPr>
                <w:rFonts w:ascii="Calibri" w:hAnsi="Calibri"/>
                <w:color w:val="14213D"/>
                <w:sz w:val="18"/>
              </w:rPr>
              <w:t>Engineering</w:t>
            </w:r>
          </w:p>
        </w:tc>
        <w:tc>
          <w:tcPr>
            <w:tcW w:type="dxa" w:w="1565"/>
            <w:vAlign w:val="center"/>
          </w:tcPr>
          <w:p>
            <w:pPr>
              <w:spacing w:after="0"/>
            </w:pPr>
            <w:r>
              <w:rPr>
                <w:rFonts w:ascii="Calibri" w:hAnsi="Calibri"/>
                <w:color w:val="14213D"/>
                <w:sz w:val="18"/>
              </w:rPr>
              <w:t>All testers</w:t>
            </w:r>
          </w:p>
        </w:tc>
      </w:tr>
      <w:tr>
        <w:trPr>
          <w:cantSplit/>
        </w:trPr>
        <w:tc>
          <w:tcPr>
            <w:tcW w:type="dxa" w:w="3100"/>
            <w:vAlign w:val="center"/>
          </w:tcPr>
          <w:p>
            <w:pPr>
              <w:spacing w:after="0"/>
            </w:pPr>
            <w:r>
              <w:rPr>
                <w:rFonts w:ascii="Calibri" w:hAnsi="Calibri"/>
                <w:color w:val="14213D"/>
                <w:sz w:val="18"/>
              </w:rPr>
              <w:t>Final sign-off</w:t>
            </w:r>
          </w:p>
        </w:tc>
        <w:tc>
          <w:tcPr>
            <w:tcW w:type="dxa" w:w="1565"/>
            <w:vAlign w:val="center"/>
          </w:tcPr>
          <w:p>
            <w:pPr>
              <w:spacing w:after="0"/>
            </w:pPr>
            <w:r>
              <w:rPr>
                <w:rFonts w:ascii="Calibri" w:hAnsi="Calibri"/>
                <w:color w:val="14213D"/>
                <w:sz w:val="18"/>
              </w:rPr>
              <w:t>Business Sponsor</w:t>
            </w:r>
          </w:p>
        </w:tc>
        <w:tc>
          <w:tcPr>
            <w:tcW w:type="dxa" w:w="1565"/>
            <w:vAlign w:val="center"/>
          </w:tcPr>
          <w:p>
            <w:pPr>
              <w:spacing w:after="0"/>
            </w:pPr>
            <w:r>
              <w:rPr>
                <w:rFonts w:ascii="Calibri" w:hAnsi="Calibri"/>
                <w:color w:val="14213D"/>
                <w:sz w:val="18"/>
              </w:rPr>
              <w:t>Product Owner</w:t>
            </w:r>
          </w:p>
        </w:tc>
        <w:tc>
          <w:tcPr>
            <w:tcW w:type="dxa" w:w="1565"/>
            <w:vAlign w:val="center"/>
          </w:tcPr>
          <w:p>
            <w:pPr>
              <w:spacing w:after="0"/>
            </w:pPr>
            <w:r>
              <w:rPr>
                <w:rFonts w:ascii="Calibri" w:hAnsi="Calibri"/>
                <w:color w:val="14213D"/>
                <w:sz w:val="18"/>
              </w:rPr>
              <w:t>UAT Lead, Security</w:t>
            </w:r>
          </w:p>
        </w:tc>
        <w:tc>
          <w:tcPr>
            <w:tcW w:type="dxa" w:w="1565"/>
            <w:vAlign w:val="center"/>
          </w:tcPr>
          <w:p>
            <w:pPr>
              <w:spacing w:after="0"/>
            </w:pPr>
            <w:r>
              <w:rPr>
                <w:rFonts w:ascii="Calibri" w:hAnsi="Calibri"/>
                <w:color w:val="14213D"/>
                <w:sz w:val="18"/>
              </w:rPr>
              <w:t>Delivery team</w:t>
            </w:r>
          </w:p>
        </w:tc>
      </w:tr>
    </w:tbl>
    <w:p>
      <w:pPr>
        <w:spacing w:after="0"/>
      </w:pPr>
    </w:p>
    <w:p>
      <w:pPr>
        <w:pStyle w:val="Heading1"/>
      </w:pPr>
      <w:r>
        <w:t>4. Entry, suspension, resumption, and exit criteria</w:t>
      </w:r>
    </w:p>
    <w:p>
      <w:pPr>
        <w:pStyle w:val="Heading2"/>
      </w:pPr>
      <w:r>
        <w:t>Entry criteria</w:t>
      </w:r>
    </w:p>
    <w:p>
      <w:pPr>
        <w:keepLines/>
        <w:numPr>
          <w:ilvl w:val="0"/>
          <w:numId w:val="10"/>
        </w:numPr>
      </w:pPr>
      <w:r>
        <w:t>Release candidate deployed to a production-like UAT environment with a unique build identifier and approved migration set.</w:t>
      </w:r>
    </w:p>
    <w:p>
      <w:pPr>
        <w:keepLines/>
        <w:numPr>
          <w:ilvl w:val="0"/>
          <w:numId w:val="10"/>
        </w:numPr>
      </w:pPr>
      <w:r>
        <w:t>All 168 current Vitest tests pass; lint, typecheck, build, and local Supabase database/RLS suites pass with archived reports.</w:t>
      </w:r>
    </w:p>
    <w:p>
      <w:pPr>
        <w:keepLines/>
        <w:numPr>
          <w:ilvl w:val="0"/>
          <w:numId w:val="10"/>
        </w:numPr>
      </w:pPr>
      <w:r>
        <w:t>No open Severity 1 or unresolved security-critical defects; Severity 2 defects have documented workarounds and Product Owner approval to enter.</w:t>
      </w:r>
    </w:p>
    <w:p>
      <w:pPr>
        <w:keepLines/>
        <w:numPr>
          <w:ilvl w:val="0"/>
          <w:numId w:val="10"/>
        </w:numPr>
      </w:pPr>
      <w:r>
        <w:t>Supabase Auth email/PKCE callbacks, Storage buckets/policies, scheduled jobs, AI/provider adapters, and subscription configuration are documented for the environment.</w:t>
      </w:r>
    </w:p>
    <w:p>
      <w:pPr>
        <w:keepLines/>
        <w:numPr>
          <w:ilvl w:val="0"/>
          <w:numId w:val="10"/>
        </w:numPr>
      </w:pPr>
      <w:r>
        <w:t>Representative accounts, two unrelated Businesses, multiple Branches, roles, module plans, and seeded business data are available.</w:t>
      </w:r>
    </w:p>
    <w:p>
      <w:pPr>
        <w:keepLines/>
        <w:numPr>
          <w:ilvl w:val="0"/>
          <w:numId w:val="10"/>
        </w:numPr>
      </w:pPr>
      <w:r>
        <w:t>Test cases, expected totals, evidence repository, defect tracker, daily report, and tester briefing are ready.</w:t>
      </w:r>
    </w:p>
    <w:p>
      <w:pPr>
        <w:keepLines/>
        <w:numPr>
          <w:ilvl w:val="0"/>
          <w:numId w:val="10"/>
        </w:numPr>
      </w:pPr>
      <w:r>
        <w:t>Logs, request IDs, database observation access, support contacts, backup/restore plan, and environment reset procedure are available.</w:t>
      </w:r>
    </w:p>
    <w:p>
      <w:pPr>
        <w:pStyle w:val="Heading2"/>
      </w:pPr>
      <w:r>
        <w:t>Suspension and resumption</w:t>
      </w:r>
    </w:p>
    <w:tbl>
      <w:tblPr>
        <w:tblStyle w:val="TableGrid"/>
        <w:tblW w:type="dxa" w:w="9360"/>
        <w:tblLayout w:type="fixed"/>
        <w:tblLook w:firstColumn="1" w:firstRow="1" w:lastColumn="0" w:lastRow="0" w:noHBand="0" w:noVBand="1" w:val="04A0"/>
        <w:tblInd w:w="120" w:type="dxa"/>
      </w:tblPr>
      <w:tblGrid>
        <w:gridCol w:w="2750"/>
        <w:gridCol w:w="3400"/>
        <w:gridCol w:w="3210"/>
      </w:tblGrid>
      <w:tr>
        <w:trPr>
          <w:tblHeader w:val="true"/>
          <w:cantSplit/>
        </w:trPr>
        <w:tc>
          <w:tcPr>
            <w:tcW w:type="dxa" w:w="2750"/>
            <w:tcMar>
              <w:top w:w="80" w:type="dxa"/>
              <w:start w:w="120" w:type="dxa"/>
              <w:bottom w:w="80" w:type="dxa"/>
              <w:end w:w="120" w:type="dxa"/>
            </w:tcMar>
            <w:shd w:fill="E8EEF5"/>
            <w:vAlign w:val="center"/>
          </w:tcPr>
          <w:p>
            <w:pPr>
              <w:keepNext/>
              <w:spacing w:after="0"/>
            </w:pPr>
            <w:r>
              <w:rPr>
                <w:rFonts w:ascii="Calibri" w:hAnsi="Calibri"/>
                <w:b/>
                <w:color w:val="14213D"/>
                <w:sz w:val="18"/>
              </w:rPr>
              <w:t>Trigger</w:t>
            </w:r>
          </w:p>
        </w:tc>
        <w:tc>
          <w:tcPr>
            <w:tcW w:type="dxa" w:w="3400"/>
            <w:tcMar>
              <w:top w:w="80" w:type="dxa"/>
              <w:start w:w="120" w:type="dxa"/>
              <w:bottom w:w="80" w:type="dxa"/>
              <w:end w:w="120" w:type="dxa"/>
            </w:tcMar>
            <w:shd w:fill="E8EEF5"/>
            <w:vAlign w:val="center"/>
          </w:tcPr>
          <w:p>
            <w:pPr>
              <w:keepNext/>
              <w:spacing w:after="0"/>
            </w:pPr>
            <w:r>
              <w:rPr>
                <w:rFonts w:ascii="Calibri" w:hAnsi="Calibri"/>
                <w:b/>
                <w:color w:val="14213D"/>
                <w:sz w:val="18"/>
              </w:rPr>
              <w:t>Action</w:t>
            </w:r>
          </w:p>
        </w:tc>
        <w:tc>
          <w:tcPr>
            <w:tcW w:type="dxa" w:w="3210"/>
            <w:tcMar>
              <w:top w:w="80" w:type="dxa"/>
              <w:start w:w="120" w:type="dxa"/>
              <w:bottom w:w="80" w:type="dxa"/>
              <w:end w:w="120" w:type="dxa"/>
            </w:tcMar>
            <w:shd w:fill="E8EEF5"/>
            <w:vAlign w:val="center"/>
          </w:tcPr>
          <w:p>
            <w:pPr>
              <w:keepNext/>
              <w:spacing w:after="0"/>
            </w:pPr>
            <w:r>
              <w:rPr>
                <w:rFonts w:ascii="Calibri" w:hAnsi="Calibri"/>
                <w:b/>
                <w:color w:val="14213D"/>
                <w:sz w:val="18"/>
              </w:rPr>
              <w:t>Resume when</w:t>
            </w:r>
          </w:p>
        </w:tc>
      </w:tr>
      <w:tr>
        <w:trPr>
          <w:cantSplit/>
        </w:trPr>
        <w:tc>
          <w:tcPr>
            <w:tcW w:type="dxa" w:w="2750"/>
            <w:vAlign w:val="center"/>
          </w:tcPr>
          <w:p>
            <w:pPr>
              <w:spacing w:after="0"/>
            </w:pPr>
            <w:r>
              <w:rPr>
                <w:rFonts w:ascii="Calibri" w:hAnsi="Calibri"/>
                <w:color w:val="14213D"/>
                <w:sz w:val="18"/>
              </w:rPr>
              <w:t>Environment unavailable or data corruption</w:t>
            </w:r>
          </w:p>
        </w:tc>
        <w:tc>
          <w:tcPr>
            <w:tcW w:type="dxa" w:w="3400"/>
            <w:vAlign w:val="center"/>
          </w:tcPr>
          <w:p>
            <w:pPr>
              <w:spacing w:after="0"/>
            </w:pPr>
            <w:r>
              <w:rPr>
                <w:rFonts w:ascii="Calibri" w:hAnsi="Calibri"/>
                <w:color w:val="14213D"/>
                <w:sz w:val="18"/>
              </w:rPr>
              <w:t>Stop affected execution; preserve evidence; notify UAT Lead.</w:t>
            </w:r>
          </w:p>
        </w:tc>
        <w:tc>
          <w:tcPr>
            <w:tcW w:type="dxa" w:w="3210"/>
            <w:vAlign w:val="center"/>
          </w:tcPr>
          <w:p>
            <w:pPr>
              <w:spacing w:after="0"/>
            </w:pPr>
            <w:r>
              <w:rPr>
                <w:rFonts w:ascii="Calibri" w:hAnsi="Calibri"/>
                <w:color w:val="14213D"/>
                <w:sz w:val="18"/>
              </w:rPr>
              <w:t>Environment health and data integrity are verified.</w:t>
            </w:r>
          </w:p>
        </w:tc>
      </w:tr>
      <w:tr>
        <w:trPr>
          <w:cantSplit/>
        </w:trPr>
        <w:tc>
          <w:tcPr>
            <w:tcW w:type="dxa" w:w="2750"/>
            <w:vAlign w:val="center"/>
          </w:tcPr>
          <w:p>
            <w:pPr>
              <w:spacing w:after="0"/>
            </w:pPr>
            <w:r>
              <w:rPr>
                <w:rFonts w:ascii="Calibri" w:hAnsi="Calibri"/>
                <w:color w:val="14213D"/>
                <w:sz w:val="18"/>
              </w:rPr>
              <w:t>Severity 1 security, tenant-isolation, financial, or irreversible-data defect</w:t>
            </w:r>
          </w:p>
        </w:tc>
        <w:tc>
          <w:tcPr>
            <w:tcW w:type="dxa" w:w="3400"/>
            <w:vAlign w:val="center"/>
          </w:tcPr>
          <w:p>
            <w:pPr>
              <w:spacing w:after="0"/>
            </w:pPr>
            <w:r>
              <w:rPr>
                <w:rFonts w:ascii="Calibri" w:hAnsi="Calibri"/>
                <w:color w:val="14213D"/>
                <w:sz w:val="18"/>
              </w:rPr>
              <w:t>Suspend all affected and dependent journeys.</w:t>
            </w:r>
          </w:p>
        </w:tc>
        <w:tc>
          <w:tcPr>
            <w:tcW w:type="dxa" w:w="3210"/>
            <w:vAlign w:val="center"/>
          </w:tcPr>
          <w:p>
            <w:pPr>
              <w:spacing w:after="0"/>
            </w:pPr>
            <w:r>
              <w:rPr>
                <w:rFonts w:ascii="Calibri" w:hAnsi="Calibri"/>
                <w:color w:val="14213D"/>
                <w:sz w:val="18"/>
              </w:rPr>
              <w:t>Fix is deployed, root cause reviewed, and P0 regression passes.</w:t>
            </w:r>
          </w:p>
        </w:tc>
      </w:tr>
      <w:tr>
        <w:trPr>
          <w:cantSplit/>
        </w:trPr>
        <w:tc>
          <w:tcPr>
            <w:tcW w:type="dxa" w:w="2750"/>
            <w:vAlign w:val="center"/>
          </w:tcPr>
          <w:p>
            <w:pPr>
              <w:spacing w:after="0"/>
            </w:pPr>
            <w:r>
              <w:rPr>
                <w:rFonts w:ascii="Calibri" w:hAnsi="Calibri"/>
                <w:color w:val="14213D"/>
                <w:sz w:val="18"/>
              </w:rPr>
              <w:t>&gt;20% cases blocked by one defect or build instability</w:t>
            </w:r>
          </w:p>
        </w:tc>
        <w:tc>
          <w:tcPr>
            <w:tcW w:type="dxa" w:w="3400"/>
            <w:vAlign w:val="center"/>
          </w:tcPr>
          <w:p>
            <w:pPr>
              <w:spacing w:after="0"/>
            </w:pPr>
            <w:r>
              <w:rPr>
                <w:rFonts w:ascii="Calibri" w:hAnsi="Calibri"/>
                <w:color w:val="14213D"/>
                <w:sz w:val="18"/>
              </w:rPr>
              <w:t>Pause the cycle and re-baseline schedule.</w:t>
            </w:r>
          </w:p>
        </w:tc>
        <w:tc>
          <w:tcPr>
            <w:tcW w:type="dxa" w:w="3210"/>
            <w:vAlign w:val="center"/>
          </w:tcPr>
          <w:p>
            <w:pPr>
              <w:spacing w:after="0"/>
            </w:pPr>
            <w:r>
              <w:rPr>
                <w:rFonts w:ascii="Calibri" w:hAnsi="Calibri"/>
                <w:color w:val="14213D"/>
                <w:sz w:val="18"/>
              </w:rPr>
              <w:t>Blocking defect is fixed or an approved stable workaround exists.</w:t>
            </w:r>
          </w:p>
        </w:tc>
      </w:tr>
      <w:tr>
        <w:trPr>
          <w:cantSplit/>
        </w:trPr>
        <w:tc>
          <w:tcPr>
            <w:tcW w:type="dxa" w:w="2750"/>
            <w:vAlign w:val="center"/>
          </w:tcPr>
          <w:p>
            <w:pPr>
              <w:spacing w:after="0"/>
            </w:pPr>
            <w:r>
              <w:rPr>
                <w:rFonts w:ascii="Calibri" w:hAnsi="Calibri"/>
                <w:color w:val="14213D"/>
                <w:sz w:val="18"/>
              </w:rPr>
              <w:t>Unexpected migration or provider change</w:t>
            </w:r>
          </w:p>
        </w:tc>
        <w:tc>
          <w:tcPr>
            <w:tcW w:type="dxa" w:w="3400"/>
            <w:vAlign w:val="center"/>
          </w:tcPr>
          <w:p>
            <w:pPr>
              <w:spacing w:after="0"/>
            </w:pPr>
            <w:r>
              <w:rPr>
                <w:rFonts w:ascii="Calibri" w:hAnsi="Calibri"/>
                <w:color w:val="14213D"/>
                <w:sz w:val="18"/>
              </w:rPr>
              <w:t>Freeze execution against the changed surface.</w:t>
            </w:r>
          </w:p>
        </w:tc>
        <w:tc>
          <w:tcPr>
            <w:tcW w:type="dxa" w:w="3210"/>
            <w:vAlign w:val="center"/>
          </w:tcPr>
          <w:p>
            <w:pPr>
              <w:spacing w:after="0"/>
            </w:pPr>
            <w:r>
              <w:rPr>
                <w:rFonts w:ascii="Calibri" w:hAnsi="Calibri"/>
                <w:color w:val="14213D"/>
                <w:sz w:val="18"/>
              </w:rPr>
              <w:t>Change is documented, validated, and included in a new build baseline.</w:t>
            </w:r>
          </w:p>
        </w:tc>
      </w:tr>
    </w:tbl>
    <w:p>
      <w:pPr>
        <w:spacing w:after="0"/>
      </w:pPr>
    </w:p>
    <w:p>
      <w:pPr>
        <w:pStyle w:val="Heading2"/>
      </w:pPr>
      <w:r>
        <w:t>Exit criteria</w:t>
      </w:r>
    </w:p>
    <w:tbl>
      <w:tblPr>
        <w:tblStyle w:val="TableGrid"/>
        <w:tblW w:type="dxa" w:w="9360"/>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80" w:type="dxa"/>
              <w:start w:w="120" w:type="dxa"/>
              <w:bottom w:w="80" w:type="dxa"/>
              <w:end w:w="120" w:type="dxa"/>
            </w:tcMar>
            <w:shd w:fill="E8EEF5"/>
            <w:vAlign w:val="center"/>
          </w:tcPr>
          <w:p>
            <w:pPr>
              <w:keepNext/>
              <w:spacing w:after="0"/>
            </w:pPr>
            <w:r>
              <w:rPr>
                <w:rFonts w:ascii="Calibri" w:hAnsi="Calibri"/>
                <w:b/>
                <w:color w:val="14213D"/>
                <w:sz w:val="18"/>
              </w:rPr>
              <w:t>Gate</w:t>
            </w:r>
          </w:p>
        </w:tc>
        <w:tc>
          <w:tcPr>
            <w:tcW w:type="dxa" w:w="7260"/>
            <w:tcMar>
              <w:top w:w="80" w:type="dxa"/>
              <w:start w:w="120" w:type="dxa"/>
              <w:bottom w:w="80" w:type="dxa"/>
              <w:end w:w="120" w:type="dxa"/>
            </w:tcMar>
            <w:shd w:fill="E8EEF5"/>
            <w:vAlign w:val="center"/>
          </w:tcPr>
          <w:p>
            <w:pPr>
              <w:keepNext/>
              <w:spacing w:after="0"/>
            </w:pPr>
            <w:r>
              <w:rPr>
                <w:rFonts w:ascii="Calibri" w:hAnsi="Calibri"/>
                <w:b/>
                <w:color w:val="14213D"/>
                <w:sz w:val="18"/>
              </w:rPr>
              <w:t>Required result</w:t>
            </w:r>
          </w:p>
        </w:tc>
      </w:tr>
      <w:tr>
        <w:trPr>
          <w:cantSplit/>
        </w:trPr>
        <w:tc>
          <w:tcPr>
            <w:tcW w:type="dxa" w:w="2100"/>
            <w:vAlign w:val="center"/>
          </w:tcPr>
          <w:p>
            <w:pPr>
              <w:spacing w:after="0"/>
            </w:pPr>
            <w:r>
              <w:rPr>
                <w:rFonts w:ascii="Calibri" w:hAnsi="Calibri"/>
                <w:color w:val="14213D"/>
                <w:sz w:val="18"/>
              </w:rPr>
              <w:t>Execution</w:t>
            </w:r>
          </w:p>
        </w:tc>
        <w:tc>
          <w:tcPr>
            <w:tcW w:type="dxa" w:w="7260"/>
            <w:vAlign w:val="center"/>
          </w:tcPr>
          <w:p>
            <w:pPr>
              <w:spacing w:after="0"/>
            </w:pPr>
            <w:r>
              <w:rPr>
                <w:rFonts w:ascii="Calibri" w:hAnsi="Calibri"/>
                <w:color w:val="14213D"/>
                <w:sz w:val="18"/>
              </w:rPr>
              <w:t>100% of P0 and P1 tests executed; at least 95% of all planned cases executed.</w:t>
            </w:r>
          </w:p>
        </w:tc>
      </w:tr>
      <w:tr>
        <w:trPr>
          <w:cantSplit/>
        </w:trPr>
        <w:tc>
          <w:tcPr>
            <w:tcW w:type="dxa" w:w="2100"/>
            <w:vAlign w:val="center"/>
          </w:tcPr>
          <w:p>
            <w:pPr>
              <w:spacing w:after="0"/>
            </w:pPr>
            <w:r>
              <w:rPr>
                <w:rFonts w:ascii="Calibri" w:hAnsi="Calibri"/>
                <w:color w:val="14213D"/>
                <w:sz w:val="18"/>
              </w:rPr>
              <w:t>Pass rate</w:t>
            </w:r>
          </w:p>
        </w:tc>
        <w:tc>
          <w:tcPr>
            <w:tcW w:type="dxa" w:w="7260"/>
            <w:vAlign w:val="center"/>
          </w:tcPr>
          <w:p>
            <w:pPr>
              <w:spacing w:after="0"/>
            </w:pPr>
            <w:r>
              <w:rPr>
                <w:rFonts w:ascii="Calibri" w:hAnsi="Calibri"/>
                <w:color w:val="14213D"/>
                <w:sz w:val="18"/>
              </w:rPr>
              <w:t>100% P0 pass; at least 95% P1 pass; at least 90% overall pass, excluding formally waived cases.</w:t>
            </w:r>
          </w:p>
        </w:tc>
      </w:tr>
      <w:tr>
        <w:trPr>
          <w:cantSplit/>
        </w:trPr>
        <w:tc>
          <w:tcPr>
            <w:tcW w:type="dxa" w:w="2100"/>
            <w:vAlign w:val="center"/>
          </w:tcPr>
          <w:p>
            <w:pPr>
              <w:spacing w:after="0"/>
            </w:pPr>
            <w:r>
              <w:rPr>
                <w:rFonts w:ascii="Calibri" w:hAnsi="Calibri"/>
                <w:color w:val="14213D"/>
                <w:sz w:val="18"/>
              </w:rPr>
              <w:t>Defects</w:t>
            </w:r>
          </w:p>
        </w:tc>
        <w:tc>
          <w:tcPr>
            <w:tcW w:type="dxa" w:w="7260"/>
            <w:vAlign w:val="center"/>
          </w:tcPr>
          <w:p>
            <w:pPr>
              <w:spacing w:after="0"/>
            </w:pPr>
            <w:r>
              <w:rPr>
                <w:rFonts w:ascii="Calibri" w:hAnsi="Calibri"/>
                <w:color w:val="14213D"/>
                <w:sz w:val="18"/>
              </w:rPr>
              <w:t>No open Sev 1; no open Sev 2 in security, money, stock, tenant isolation, or irreversible data; all other Sev 2 risks signed by Sponsor.</w:t>
            </w:r>
          </w:p>
        </w:tc>
      </w:tr>
      <w:tr>
        <w:trPr>
          <w:cantSplit/>
        </w:trPr>
        <w:tc>
          <w:tcPr>
            <w:tcW w:type="dxa" w:w="2100"/>
            <w:vAlign w:val="center"/>
          </w:tcPr>
          <w:p>
            <w:pPr>
              <w:spacing w:after="0"/>
            </w:pPr>
            <w:r>
              <w:rPr>
                <w:rFonts w:ascii="Calibri" w:hAnsi="Calibri"/>
                <w:color w:val="14213D"/>
                <w:sz w:val="18"/>
              </w:rPr>
              <w:t>Regression</w:t>
            </w:r>
          </w:p>
        </w:tc>
        <w:tc>
          <w:tcPr>
            <w:tcW w:type="dxa" w:w="7260"/>
            <w:vAlign w:val="center"/>
          </w:tcPr>
          <w:p>
            <w:pPr>
              <w:spacing w:after="0"/>
            </w:pPr>
            <w:r>
              <w:rPr>
                <w:rFonts w:ascii="Calibri" w:hAnsi="Calibri"/>
                <w:color w:val="14213D"/>
                <w:sz w:val="18"/>
              </w:rPr>
              <w:t>P0 end-to-end pack and impacted domain packs pass on final release candidate.</w:t>
            </w:r>
          </w:p>
        </w:tc>
      </w:tr>
      <w:tr>
        <w:trPr>
          <w:cantSplit/>
        </w:trPr>
        <w:tc>
          <w:tcPr>
            <w:tcW w:type="dxa" w:w="2100"/>
            <w:vAlign w:val="center"/>
          </w:tcPr>
          <w:p>
            <w:pPr>
              <w:spacing w:after="0"/>
            </w:pPr>
            <w:r>
              <w:rPr>
                <w:rFonts w:ascii="Calibri" w:hAnsi="Calibri"/>
                <w:color w:val="14213D"/>
                <w:sz w:val="18"/>
              </w:rPr>
              <w:t>Non-functional</w:t>
            </w:r>
          </w:p>
        </w:tc>
        <w:tc>
          <w:tcPr>
            <w:tcW w:type="dxa" w:w="7260"/>
            <w:vAlign w:val="center"/>
          </w:tcPr>
          <w:p>
            <w:pPr>
              <w:spacing w:after="0"/>
            </w:pPr>
            <w:r>
              <w:rPr>
                <w:rFonts w:ascii="Calibri" w:hAnsi="Calibri"/>
                <w:color w:val="14213D"/>
                <w:sz w:val="18"/>
              </w:rPr>
              <w:t>Accessibility, responsive, performance, browser, privacy/security, localization, audit, and recovery checks meet thresholds.</w:t>
            </w:r>
          </w:p>
        </w:tc>
      </w:tr>
      <w:tr>
        <w:trPr>
          <w:cantSplit/>
        </w:trPr>
        <w:tc>
          <w:tcPr>
            <w:tcW w:type="dxa" w:w="2100"/>
            <w:vAlign w:val="center"/>
          </w:tcPr>
          <w:p>
            <w:pPr>
              <w:spacing w:after="0"/>
            </w:pPr>
            <w:r>
              <w:rPr>
                <w:rFonts w:ascii="Calibri" w:hAnsi="Calibri"/>
                <w:color w:val="14213D"/>
                <w:sz w:val="18"/>
              </w:rPr>
              <w:t>Evidence</w:t>
            </w:r>
          </w:p>
        </w:tc>
        <w:tc>
          <w:tcPr>
            <w:tcW w:type="dxa" w:w="7260"/>
            <w:vAlign w:val="center"/>
          </w:tcPr>
          <w:p>
            <w:pPr>
              <w:spacing w:after="0"/>
            </w:pPr>
            <w:r>
              <w:rPr>
                <w:rFonts w:ascii="Calibri" w:hAnsi="Calibri"/>
                <w:color w:val="14213D"/>
                <w:sz w:val="18"/>
              </w:rPr>
              <w:t>Every executed case has result, tester, timestamp, build, data IDs, and evidence or an approved evidence exemption.</w:t>
            </w:r>
          </w:p>
        </w:tc>
      </w:tr>
      <w:tr>
        <w:trPr>
          <w:cantSplit/>
        </w:trPr>
        <w:tc>
          <w:tcPr>
            <w:tcW w:type="dxa" w:w="2100"/>
            <w:vAlign w:val="center"/>
          </w:tcPr>
          <w:p>
            <w:pPr>
              <w:spacing w:after="0"/>
            </w:pPr>
            <w:r>
              <w:rPr>
                <w:rFonts w:ascii="Calibri" w:hAnsi="Calibri"/>
                <w:color w:val="14213D"/>
                <w:sz w:val="18"/>
              </w:rPr>
              <w:t>Approval</w:t>
            </w:r>
          </w:p>
        </w:tc>
        <w:tc>
          <w:tcPr>
            <w:tcW w:type="dxa" w:w="7260"/>
            <w:vAlign w:val="center"/>
          </w:tcPr>
          <w:p>
            <w:pPr>
              <w:spacing w:after="0"/>
            </w:pPr>
            <w:r>
              <w:rPr>
                <w:rFonts w:ascii="Calibri" w:hAnsi="Calibri"/>
                <w:color w:val="14213D"/>
                <w:sz w:val="18"/>
              </w:rPr>
              <w:t>Product Owner, UAT Lead, Sponsor, and Security/Privacy provide recorded sign-off or conditional sign-off.</w:t>
            </w:r>
          </w:p>
        </w:tc>
      </w:tr>
    </w:tbl>
    <w:p>
      <w:pPr>
        <w:spacing w:after="0"/>
      </w:pPr>
    </w:p>
    <w:p>
      <w:pPr>
        <w:pStyle w:val="Heading1"/>
      </w:pPr>
      <w:r>
        <w:t>5. Environment, accounts, and test data</w:t>
      </w:r>
    </w:p>
    <w:p>
      <w:pPr>
        <w:pStyle w:val="Heading2"/>
      </w:pPr>
      <w:r>
        <w:t>Environment specification</w:t>
      </w:r>
    </w:p>
    <w:tbl>
      <w:tblPr>
        <w:tblStyle w:val="TableGrid"/>
        <w:tblW w:type="dxa" w:w="9360"/>
        <w:tblLayout w:type="fixed"/>
        <w:tblLook w:firstColumn="1" w:firstRow="1" w:lastColumn="0" w:lastRow="0" w:noHBand="0" w:noVBand="1" w:val="04A0"/>
        <w:tblInd w:w="120" w:type="dxa"/>
      </w:tblPr>
      <w:tblGrid>
        <w:gridCol w:w="2100"/>
        <w:gridCol w:w="7260"/>
      </w:tblGrid>
      <w:tr>
        <w:trPr>
          <w:tblHeader w:val="true"/>
          <w:cantSplit/>
        </w:trPr>
        <w:tc>
          <w:tcPr>
            <w:tcW w:type="dxa" w:w="2100"/>
            <w:tcMar>
              <w:top w:w="80" w:type="dxa"/>
              <w:start w:w="120" w:type="dxa"/>
              <w:bottom w:w="80" w:type="dxa"/>
              <w:end w:w="120" w:type="dxa"/>
            </w:tcMar>
            <w:shd w:fill="E8EEF5"/>
            <w:vAlign w:val="center"/>
          </w:tcPr>
          <w:p>
            <w:pPr>
              <w:keepNext/>
              <w:spacing w:after="0"/>
            </w:pPr>
            <w:r>
              <w:rPr>
                <w:rFonts w:ascii="Calibri" w:hAnsi="Calibri"/>
                <w:b/>
                <w:color w:val="14213D"/>
                <w:sz w:val="18"/>
              </w:rPr>
              <w:t>Area</w:t>
            </w:r>
          </w:p>
        </w:tc>
        <w:tc>
          <w:tcPr>
            <w:tcW w:type="dxa" w:w="7260"/>
            <w:tcMar>
              <w:top w:w="80" w:type="dxa"/>
              <w:start w:w="120" w:type="dxa"/>
              <w:bottom w:w="80" w:type="dxa"/>
              <w:end w:w="120" w:type="dxa"/>
            </w:tcMar>
            <w:shd w:fill="E8EEF5"/>
            <w:vAlign w:val="center"/>
          </w:tcPr>
          <w:p>
            <w:pPr>
              <w:keepNext/>
              <w:spacing w:after="0"/>
            </w:pPr>
            <w:r>
              <w:rPr>
                <w:rFonts w:ascii="Calibri" w:hAnsi="Calibri"/>
                <w:b/>
                <w:color w:val="14213D"/>
                <w:sz w:val="18"/>
              </w:rPr>
              <w:t>UAT requirement</w:t>
            </w:r>
          </w:p>
        </w:tc>
      </w:tr>
      <w:tr>
        <w:trPr>
          <w:cantSplit/>
        </w:trPr>
        <w:tc>
          <w:tcPr>
            <w:tcW w:type="dxa" w:w="2100"/>
            <w:vAlign w:val="center"/>
          </w:tcPr>
          <w:p>
            <w:pPr>
              <w:spacing w:after="0"/>
            </w:pPr>
            <w:r>
              <w:rPr>
                <w:rFonts w:ascii="Calibri" w:hAnsi="Calibri"/>
                <w:color w:val="14213D"/>
                <w:sz w:val="18"/>
              </w:rPr>
              <w:t>Application</w:t>
            </w:r>
          </w:p>
        </w:tc>
        <w:tc>
          <w:tcPr>
            <w:tcW w:type="dxa" w:w="7260"/>
            <w:vAlign w:val="center"/>
          </w:tcPr>
          <w:p>
            <w:pPr>
              <w:spacing w:after="0"/>
            </w:pPr>
            <w:r>
              <w:rPr>
                <w:rFonts w:ascii="Calibri" w:hAnsi="Calibri"/>
                <w:color w:val="14213D"/>
                <w:sz w:val="18"/>
              </w:rPr>
              <w:t>Production-like HTTPS deployment; Next.js 16 release build; service worker/PWA metadata enabled where applicable.</w:t>
            </w:r>
          </w:p>
        </w:tc>
      </w:tr>
      <w:tr>
        <w:trPr>
          <w:cantSplit/>
        </w:trPr>
        <w:tc>
          <w:tcPr>
            <w:tcW w:type="dxa" w:w="2100"/>
            <w:vAlign w:val="center"/>
          </w:tcPr>
          <w:p>
            <w:pPr>
              <w:spacing w:after="0"/>
            </w:pPr>
            <w:r>
              <w:rPr>
                <w:rFonts w:ascii="Calibri" w:hAnsi="Calibri"/>
                <w:color w:val="14213D"/>
                <w:sz w:val="18"/>
              </w:rPr>
              <w:t>Database</w:t>
            </w:r>
          </w:p>
        </w:tc>
        <w:tc>
          <w:tcPr>
            <w:tcW w:type="dxa" w:w="7260"/>
            <w:vAlign w:val="center"/>
          </w:tcPr>
          <w:p>
            <w:pPr>
              <w:spacing w:after="0"/>
            </w:pPr>
            <w:r>
              <w:rPr>
                <w:rFonts w:ascii="Calibri" w:hAnsi="Calibri"/>
                <w:color w:val="14213D"/>
                <w:sz w:val="18"/>
              </w:rPr>
              <w:t>Dedicated Supabase project or isolated local stack with full migration history, RLS enabled, realistic extensions, and reset scripts.</w:t>
            </w:r>
          </w:p>
        </w:tc>
      </w:tr>
      <w:tr>
        <w:trPr>
          <w:cantSplit/>
        </w:trPr>
        <w:tc>
          <w:tcPr>
            <w:tcW w:type="dxa" w:w="2100"/>
            <w:vAlign w:val="center"/>
          </w:tcPr>
          <w:p>
            <w:pPr>
              <w:spacing w:after="0"/>
            </w:pPr>
            <w:r>
              <w:rPr>
                <w:rFonts w:ascii="Calibri" w:hAnsi="Calibri"/>
                <w:color w:val="14213D"/>
                <w:sz w:val="18"/>
              </w:rPr>
              <w:t>Identity</w:t>
            </w:r>
          </w:p>
        </w:tc>
        <w:tc>
          <w:tcPr>
            <w:tcW w:type="dxa" w:w="7260"/>
            <w:vAlign w:val="center"/>
          </w:tcPr>
          <w:p>
            <w:pPr>
              <w:spacing w:after="0"/>
            </w:pPr>
            <w:r>
              <w:rPr>
                <w:rFonts w:ascii="Calibri" w:hAnsi="Calibri"/>
                <w:color w:val="14213D"/>
                <w:sz w:val="18"/>
              </w:rPr>
              <w:t>Email confirmation and recovery callbacks point to UAT; no shared credentials; MFA behavior documented if enabled.</w:t>
            </w:r>
          </w:p>
        </w:tc>
      </w:tr>
      <w:tr>
        <w:trPr>
          <w:cantSplit/>
        </w:trPr>
        <w:tc>
          <w:tcPr>
            <w:tcW w:type="dxa" w:w="2100"/>
            <w:vAlign w:val="center"/>
          </w:tcPr>
          <w:p>
            <w:pPr>
              <w:spacing w:after="0"/>
            </w:pPr>
            <w:r>
              <w:rPr>
                <w:rFonts w:ascii="Calibri" w:hAnsi="Calibri"/>
                <w:color w:val="14213D"/>
                <w:sz w:val="18"/>
              </w:rPr>
              <w:t>Storage</w:t>
            </w:r>
          </w:p>
        </w:tc>
        <w:tc>
          <w:tcPr>
            <w:tcW w:type="dxa" w:w="7260"/>
            <w:vAlign w:val="center"/>
          </w:tcPr>
          <w:p>
            <w:pPr>
              <w:spacing w:after="0"/>
            </w:pPr>
            <w:r>
              <w:rPr>
                <w:rFonts w:ascii="Calibri" w:hAnsi="Calibri"/>
                <w:color w:val="14213D"/>
                <w:sz w:val="18"/>
              </w:rPr>
              <w:t>Separate UAT buckets; tenant-prefixed keys; signed URL expiry; file-size/type limits configured.</w:t>
            </w:r>
          </w:p>
        </w:tc>
      </w:tr>
      <w:tr>
        <w:trPr>
          <w:cantSplit/>
        </w:trPr>
        <w:tc>
          <w:tcPr>
            <w:tcW w:type="dxa" w:w="2100"/>
            <w:vAlign w:val="center"/>
          </w:tcPr>
          <w:p>
            <w:pPr>
              <w:spacing w:after="0"/>
            </w:pPr>
            <w:r>
              <w:rPr>
                <w:rFonts w:ascii="Calibri" w:hAnsi="Calibri"/>
                <w:color w:val="14213D"/>
                <w:sz w:val="18"/>
              </w:rPr>
              <w:t>Time/locale</w:t>
            </w:r>
          </w:p>
        </w:tc>
        <w:tc>
          <w:tcPr>
            <w:tcW w:type="dxa" w:w="7260"/>
            <w:vAlign w:val="center"/>
          </w:tcPr>
          <w:p>
            <w:pPr>
              <w:spacing w:after="0"/>
            </w:pPr>
            <w:r>
              <w:rPr>
                <w:rFonts w:ascii="Calibri" w:hAnsi="Calibri"/>
                <w:color w:val="14213D"/>
                <w:sz w:val="18"/>
              </w:rPr>
              <w:t>Asia/Manila; PHP; en-PH primary; fil-PH profile option; test dates include month end and midnight boundaries.</w:t>
            </w:r>
          </w:p>
        </w:tc>
      </w:tr>
      <w:tr>
        <w:trPr>
          <w:cantSplit/>
        </w:trPr>
        <w:tc>
          <w:tcPr>
            <w:tcW w:type="dxa" w:w="2100"/>
            <w:vAlign w:val="center"/>
          </w:tcPr>
          <w:p>
            <w:pPr>
              <w:spacing w:after="0"/>
            </w:pPr>
            <w:r>
              <w:rPr>
                <w:rFonts w:ascii="Calibri" w:hAnsi="Calibri"/>
                <w:color w:val="14213D"/>
                <w:sz w:val="18"/>
              </w:rPr>
              <w:t>Observability</w:t>
            </w:r>
          </w:p>
        </w:tc>
        <w:tc>
          <w:tcPr>
            <w:tcW w:type="dxa" w:w="7260"/>
            <w:vAlign w:val="center"/>
          </w:tcPr>
          <w:p>
            <w:pPr>
              <w:spacing w:after="0"/>
            </w:pPr>
            <w:r>
              <w:rPr>
                <w:rFonts w:ascii="Calibri" w:hAnsi="Calibri"/>
                <w:color w:val="14213D"/>
                <w:sz w:val="18"/>
              </w:rPr>
              <w:t>Request IDs, structured logs, audit events, database logs, provider logs, and alert channels accessible to support roles.</w:t>
            </w:r>
          </w:p>
        </w:tc>
      </w:tr>
      <w:tr>
        <w:trPr>
          <w:cantSplit/>
        </w:trPr>
        <w:tc>
          <w:tcPr>
            <w:tcW w:type="dxa" w:w="2100"/>
            <w:vAlign w:val="center"/>
          </w:tcPr>
          <w:p>
            <w:pPr>
              <w:spacing w:after="0"/>
            </w:pPr>
            <w:r>
              <w:rPr>
                <w:rFonts w:ascii="Calibri" w:hAnsi="Calibri"/>
                <w:color w:val="14213D"/>
                <w:sz w:val="18"/>
              </w:rPr>
              <w:t>Browsers/devices</w:t>
            </w:r>
          </w:p>
        </w:tc>
        <w:tc>
          <w:tcPr>
            <w:tcW w:type="dxa" w:w="7260"/>
            <w:vAlign w:val="center"/>
          </w:tcPr>
          <w:p>
            <w:pPr>
              <w:spacing w:after="0"/>
            </w:pPr>
            <w:r>
              <w:rPr>
                <w:rFonts w:ascii="Calibri" w:hAnsi="Calibri"/>
                <w:color w:val="14213D"/>
                <w:sz w:val="18"/>
              </w:rPr>
              <w:t>Current Chrome and Edge desktop; Safari/iOS and Chrome/Android representative devices; 360, 390, 768, 1024, and 1440 px viewports.</w:t>
            </w:r>
          </w:p>
        </w:tc>
      </w:tr>
    </w:tbl>
    <w:p>
      <w:pPr>
        <w:spacing w:after="0"/>
      </w:pPr>
    </w:p>
    <w:p>
      <w:pPr>
        <w:pStyle w:val="Heading2"/>
      </w:pPr>
      <w:r>
        <w:t>Required personas and accounts</w:t>
      </w:r>
    </w:p>
    <w:tbl>
      <w:tblPr>
        <w:tblStyle w:val="TableGrid"/>
        <w:tblW w:type="dxa" w:w="9360"/>
        <w:tblLayout w:type="fixed"/>
        <w:tblLook w:firstColumn="1" w:firstRow="1" w:lastColumn="0" w:lastRow="0" w:noHBand="0" w:noVBand="1" w:val="04A0"/>
        <w:tblInd w:w="120" w:type="dxa"/>
      </w:tblPr>
      <w:tblGrid>
        <w:gridCol w:w="1400"/>
        <w:gridCol w:w="1500"/>
        <w:gridCol w:w="1600"/>
        <w:gridCol w:w="1700"/>
        <w:gridCol w:w="3160"/>
      </w:tblGrid>
      <w:tr>
        <w:trPr>
          <w:tblHeader w:val="true"/>
          <w:cantSplit/>
        </w:trPr>
        <w:tc>
          <w:tcPr>
            <w:tcW w:type="dxa" w:w="1400"/>
            <w:tcMar>
              <w:top w:w="80" w:type="dxa"/>
              <w:start w:w="120" w:type="dxa"/>
              <w:bottom w:w="80" w:type="dxa"/>
              <w:end w:w="120" w:type="dxa"/>
            </w:tcMar>
            <w:shd w:fill="E8EEF5"/>
            <w:vAlign w:val="center"/>
          </w:tcPr>
          <w:p>
            <w:pPr>
              <w:keepNext/>
              <w:spacing w:after="0"/>
            </w:pPr>
            <w:r>
              <w:rPr>
                <w:rFonts w:ascii="Calibri" w:hAnsi="Calibri"/>
                <w:b/>
                <w:color w:val="14213D"/>
                <w:sz w:val="18"/>
              </w:rPr>
              <w:t>Account</w:t>
            </w:r>
          </w:p>
        </w:tc>
        <w:tc>
          <w:tcPr>
            <w:tcW w:type="dxa" w:w="1500"/>
            <w:tcMar>
              <w:top w:w="80" w:type="dxa"/>
              <w:start w:w="120" w:type="dxa"/>
              <w:bottom w:w="80" w:type="dxa"/>
              <w:end w:w="120" w:type="dxa"/>
            </w:tcMar>
            <w:shd w:fill="E8EEF5"/>
            <w:vAlign w:val="center"/>
          </w:tcPr>
          <w:p>
            <w:pPr>
              <w:keepNext/>
              <w:spacing w:after="0"/>
            </w:pPr>
            <w:r>
              <w:rPr>
                <w:rFonts w:ascii="Calibri" w:hAnsi="Calibri"/>
                <w:b/>
                <w:color w:val="14213D"/>
                <w:sz w:val="18"/>
              </w:rPr>
              <w:t>Role</w:t>
            </w:r>
          </w:p>
        </w:tc>
        <w:tc>
          <w:tcPr>
            <w:tcW w:type="dxa" w:w="1600"/>
            <w:tcMar>
              <w:top w:w="80" w:type="dxa"/>
              <w:start w:w="120" w:type="dxa"/>
              <w:bottom w:w="80" w:type="dxa"/>
              <w:end w:w="120" w:type="dxa"/>
            </w:tcMar>
            <w:shd w:fill="E8EEF5"/>
            <w:vAlign w:val="center"/>
          </w:tcPr>
          <w:p>
            <w:pPr>
              <w:keepNext/>
              <w:spacing w:after="0"/>
            </w:pPr>
            <w:r>
              <w:rPr>
                <w:rFonts w:ascii="Calibri" w:hAnsi="Calibri"/>
                <w:b/>
                <w:color w:val="14213D"/>
                <w:sz w:val="18"/>
              </w:rPr>
              <w:t>Business</w:t>
            </w:r>
          </w:p>
        </w:tc>
        <w:tc>
          <w:tcPr>
            <w:tcW w:type="dxa" w:w="1700"/>
            <w:tcMar>
              <w:top w:w="80" w:type="dxa"/>
              <w:start w:w="120" w:type="dxa"/>
              <w:bottom w:w="80" w:type="dxa"/>
              <w:end w:w="120" w:type="dxa"/>
            </w:tcMar>
            <w:shd w:fill="E8EEF5"/>
            <w:vAlign w:val="center"/>
          </w:tcPr>
          <w:p>
            <w:pPr>
              <w:keepNext/>
              <w:spacing w:after="0"/>
            </w:pPr>
            <w:r>
              <w:rPr>
                <w:rFonts w:ascii="Calibri" w:hAnsi="Calibri"/>
                <w:b/>
                <w:color w:val="14213D"/>
                <w:sz w:val="18"/>
              </w:rPr>
              <w:t>Branch scope</w:t>
            </w:r>
          </w:p>
        </w:tc>
        <w:tc>
          <w:tcPr>
            <w:tcW w:type="dxa" w:w="3160"/>
            <w:tcMar>
              <w:top w:w="80" w:type="dxa"/>
              <w:start w:w="120" w:type="dxa"/>
              <w:bottom w:w="80" w:type="dxa"/>
              <w:end w:w="120" w:type="dxa"/>
            </w:tcMar>
            <w:shd w:fill="E8EEF5"/>
            <w:vAlign w:val="center"/>
          </w:tcPr>
          <w:p>
            <w:pPr>
              <w:keepNext/>
              <w:spacing w:after="0"/>
            </w:pPr>
            <w:r>
              <w:rPr>
                <w:rFonts w:ascii="Calibri" w:hAnsi="Calibri"/>
                <w:b/>
                <w:color w:val="14213D"/>
                <w:sz w:val="18"/>
              </w:rPr>
              <w:t>Use</w:t>
            </w:r>
          </w:p>
        </w:tc>
      </w:tr>
      <w:tr>
        <w:trPr>
          <w:cantSplit/>
        </w:trPr>
        <w:tc>
          <w:tcPr>
            <w:tcW w:type="dxa" w:w="1400"/>
            <w:vAlign w:val="center"/>
          </w:tcPr>
          <w:p>
            <w:pPr>
              <w:spacing w:after="0"/>
            </w:pPr>
            <w:r>
              <w:rPr>
                <w:rFonts w:ascii="Calibri" w:hAnsi="Calibri"/>
                <w:color w:val="14213D"/>
                <w:sz w:val="17"/>
              </w:rPr>
              <w:t>UAT-OWN-A</w:t>
            </w:r>
          </w:p>
        </w:tc>
        <w:tc>
          <w:tcPr>
            <w:tcW w:type="dxa" w:w="1500"/>
            <w:vAlign w:val="center"/>
          </w:tcPr>
          <w:p>
            <w:pPr>
              <w:spacing w:after="0"/>
            </w:pPr>
            <w:r>
              <w:rPr>
                <w:rFonts w:ascii="Calibri" w:hAnsi="Calibri"/>
                <w:color w:val="14213D"/>
                <w:sz w:val="17"/>
              </w:rPr>
              <w:t>Owner</w:t>
            </w:r>
          </w:p>
        </w:tc>
        <w:tc>
          <w:tcPr>
            <w:tcW w:type="dxa" w:w="1600"/>
            <w:vAlign w:val="center"/>
          </w:tcPr>
          <w:p>
            <w:pPr>
              <w:spacing w:after="0"/>
            </w:pPr>
            <w:r>
              <w:rPr>
                <w:rFonts w:ascii="Calibri" w:hAnsi="Calibri"/>
                <w:color w:val="14213D"/>
                <w:sz w:val="17"/>
              </w:rPr>
              <w:t>Business A</w:t>
            </w:r>
          </w:p>
        </w:tc>
        <w:tc>
          <w:tcPr>
            <w:tcW w:type="dxa" w:w="1700"/>
            <w:vAlign w:val="center"/>
          </w:tcPr>
          <w:p>
            <w:pPr>
              <w:spacing w:after="0"/>
            </w:pPr>
            <w:r>
              <w:rPr>
                <w:rFonts w:ascii="Calibri" w:hAnsi="Calibri"/>
                <w:color w:val="14213D"/>
                <w:sz w:val="17"/>
              </w:rPr>
              <w:t>All Branches</w:t>
            </w:r>
          </w:p>
        </w:tc>
        <w:tc>
          <w:tcPr>
            <w:tcW w:type="dxa" w:w="3160"/>
            <w:vAlign w:val="center"/>
          </w:tcPr>
          <w:p>
            <w:pPr>
              <w:spacing w:after="0"/>
            </w:pPr>
            <w:r>
              <w:rPr>
                <w:rFonts w:ascii="Calibri" w:hAnsi="Calibri"/>
                <w:color w:val="14213D"/>
                <w:sz w:val="17"/>
              </w:rPr>
              <w:t>Full acceptance and sign-off journeys</w:t>
            </w:r>
          </w:p>
        </w:tc>
      </w:tr>
      <w:tr>
        <w:trPr>
          <w:cantSplit/>
        </w:trPr>
        <w:tc>
          <w:tcPr>
            <w:tcW w:type="dxa" w:w="1400"/>
            <w:vAlign w:val="center"/>
          </w:tcPr>
          <w:p>
            <w:pPr>
              <w:spacing w:after="0"/>
            </w:pPr>
            <w:r>
              <w:rPr>
                <w:rFonts w:ascii="Calibri" w:hAnsi="Calibri"/>
                <w:color w:val="14213D"/>
                <w:sz w:val="17"/>
              </w:rPr>
              <w:t>UAT-ADM-A</w:t>
            </w:r>
          </w:p>
        </w:tc>
        <w:tc>
          <w:tcPr>
            <w:tcW w:type="dxa" w:w="1500"/>
            <w:vAlign w:val="center"/>
          </w:tcPr>
          <w:p>
            <w:pPr>
              <w:spacing w:after="0"/>
            </w:pPr>
            <w:r>
              <w:rPr>
                <w:rFonts w:ascii="Calibri" w:hAnsi="Calibri"/>
                <w:color w:val="14213D"/>
                <w:sz w:val="17"/>
              </w:rPr>
              <w:t>Administrator</w:t>
            </w:r>
          </w:p>
        </w:tc>
        <w:tc>
          <w:tcPr>
            <w:tcW w:type="dxa" w:w="1600"/>
            <w:vAlign w:val="center"/>
          </w:tcPr>
          <w:p>
            <w:pPr>
              <w:spacing w:after="0"/>
            </w:pPr>
            <w:r>
              <w:rPr>
                <w:rFonts w:ascii="Calibri" w:hAnsi="Calibri"/>
                <w:color w:val="14213D"/>
                <w:sz w:val="17"/>
              </w:rPr>
              <w:t>Business A</w:t>
            </w:r>
          </w:p>
        </w:tc>
        <w:tc>
          <w:tcPr>
            <w:tcW w:type="dxa" w:w="1700"/>
            <w:vAlign w:val="center"/>
          </w:tcPr>
          <w:p>
            <w:pPr>
              <w:spacing w:after="0"/>
            </w:pPr>
            <w:r>
              <w:rPr>
                <w:rFonts w:ascii="Calibri" w:hAnsi="Calibri"/>
                <w:color w:val="14213D"/>
                <w:sz w:val="17"/>
              </w:rPr>
              <w:t>All Branches</w:t>
            </w:r>
          </w:p>
        </w:tc>
        <w:tc>
          <w:tcPr>
            <w:tcW w:type="dxa" w:w="3160"/>
            <w:vAlign w:val="center"/>
          </w:tcPr>
          <w:p>
            <w:pPr>
              <w:spacing w:after="0"/>
            </w:pPr>
            <w:r>
              <w:rPr>
                <w:rFonts w:ascii="Calibri" w:hAnsi="Calibri"/>
                <w:color w:val="14213D"/>
                <w:sz w:val="17"/>
              </w:rPr>
              <w:t>Configuration and operational administration</w:t>
            </w:r>
          </w:p>
        </w:tc>
      </w:tr>
      <w:tr>
        <w:trPr>
          <w:cantSplit/>
        </w:trPr>
        <w:tc>
          <w:tcPr>
            <w:tcW w:type="dxa" w:w="1400"/>
            <w:vAlign w:val="center"/>
          </w:tcPr>
          <w:p>
            <w:pPr>
              <w:spacing w:after="0"/>
            </w:pPr>
            <w:r>
              <w:rPr>
                <w:rFonts w:ascii="Calibri" w:hAnsi="Calibri"/>
                <w:color w:val="14213D"/>
                <w:sz w:val="17"/>
              </w:rPr>
              <w:t>UAT-MGR-A</w:t>
            </w:r>
          </w:p>
        </w:tc>
        <w:tc>
          <w:tcPr>
            <w:tcW w:type="dxa" w:w="1500"/>
            <w:vAlign w:val="center"/>
          </w:tcPr>
          <w:p>
            <w:pPr>
              <w:spacing w:after="0"/>
            </w:pPr>
            <w:r>
              <w:rPr>
                <w:rFonts w:ascii="Calibri" w:hAnsi="Calibri"/>
                <w:color w:val="14213D"/>
                <w:sz w:val="17"/>
              </w:rPr>
              <w:t>Manager</w:t>
            </w:r>
          </w:p>
        </w:tc>
        <w:tc>
          <w:tcPr>
            <w:tcW w:type="dxa" w:w="1600"/>
            <w:vAlign w:val="center"/>
          </w:tcPr>
          <w:p>
            <w:pPr>
              <w:spacing w:after="0"/>
            </w:pPr>
            <w:r>
              <w:rPr>
                <w:rFonts w:ascii="Calibri" w:hAnsi="Calibri"/>
                <w:color w:val="14213D"/>
                <w:sz w:val="17"/>
              </w:rPr>
              <w:t>Business A</w:t>
            </w:r>
          </w:p>
        </w:tc>
        <w:tc>
          <w:tcPr>
            <w:tcW w:type="dxa" w:w="1700"/>
            <w:vAlign w:val="center"/>
          </w:tcPr>
          <w:p>
            <w:pPr>
              <w:spacing w:after="0"/>
            </w:pPr>
            <w:r>
              <w:rPr>
                <w:rFonts w:ascii="Calibri" w:hAnsi="Calibri"/>
                <w:color w:val="14213D"/>
                <w:sz w:val="17"/>
              </w:rPr>
              <w:t>Main + Cebu</w:t>
            </w:r>
          </w:p>
        </w:tc>
        <w:tc>
          <w:tcPr>
            <w:tcW w:type="dxa" w:w="3160"/>
            <w:vAlign w:val="center"/>
          </w:tcPr>
          <w:p>
            <w:pPr>
              <w:spacing w:after="0"/>
            </w:pPr>
            <w:r>
              <w:rPr>
                <w:rFonts w:ascii="Calibri" w:hAnsi="Calibri"/>
                <w:color w:val="14213D"/>
                <w:sz w:val="17"/>
              </w:rPr>
              <w:t>Approvals, reports, inventory, staff</w:t>
            </w:r>
          </w:p>
        </w:tc>
      </w:tr>
      <w:tr>
        <w:trPr>
          <w:cantSplit/>
        </w:trPr>
        <w:tc>
          <w:tcPr>
            <w:tcW w:type="dxa" w:w="1400"/>
            <w:vAlign w:val="center"/>
          </w:tcPr>
          <w:p>
            <w:pPr>
              <w:spacing w:after="0"/>
            </w:pPr>
            <w:r>
              <w:rPr>
                <w:rFonts w:ascii="Calibri" w:hAnsi="Calibri"/>
                <w:color w:val="14213D"/>
                <w:sz w:val="17"/>
              </w:rPr>
              <w:t>UAT-CASH-A</w:t>
            </w:r>
          </w:p>
        </w:tc>
        <w:tc>
          <w:tcPr>
            <w:tcW w:type="dxa" w:w="1500"/>
            <w:vAlign w:val="center"/>
          </w:tcPr>
          <w:p>
            <w:pPr>
              <w:spacing w:after="0"/>
            </w:pPr>
            <w:r>
              <w:rPr>
                <w:rFonts w:ascii="Calibri" w:hAnsi="Calibri"/>
                <w:color w:val="14213D"/>
                <w:sz w:val="17"/>
              </w:rPr>
              <w:t>Cashier</w:t>
            </w:r>
          </w:p>
        </w:tc>
        <w:tc>
          <w:tcPr>
            <w:tcW w:type="dxa" w:w="1600"/>
            <w:vAlign w:val="center"/>
          </w:tcPr>
          <w:p>
            <w:pPr>
              <w:spacing w:after="0"/>
            </w:pPr>
            <w:r>
              <w:rPr>
                <w:rFonts w:ascii="Calibri" w:hAnsi="Calibri"/>
                <w:color w:val="14213D"/>
                <w:sz w:val="17"/>
              </w:rPr>
              <w:t>Business A</w:t>
            </w:r>
          </w:p>
        </w:tc>
        <w:tc>
          <w:tcPr>
            <w:tcW w:type="dxa" w:w="1700"/>
            <w:vAlign w:val="center"/>
          </w:tcPr>
          <w:p>
            <w:pPr>
              <w:spacing w:after="0"/>
            </w:pPr>
            <w:r>
              <w:rPr>
                <w:rFonts w:ascii="Calibri" w:hAnsi="Calibri"/>
                <w:color w:val="14213D"/>
                <w:sz w:val="17"/>
              </w:rPr>
              <w:t>Main only</w:t>
            </w:r>
          </w:p>
        </w:tc>
        <w:tc>
          <w:tcPr>
            <w:tcW w:type="dxa" w:w="3160"/>
            <w:vAlign w:val="center"/>
          </w:tcPr>
          <w:p>
            <w:pPr>
              <w:spacing w:after="0"/>
            </w:pPr>
            <w:r>
              <w:rPr>
                <w:rFonts w:ascii="Calibri" w:hAnsi="Calibri"/>
                <w:color w:val="14213D"/>
                <w:sz w:val="17"/>
              </w:rPr>
              <w:t>POS and limited customer activity</w:t>
            </w:r>
          </w:p>
        </w:tc>
      </w:tr>
      <w:tr>
        <w:trPr>
          <w:cantSplit/>
        </w:trPr>
        <w:tc>
          <w:tcPr>
            <w:tcW w:type="dxa" w:w="1400"/>
            <w:vAlign w:val="center"/>
          </w:tcPr>
          <w:p>
            <w:pPr>
              <w:spacing w:after="0"/>
            </w:pPr>
            <w:r>
              <w:rPr>
                <w:rFonts w:ascii="Calibri" w:hAnsi="Calibri"/>
                <w:color w:val="14213D"/>
                <w:sz w:val="17"/>
              </w:rPr>
              <w:t>UAT-STF-A</w:t>
            </w:r>
          </w:p>
        </w:tc>
        <w:tc>
          <w:tcPr>
            <w:tcW w:type="dxa" w:w="1500"/>
            <w:vAlign w:val="center"/>
          </w:tcPr>
          <w:p>
            <w:pPr>
              <w:spacing w:after="0"/>
            </w:pPr>
            <w:r>
              <w:rPr>
                <w:rFonts w:ascii="Calibri" w:hAnsi="Calibri"/>
                <w:color w:val="14213D"/>
                <w:sz w:val="17"/>
              </w:rPr>
              <w:t>Staff</w:t>
            </w:r>
          </w:p>
        </w:tc>
        <w:tc>
          <w:tcPr>
            <w:tcW w:type="dxa" w:w="1600"/>
            <w:vAlign w:val="center"/>
          </w:tcPr>
          <w:p>
            <w:pPr>
              <w:spacing w:after="0"/>
            </w:pPr>
            <w:r>
              <w:rPr>
                <w:rFonts w:ascii="Calibri" w:hAnsi="Calibri"/>
                <w:color w:val="14213D"/>
                <w:sz w:val="17"/>
              </w:rPr>
              <w:t>Business A</w:t>
            </w:r>
          </w:p>
        </w:tc>
        <w:tc>
          <w:tcPr>
            <w:tcW w:type="dxa" w:w="1700"/>
            <w:vAlign w:val="center"/>
          </w:tcPr>
          <w:p>
            <w:pPr>
              <w:spacing w:after="0"/>
            </w:pPr>
            <w:r>
              <w:rPr>
                <w:rFonts w:ascii="Calibri" w:hAnsi="Calibri"/>
                <w:color w:val="14213D"/>
                <w:sz w:val="17"/>
              </w:rPr>
              <w:t>Cebu only</w:t>
            </w:r>
          </w:p>
        </w:tc>
        <w:tc>
          <w:tcPr>
            <w:tcW w:type="dxa" w:w="3160"/>
            <w:vAlign w:val="center"/>
          </w:tcPr>
          <w:p>
            <w:pPr>
              <w:spacing w:after="0"/>
            </w:pPr>
            <w:r>
              <w:rPr>
                <w:rFonts w:ascii="Calibri" w:hAnsi="Calibri"/>
                <w:color w:val="14213D"/>
                <w:sz w:val="17"/>
              </w:rPr>
              <w:t>Appointments/jobs/attendance as configured</w:t>
            </w:r>
          </w:p>
        </w:tc>
      </w:tr>
      <w:tr>
        <w:trPr>
          <w:cantSplit/>
        </w:trPr>
        <w:tc>
          <w:tcPr>
            <w:tcW w:type="dxa" w:w="1400"/>
            <w:vAlign w:val="center"/>
          </w:tcPr>
          <w:p>
            <w:pPr>
              <w:spacing w:after="0"/>
            </w:pPr>
            <w:r>
              <w:rPr>
                <w:rFonts w:ascii="Calibri" w:hAnsi="Calibri"/>
                <w:color w:val="14213D"/>
                <w:sz w:val="17"/>
              </w:rPr>
              <w:t>UAT-VIEW-A</w:t>
            </w:r>
          </w:p>
        </w:tc>
        <w:tc>
          <w:tcPr>
            <w:tcW w:type="dxa" w:w="1500"/>
            <w:vAlign w:val="center"/>
          </w:tcPr>
          <w:p>
            <w:pPr>
              <w:spacing w:after="0"/>
            </w:pPr>
            <w:r>
              <w:rPr>
                <w:rFonts w:ascii="Calibri" w:hAnsi="Calibri"/>
                <w:color w:val="14213D"/>
                <w:sz w:val="17"/>
              </w:rPr>
              <w:t>Viewer</w:t>
            </w:r>
          </w:p>
        </w:tc>
        <w:tc>
          <w:tcPr>
            <w:tcW w:type="dxa" w:w="1600"/>
            <w:vAlign w:val="center"/>
          </w:tcPr>
          <w:p>
            <w:pPr>
              <w:spacing w:after="0"/>
            </w:pPr>
            <w:r>
              <w:rPr>
                <w:rFonts w:ascii="Calibri" w:hAnsi="Calibri"/>
                <w:color w:val="14213D"/>
                <w:sz w:val="17"/>
              </w:rPr>
              <w:t>Business A</w:t>
            </w:r>
          </w:p>
        </w:tc>
        <w:tc>
          <w:tcPr>
            <w:tcW w:type="dxa" w:w="1700"/>
            <w:vAlign w:val="center"/>
          </w:tcPr>
          <w:p>
            <w:pPr>
              <w:spacing w:after="0"/>
            </w:pPr>
            <w:r>
              <w:rPr>
                <w:rFonts w:ascii="Calibri" w:hAnsi="Calibri"/>
                <w:color w:val="14213D"/>
                <w:sz w:val="17"/>
              </w:rPr>
              <w:t>Main only</w:t>
            </w:r>
          </w:p>
        </w:tc>
        <w:tc>
          <w:tcPr>
            <w:tcW w:type="dxa" w:w="3160"/>
            <w:vAlign w:val="center"/>
          </w:tcPr>
          <w:p>
            <w:pPr>
              <w:spacing w:after="0"/>
            </w:pPr>
            <w:r>
              <w:rPr>
                <w:rFonts w:ascii="Calibri" w:hAnsi="Calibri"/>
                <w:color w:val="14213D"/>
                <w:sz w:val="17"/>
              </w:rPr>
              <w:t>Read-only behavior</w:t>
            </w:r>
          </w:p>
        </w:tc>
      </w:tr>
      <w:tr>
        <w:trPr>
          <w:cantSplit/>
        </w:trPr>
        <w:tc>
          <w:tcPr>
            <w:tcW w:type="dxa" w:w="1400"/>
            <w:vAlign w:val="center"/>
          </w:tcPr>
          <w:p>
            <w:pPr>
              <w:spacing w:after="0"/>
            </w:pPr>
            <w:r>
              <w:rPr>
                <w:rFonts w:ascii="Calibri" w:hAnsi="Calibri"/>
                <w:color w:val="14213D"/>
                <w:sz w:val="17"/>
              </w:rPr>
              <w:t>UAT-CUST-A</w:t>
            </w:r>
          </w:p>
        </w:tc>
        <w:tc>
          <w:tcPr>
            <w:tcW w:type="dxa" w:w="1500"/>
            <w:vAlign w:val="center"/>
          </w:tcPr>
          <w:p>
            <w:pPr>
              <w:spacing w:after="0"/>
            </w:pPr>
            <w:r>
              <w:rPr>
                <w:rFonts w:ascii="Calibri" w:hAnsi="Calibri"/>
                <w:color w:val="14213D"/>
                <w:sz w:val="17"/>
              </w:rPr>
              <w:t>Custom role</w:t>
            </w:r>
          </w:p>
        </w:tc>
        <w:tc>
          <w:tcPr>
            <w:tcW w:type="dxa" w:w="1600"/>
            <w:vAlign w:val="center"/>
          </w:tcPr>
          <w:p>
            <w:pPr>
              <w:spacing w:after="0"/>
            </w:pPr>
            <w:r>
              <w:rPr>
                <w:rFonts w:ascii="Calibri" w:hAnsi="Calibri"/>
                <w:color w:val="14213D"/>
                <w:sz w:val="17"/>
              </w:rPr>
              <w:t>Business A</w:t>
            </w:r>
          </w:p>
        </w:tc>
        <w:tc>
          <w:tcPr>
            <w:tcW w:type="dxa" w:w="1700"/>
            <w:vAlign w:val="center"/>
          </w:tcPr>
          <w:p>
            <w:pPr>
              <w:spacing w:after="0"/>
            </w:pPr>
            <w:r>
              <w:rPr>
                <w:rFonts w:ascii="Calibri" w:hAnsi="Calibri"/>
                <w:color w:val="14213D"/>
                <w:sz w:val="17"/>
              </w:rPr>
              <w:t>Davao only</w:t>
            </w:r>
          </w:p>
        </w:tc>
        <w:tc>
          <w:tcPr>
            <w:tcW w:type="dxa" w:w="3160"/>
            <w:vAlign w:val="center"/>
          </w:tcPr>
          <w:p>
            <w:pPr>
              <w:spacing w:after="0"/>
            </w:pPr>
            <w:r>
              <w:rPr>
                <w:rFonts w:ascii="Calibri" w:hAnsi="Calibri"/>
                <w:color w:val="14213D"/>
                <w:sz w:val="17"/>
              </w:rPr>
              <w:t>Purpose-built capability matrix</w:t>
            </w:r>
          </w:p>
        </w:tc>
      </w:tr>
      <w:tr>
        <w:trPr>
          <w:cantSplit/>
        </w:trPr>
        <w:tc>
          <w:tcPr>
            <w:tcW w:type="dxa" w:w="1400"/>
            <w:vAlign w:val="center"/>
          </w:tcPr>
          <w:p>
            <w:pPr>
              <w:spacing w:after="0"/>
            </w:pPr>
            <w:r>
              <w:rPr>
                <w:rFonts w:ascii="Calibri" w:hAnsi="Calibri"/>
                <w:color w:val="14213D"/>
                <w:sz w:val="17"/>
              </w:rPr>
              <w:t>UAT-OWN-B</w:t>
            </w:r>
          </w:p>
        </w:tc>
        <w:tc>
          <w:tcPr>
            <w:tcW w:type="dxa" w:w="1500"/>
            <w:vAlign w:val="center"/>
          </w:tcPr>
          <w:p>
            <w:pPr>
              <w:spacing w:after="0"/>
            </w:pPr>
            <w:r>
              <w:rPr>
                <w:rFonts w:ascii="Calibri" w:hAnsi="Calibri"/>
                <w:color w:val="14213D"/>
                <w:sz w:val="17"/>
              </w:rPr>
              <w:t>Owner</w:t>
            </w:r>
          </w:p>
        </w:tc>
        <w:tc>
          <w:tcPr>
            <w:tcW w:type="dxa" w:w="1600"/>
            <w:vAlign w:val="center"/>
          </w:tcPr>
          <w:p>
            <w:pPr>
              <w:spacing w:after="0"/>
            </w:pPr>
            <w:r>
              <w:rPr>
                <w:rFonts w:ascii="Calibri" w:hAnsi="Calibri"/>
                <w:color w:val="14213D"/>
                <w:sz w:val="17"/>
              </w:rPr>
              <w:t>Business B</w:t>
            </w:r>
          </w:p>
        </w:tc>
        <w:tc>
          <w:tcPr>
            <w:tcW w:type="dxa" w:w="1700"/>
            <w:vAlign w:val="center"/>
          </w:tcPr>
          <w:p>
            <w:pPr>
              <w:spacing w:after="0"/>
            </w:pPr>
            <w:r>
              <w:rPr>
                <w:rFonts w:ascii="Calibri" w:hAnsi="Calibri"/>
                <w:color w:val="14213D"/>
                <w:sz w:val="17"/>
              </w:rPr>
              <w:t>All Branches</w:t>
            </w:r>
          </w:p>
        </w:tc>
        <w:tc>
          <w:tcPr>
            <w:tcW w:type="dxa" w:w="3160"/>
            <w:vAlign w:val="center"/>
          </w:tcPr>
          <w:p>
            <w:pPr>
              <w:spacing w:after="0"/>
            </w:pPr>
            <w:r>
              <w:rPr>
                <w:rFonts w:ascii="Calibri" w:hAnsi="Calibri"/>
                <w:color w:val="14213D"/>
                <w:sz w:val="17"/>
              </w:rPr>
              <w:t>Adversarial cross-tenant attempts</w:t>
            </w:r>
          </w:p>
        </w:tc>
      </w:tr>
      <w:tr>
        <w:trPr>
          <w:cantSplit/>
        </w:trPr>
        <w:tc>
          <w:tcPr>
            <w:tcW w:type="dxa" w:w="1400"/>
            <w:vAlign w:val="center"/>
          </w:tcPr>
          <w:p>
            <w:pPr>
              <w:spacing w:after="0"/>
            </w:pPr>
            <w:r>
              <w:rPr>
                <w:rFonts w:ascii="Calibri" w:hAnsi="Calibri"/>
                <w:color w:val="14213D"/>
                <w:sz w:val="17"/>
              </w:rPr>
              <w:t>UAT-PLAT</w:t>
            </w:r>
          </w:p>
        </w:tc>
        <w:tc>
          <w:tcPr>
            <w:tcW w:type="dxa" w:w="1500"/>
            <w:vAlign w:val="center"/>
          </w:tcPr>
          <w:p>
            <w:pPr>
              <w:spacing w:after="0"/>
            </w:pPr>
            <w:r>
              <w:rPr>
                <w:rFonts w:ascii="Calibri" w:hAnsi="Calibri"/>
                <w:color w:val="14213D"/>
                <w:sz w:val="17"/>
              </w:rPr>
              <w:t>Platform admin</w:t>
            </w:r>
          </w:p>
        </w:tc>
        <w:tc>
          <w:tcPr>
            <w:tcW w:type="dxa" w:w="1600"/>
            <w:vAlign w:val="center"/>
          </w:tcPr>
          <w:p>
            <w:pPr>
              <w:spacing w:after="0"/>
            </w:pPr>
            <w:r>
              <w:rPr>
                <w:rFonts w:ascii="Calibri" w:hAnsi="Calibri"/>
                <w:color w:val="14213D"/>
                <w:sz w:val="17"/>
              </w:rPr>
              <w:t>Platform</w:t>
            </w:r>
          </w:p>
        </w:tc>
        <w:tc>
          <w:tcPr>
            <w:tcW w:type="dxa" w:w="1700"/>
            <w:vAlign w:val="center"/>
          </w:tcPr>
          <w:p>
            <w:pPr>
              <w:spacing w:after="0"/>
            </w:pPr>
            <w:r>
              <w:rPr>
                <w:rFonts w:ascii="Calibri" w:hAnsi="Calibri"/>
                <w:color w:val="14213D"/>
                <w:sz w:val="17"/>
              </w:rPr>
              <w:t>N/A</w:t>
            </w:r>
          </w:p>
        </w:tc>
        <w:tc>
          <w:tcPr>
            <w:tcW w:type="dxa" w:w="3160"/>
            <w:vAlign w:val="center"/>
          </w:tcPr>
          <w:p>
            <w:pPr>
              <w:spacing w:after="0"/>
            </w:pPr>
            <w:r>
              <w:rPr>
                <w:rFonts w:ascii="Calibri" w:hAnsi="Calibri"/>
                <w:color w:val="14213D"/>
                <w:sz w:val="17"/>
              </w:rPr>
              <w:t>Platform management and support-access controls</w:t>
            </w:r>
          </w:p>
        </w:tc>
      </w:tr>
      <w:tr>
        <w:trPr>
          <w:cantSplit/>
        </w:trPr>
        <w:tc>
          <w:tcPr>
            <w:tcW w:type="dxa" w:w="1400"/>
            <w:vAlign w:val="center"/>
          </w:tcPr>
          <w:p>
            <w:pPr>
              <w:spacing w:after="0"/>
            </w:pPr>
            <w:r>
              <w:rPr>
                <w:rFonts w:ascii="Calibri" w:hAnsi="Calibri"/>
                <w:color w:val="14213D"/>
                <w:sz w:val="17"/>
              </w:rPr>
              <w:t>UAT-NONE</w:t>
            </w:r>
          </w:p>
        </w:tc>
        <w:tc>
          <w:tcPr>
            <w:tcW w:type="dxa" w:w="1500"/>
            <w:vAlign w:val="center"/>
          </w:tcPr>
          <w:p>
            <w:pPr>
              <w:spacing w:after="0"/>
            </w:pPr>
            <w:r>
              <w:rPr>
                <w:rFonts w:ascii="Calibri" w:hAnsi="Calibri"/>
                <w:color w:val="14213D"/>
                <w:sz w:val="17"/>
              </w:rPr>
              <w:t>Authenticated non-member</w:t>
            </w:r>
          </w:p>
        </w:tc>
        <w:tc>
          <w:tcPr>
            <w:tcW w:type="dxa" w:w="1600"/>
            <w:vAlign w:val="center"/>
          </w:tcPr>
          <w:p>
            <w:pPr>
              <w:spacing w:after="0"/>
            </w:pPr>
            <w:r>
              <w:rPr>
                <w:rFonts w:ascii="Calibri" w:hAnsi="Calibri"/>
                <w:color w:val="14213D"/>
                <w:sz w:val="17"/>
              </w:rPr>
              <w:t>None</w:t>
            </w:r>
          </w:p>
        </w:tc>
        <w:tc>
          <w:tcPr>
            <w:tcW w:type="dxa" w:w="1700"/>
            <w:vAlign w:val="center"/>
          </w:tcPr>
          <w:p>
            <w:pPr>
              <w:spacing w:after="0"/>
            </w:pPr>
            <w:r>
              <w:rPr>
                <w:rFonts w:ascii="Calibri" w:hAnsi="Calibri"/>
                <w:color w:val="14213D"/>
                <w:sz w:val="17"/>
              </w:rPr>
              <w:t>None</w:t>
            </w:r>
          </w:p>
        </w:tc>
        <w:tc>
          <w:tcPr>
            <w:tcW w:type="dxa" w:w="3160"/>
            <w:vAlign w:val="center"/>
          </w:tcPr>
          <w:p>
            <w:pPr>
              <w:spacing w:after="0"/>
            </w:pPr>
            <w:r>
              <w:rPr>
                <w:rFonts w:ascii="Calibri" w:hAnsi="Calibri"/>
                <w:color w:val="14213D"/>
                <w:sz w:val="17"/>
              </w:rPr>
              <w:t>Forbidden direct URL/API behavior</w:t>
            </w:r>
          </w:p>
        </w:tc>
      </w:tr>
    </w:tbl>
    <w:p>
      <w:pPr>
        <w:spacing w:after="0"/>
      </w:pPr>
    </w:p>
    <w:p>
      <w:pPr>
        <w:pStyle w:val="Heading2"/>
      </w:pPr>
      <w:r>
        <w:t>Seed data pack</w:t>
      </w:r>
    </w:p>
    <w:p>
      <w:pPr>
        <w:keepLines/>
        <w:numPr>
          <w:ilvl w:val="0"/>
          <w:numId w:val="10"/>
        </w:numPr>
      </w:pPr>
      <w:r>
        <w:t>Business A: three Branches (Manila Main, Cebu, Davao), active Starter/Growth/Pro plan variants, custom logo/colors, and Retail Hardware OS installed.</w:t>
      </w:r>
    </w:p>
    <w:p>
      <w:pPr>
        <w:keepLines/>
        <w:numPr>
          <w:ilvl w:val="0"/>
          <w:numId w:val="10"/>
        </w:numPr>
      </w:pPr>
      <w:r>
        <w:t>Business B: unrelated owner, one Branch, Food/Restaurant OS, distinct customers, catalog, documents, attachments, and workflows.</w:t>
      </w:r>
    </w:p>
    <w:p>
      <w:pPr>
        <w:keepLines/>
        <w:numPr>
          <w:ilvl w:val="0"/>
          <w:numId w:val="10"/>
        </w:numPr>
      </w:pPr>
      <w:r>
        <w:t>Catalog: at least 30 products, variants, barcodes, tracked/non-tracked items, taxable/exempt items, categories/brands, inactive items, duplicate SKU/barcode negatives.</w:t>
      </w:r>
    </w:p>
    <w:p>
      <w:pPr>
        <w:keepLines/>
        <w:numPr>
          <w:ilvl w:val="0"/>
          <w:numId w:val="10"/>
        </w:numPr>
      </w:pPr>
      <w:r>
        <w:t>Inventory: multiple locations, opening balances, low/out-of-stock thresholds, transfer in progress, posted adjustment, and movement history.</w:t>
      </w:r>
    </w:p>
    <w:p>
      <w:pPr>
        <w:keepLines/>
        <w:numPr>
          <w:ilvl w:val="0"/>
          <w:numId w:val="10"/>
        </w:numPr>
      </w:pPr>
      <w:r>
        <w:t>Customers and transactions: retail/wholesale/VIP customers, notes/tags, sales, refunds, quotations, invoices, payments, outstanding and overdue balances.</w:t>
      </w:r>
    </w:p>
    <w:p>
      <w:pPr>
        <w:keepLines/>
        <w:numPr>
          <w:ilvl w:val="0"/>
          <w:numId w:val="10"/>
        </w:numPr>
      </w:pPr>
      <w:r>
        <w:t>Operations: suppliers/POs, appointments, job orders with materials/attachments, deliveries with proof, employees, attendance sessions, loyalty rules, approvals, notifications.</w:t>
      </w:r>
    </w:p>
    <w:p>
      <w:pPr>
        <w:keepLines/>
        <w:numPr>
          <w:ilvl w:val="0"/>
          <w:numId w:val="10"/>
        </w:numPr>
      </w:pPr>
      <w:r>
        <w:t>Configuration: custom object with all supported field types, create/edit forms, table/cards/kanban views, active/draft workflows, config versions, AI interview/conversation history.</w:t>
      </w:r>
    </w:p>
    <w:p>
      <w:pPr>
        <w:keepLines/>
        <w:numPr>
          <w:ilvl w:val="0"/>
          <w:numId w:val="10"/>
        </w:numPr>
      </w:pPr>
      <w:r>
        <w:t>Boundary data: long names, Unicode Filipino names/addresses, zero/maximum values, leap/month-end dates, malformed uploads, unsupported CSV rows, and duplicate identifiers.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EE2E2"/>
          </w:tcPr>
          <w:p>
            <w:r>
              <w:rPr>
                <w:rFonts w:ascii="Calibri" w:hAnsi="Calibri"/>
                <w:b/>
                <w:color w:val="991B1B"/>
              </w:rPr>
              <w:t xml:space="preserve">Data safety: </w:t>
            </w:r>
            <w:r>
              <w:rPr>
                <w:rFonts w:ascii="Calibri" w:hAnsi="Calibri"/>
                <w:color w:val="991B1B"/>
              </w:rPr>
              <w:t>Use synthetic data only. Never copy live personal data into UAT without an approved masked-data process and privacy sign-off.</w:t>
            </w:r>
          </w:p>
        </w:tc>
      </w:tr>
    </w:tbl>
    <w:p>
      <w:pPr>
        <w:spacing w:after="0"/>
      </w:pPr>
    </w:p>
    <w:p>
      <w:pPr>
        <w:pStyle w:val="Heading1"/>
      </w:pPr>
      <w:r>
        <w:t>6. Execution method and evidence</w:t>
      </w:r>
    </w:p>
    <w:p>
      <w:pPr>
        <w:pStyle w:val="Heading2"/>
      </w:pPr>
      <w:r>
        <w:t>Test execution lifecycle</w:t>
      </w:r>
    </w:p>
    <w:p>
      <w:pPr>
        <w:keepLines/>
        <w:numPr>
          <w:ilvl w:val="0"/>
          <w:numId w:val="11"/>
        </w:numPr>
      </w:pPr>
      <w:r>
        <w:t>Confirm the build, environment, account, Business, Branch, plan, feature flags, and test data baseline.</w:t>
      </w:r>
    </w:p>
    <w:p>
      <w:pPr>
        <w:keepLines/>
        <w:numPr>
          <w:ilvl w:val="0"/>
          <w:numId w:val="11"/>
        </w:numPr>
      </w:pPr>
      <w:r>
        <w:t>Execute the case exactly once as written; then perform short exploratory variation around the changed behavior.</w:t>
      </w:r>
    </w:p>
    <w:p>
      <w:pPr>
        <w:keepLines/>
        <w:numPr>
          <w:ilvl w:val="0"/>
          <w:numId w:val="11"/>
        </w:numPr>
      </w:pPr>
      <w:r>
        <w:t>Validate visible UI, persisted records, downstream totals/status/stock, audit trail, notifications, and authorization boundaries.</w:t>
      </w:r>
    </w:p>
    <w:p>
      <w:pPr>
        <w:keepLines/>
        <w:numPr>
          <w:ilvl w:val="0"/>
          <w:numId w:val="11"/>
        </w:numPr>
      </w:pPr>
      <w:r>
        <w:t>Capture evidence, record Pass/Fail/Blocked/Not Run, and link any defect to every affected case.</w:t>
      </w:r>
    </w:p>
    <w:p>
      <w:pPr>
        <w:keepLines/>
        <w:numPr>
          <w:ilvl w:val="0"/>
          <w:numId w:val="11"/>
        </w:numPr>
      </w:pPr>
      <w:r>
        <w:t>After a fix, retest the failed case, adjacent negative cases, and the assigned regression pack on the fixed build.</w:t>
      </w:r>
    </w:p>
    <w:p>
      <w:pPr>
        <w:pStyle w:val="Heading2"/>
      </w:pPr>
      <w:r>
        <w:t>Evidence standard</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80" w:type="dxa"/>
              <w:start w:w="120" w:type="dxa"/>
              <w:bottom w:w="80" w:type="dxa"/>
              <w:end w:w="120" w:type="dxa"/>
            </w:tcMar>
            <w:shd w:fill="E8EEF5"/>
            <w:vAlign w:val="center"/>
          </w:tcPr>
          <w:p>
            <w:pPr>
              <w:keepNext/>
              <w:spacing w:after="0"/>
            </w:pPr>
            <w:r>
              <w:rPr>
                <w:rFonts w:ascii="Calibri" w:hAnsi="Calibri"/>
                <w:b/>
                <w:color w:val="14213D"/>
                <w:sz w:val="18"/>
              </w:rPr>
              <w:t>Evidence</w:t>
            </w:r>
          </w:p>
        </w:tc>
        <w:tc>
          <w:tcPr>
            <w:tcW w:type="dxa" w:w="7160"/>
            <w:tcMar>
              <w:top w:w="80" w:type="dxa"/>
              <w:start w:w="120" w:type="dxa"/>
              <w:bottom w:w="80" w:type="dxa"/>
              <w:end w:w="120" w:type="dxa"/>
            </w:tcMar>
            <w:shd w:fill="E8EEF5"/>
            <w:vAlign w:val="center"/>
          </w:tcPr>
          <w:p>
            <w:pPr>
              <w:keepNext/>
              <w:spacing w:after="0"/>
            </w:pPr>
            <w:r>
              <w:rPr>
                <w:rFonts w:ascii="Calibri" w:hAnsi="Calibri"/>
                <w:b/>
                <w:color w:val="14213D"/>
                <w:sz w:val="18"/>
              </w:rPr>
              <w:t>Minimum content</w:t>
            </w:r>
          </w:p>
        </w:tc>
      </w:tr>
      <w:tr>
        <w:trPr>
          <w:cantSplit/>
        </w:trPr>
        <w:tc>
          <w:tcPr>
            <w:tcW w:type="dxa" w:w="2200"/>
            <w:vAlign w:val="center"/>
          </w:tcPr>
          <w:p>
            <w:pPr>
              <w:spacing w:after="0"/>
            </w:pPr>
            <w:r>
              <w:rPr>
                <w:rFonts w:ascii="Calibri" w:hAnsi="Calibri"/>
                <w:color w:val="14213D"/>
                <w:sz w:val="18"/>
              </w:rPr>
              <w:t>UI capture</w:t>
            </w:r>
          </w:p>
        </w:tc>
        <w:tc>
          <w:tcPr>
            <w:tcW w:type="dxa" w:w="7160"/>
            <w:vAlign w:val="center"/>
          </w:tcPr>
          <w:p>
            <w:pPr>
              <w:spacing w:after="0"/>
            </w:pPr>
            <w:r>
              <w:rPr>
                <w:rFonts w:ascii="Calibri" w:hAnsi="Calibri"/>
                <w:color w:val="14213D"/>
                <w:sz w:val="18"/>
              </w:rPr>
              <w:t>Whole page or meaningful region, URL, timestamp, account/persona, Business/Branch, and visible result.</w:t>
            </w:r>
          </w:p>
        </w:tc>
      </w:tr>
      <w:tr>
        <w:trPr>
          <w:cantSplit/>
        </w:trPr>
        <w:tc>
          <w:tcPr>
            <w:tcW w:type="dxa" w:w="2200"/>
            <w:vAlign w:val="center"/>
          </w:tcPr>
          <w:p>
            <w:pPr>
              <w:spacing w:after="0"/>
            </w:pPr>
            <w:r>
              <w:rPr>
                <w:rFonts w:ascii="Calibri" w:hAnsi="Calibri"/>
                <w:color w:val="14213D"/>
                <w:sz w:val="18"/>
              </w:rPr>
              <w:t>Record proof</w:t>
            </w:r>
          </w:p>
        </w:tc>
        <w:tc>
          <w:tcPr>
            <w:tcW w:type="dxa" w:w="7160"/>
            <w:vAlign w:val="center"/>
          </w:tcPr>
          <w:p>
            <w:pPr>
              <w:spacing w:after="0"/>
            </w:pPr>
            <w:r>
              <w:rPr>
                <w:rFonts w:ascii="Calibri" w:hAnsi="Calibri"/>
                <w:color w:val="14213D"/>
                <w:sz w:val="18"/>
              </w:rPr>
              <w:t>Entity ID, status, totals, timestamps, audit event ID, and relevant related-record IDs.</w:t>
            </w:r>
          </w:p>
        </w:tc>
      </w:tr>
      <w:tr>
        <w:trPr>
          <w:cantSplit/>
        </w:trPr>
        <w:tc>
          <w:tcPr>
            <w:tcW w:type="dxa" w:w="2200"/>
            <w:vAlign w:val="center"/>
          </w:tcPr>
          <w:p>
            <w:pPr>
              <w:spacing w:after="0"/>
            </w:pPr>
            <w:r>
              <w:rPr>
                <w:rFonts w:ascii="Calibri" w:hAnsi="Calibri"/>
                <w:color w:val="14213D"/>
                <w:sz w:val="18"/>
              </w:rPr>
              <w:t>Financial/stock proof</w:t>
            </w:r>
          </w:p>
        </w:tc>
        <w:tc>
          <w:tcPr>
            <w:tcW w:type="dxa" w:w="7160"/>
            <w:vAlign w:val="center"/>
          </w:tcPr>
          <w:p>
            <w:pPr>
              <w:spacing w:after="0"/>
            </w:pPr>
            <w:r>
              <w:rPr>
                <w:rFonts w:ascii="Calibri" w:hAnsi="Calibri"/>
                <w:color w:val="14213D"/>
                <w:sz w:val="18"/>
              </w:rPr>
              <w:t>Inputs, independently calculated expected value, observed value, currency/quantity precision, and downstream ledger/movement.</w:t>
            </w:r>
          </w:p>
        </w:tc>
      </w:tr>
      <w:tr>
        <w:trPr>
          <w:cantSplit/>
        </w:trPr>
        <w:tc>
          <w:tcPr>
            <w:tcW w:type="dxa" w:w="2200"/>
            <w:vAlign w:val="center"/>
          </w:tcPr>
          <w:p>
            <w:pPr>
              <w:spacing w:after="0"/>
            </w:pPr>
            <w:r>
              <w:rPr>
                <w:rFonts w:ascii="Calibri" w:hAnsi="Calibri"/>
                <w:color w:val="14213D"/>
                <w:sz w:val="18"/>
              </w:rPr>
              <w:t>Access-control proof</w:t>
            </w:r>
          </w:p>
        </w:tc>
        <w:tc>
          <w:tcPr>
            <w:tcW w:type="dxa" w:w="7160"/>
            <w:vAlign w:val="center"/>
          </w:tcPr>
          <w:p>
            <w:pPr>
              <w:spacing w:after="0"/>
            </w:pPr>
            <w:r>
              <w:rPr>
                <w:rFonts w:ascii="Calibri" w:hAnsi="Calibri"/>
                <w:color w:val="14213D"/>
                <w:sz w:val="18"/>
              </w:rPr>
              <w:t>Allowed persona result plus denied persona/direct URL or alternate Business/Branch attempt; include request ID.</w:t>
            </w:r>
          </w:p>
        </w:tc>
      </w:tr>
      <w:tr>
        <w:trPr>
          <w:cantSplit/>
        </w:trPr>
        <w:tc>
          <w:tcPr>
            <w:tcW w:type="dxa" w:w="2200"/>
            <w:vAlign w:val="center"/>
          </w:tcPr>
          <w:p>
            <w:pPr>
              <w:spacing w:after="0"/>
            </w:pPr>
            <w:r>
              <w:rPr>
                <w:rFonts w:ascii="Calibri" w:hAnsi="Calibri"/>
                <w:color w:val="14213D"/>
                <w:sz w:val="18"/>
              </w:rPr>
              <w:t>Files/PDF/CSV</w:t>
            </w:r>
          </w:p>
        </w:tc>
        <w:tc>
          <w:tcPr>
            <w:tcW w:type="dxa" w:w="7160"/>
            <w:vAlign w:val="center"/>
          </w:tcPr>
          <w:p>
            <w:pPr>
              <w:spacing w:after="0"/>
            </w:pPr>
            <w:r>
              <w:rPr>
                <w:rFonts w:ascii="Calibri" w:hAnsi="Calibri"/>
                <w:color w:val="14213D"/>
                <w:sz w:val="18"/>
              </w:rPr>
              <w:t>Original input, generated output, file hash/name, download result, page/content validation, and access-expiry behavior.</w:t>
            </w:r>
          </w:p>
        </w:tc>
      </w:tr>
      <w:tr>
        <w:trPr>
          <w:cantSplit/>
        </w:trPr>
        <w:tc>
          <w:tcPr>
            <w:tcW w:type="dxa" w:w="2200"/>
            <w:vAlign w:val="center"/>
          </w:tcPr>
          <w:p>
            <w:pPr>
              <w:spacing w:after="0"/>
            </w:pPr>
            <w:r>
              <w:rPr>
                <w:rFonts w:ascii="Calibri" w:hAnsi="Calibri"/>
                <w:color w:val="14213D"/>
                <w:sz w:val="18"/>
              </w:rPr>
              <w:t>AI proof</w:t>
            </w:r>
          </w:p>
        </w:tc>
        <w:tc>
          <w:tcPr>
            <w:tcW w:type="dxa" w:w="7160"/>
            <w:vAlign w:val="center"/>
          </w:tcPr>
          <w:p>
            <w:pPr>
              <w:spacing w:after="0"/>
            </w:pPr>
            <w:r>
              <w:rPr>
                <w:rFonts w:ascii="Calibri" w:hAnsi="Calibri"/>
                <w:color w:val="14213D"/>
                <w:sz w:val="18"/>
              </w:rPr>
              <w:t>Prompt, approved scope, proposal/response, evidence labels, human decision, audit event, and rollback/recovery result where applicable.</w:t>
            </w:r>
          </w:p>
        </w:tc>
      </w:tr>
    </w:tbl>
    <w:p>
      <w:pPr>
        <w:spacing w:after="0"/>
      </w:pPr>
    </w:p>
    <w:p>
      <w:pPr>
        <w:pStyle w:val="Heading2"/>
      </w:pPr>
      <w:r>
        <w:t>Result statuses</w:t>
      </w:r>
    </w:p>
    <w:tbl>
      <w:tblPr>
        <w:tblStyle w:val="TableGrid"/>
        <w:tblW w:type="dxa" w:w="9360"/>
        <w:tblLayout w:type="fixed"/>
        <w:tblLook w:firstColumn="1" w:firstRow="1" w:lastColumn="0" w:lastRow="0" w:noHBand="0" w:noVBand="1" w:val="04A0"/>
        <w:tblInd w:w="120" w:type="dxa"/>
      </w:tblPr>
      <w:tblGrid>
        <w:gridCol w:w="1700"/>
        <w:gridCol w:w="7660"/>
      </w:tblGrid>
      <w:tr>
        <w:trPr>
          <w:tblHeader w:val="true"/>
          <w:cantSplit/>
        </w:trPr>
        <w:tc>
          <w:tcPr>
            <w:tcW w:type="dxa" w:w="1700"/>
            <w:tcMar>
              <w:top w:w="80" w:type="dxa"/>
              <w:start w:w="120" w:type="dxa"/>
              <w:bottom w:w="80" w:type="dxa"/>
              <w:end w:w="120" w:type="dxa"/>
            </w:tcMar>
            <w:shd w:fill="E8EEF5"/>
            <w:vAlign w:val="center"/>
          </w:tcPr>
          <w:p>
            <w:pPr>
              <w:keepNext/>
              <w:spacing w:after="0"/>
            </w:pPr>
            <w:r>
              <w:rPr>
                <w:rFonts w:ascii="Calibri" w:hAnsi="Calibri"/>
                <w:b/>
                <w:color w:val="14213D"/>
                <w:sz w:val="18"/>
              </w:rPr>
              <w:t>Status</w:t>
            </w:r>
          </w:p>
        </w:tc>
        <w:tc>
          <w:tcPr>
            <w:tcW w:type="dxa" w:w="7660"/>
            <w:tcMar>
              <w:top w:w="80" w:type="dxa"/>
              <w:start w:w="120" w:type="dxa"/>
              <w:bottom w:w="80" w:type="dxa"/>
              <w:end w:w="120" w:type="dxa"/>
            </w:tcMar>
            <w:shd w:fill="E8EEF5"/>
            <w:vAlign w:val="center"/>
          </w:tcPr>
          <w:p>
            <w:pPr>
              <w:keepNext/>
              <w:spacing w:after="0"/>
            </w:pPr>
            <w:r>
              <w:rPr>
                <w:rFonts w:ascii="Calibri" w:hAnsi="Calibri"/>
                <w:b/>
                <w:color w:val="14213D"/>
                <w:sz w:val="18"/>
              </w:rPr>
              <w:t>Definition</w:t>
            </w:r>
          </w:p>
        </w:tc>
      </w:tr>
      <w:tr>
        <w:trPr>
          <w:cantSplit/>
        </w:trPr>
        <w:tc>
          <w:tcPr>
            <w:tcW w:type="dxa" w:w="1700"/>
            <w:vAlign w:val="center"/>
          </w:tcPr>
          <w:p>
            <w:pPr>
              <w:spacing w:after="0"/>
            </w:pPr>
            <w:r>
              <w:rPr>
                <w:rFonts w:ascii="Calibri" w:hAnsi="Calibri"/>
                <w:color w:val="14213D"/>
                <w:sz w:val="18"/>
              </w:rPr>
              <w:t>Pass</w:t>
            </w:r>
          </w:p>
        </w:tc>
        <w:tc>
          <w:tcPr>
            <w:tcW w:type="dxa" w:w="7660"/>
            <w:vAlign w:val="center"/>
          </w:tcPr>
          <w:p>
            <w:pPr>
              <w:spacing w:after="0"/>
            </w:pPr>
            <w:r>
              <w:rPr>
                <w:rFonts w:ascii="Calibri" w:hAnsi="Calibri"/>
                <w:color w:val="14213D"/>
                <w:sz w:val="18"/>
              </w:rPr>
              <w:t>Observed outcome matches every acceptance result and required evidence is attached.</w:t>
            </w:r>
          </w:p>
        </w:tc>
      </w:tr>
      <w:tr>
        <w:trPr>
          <w:cantSplit/>
        </w:trPr>
        <w:tc>
          <w:tcPr>
            <w:tcW w:type="dxa" w:w="1700"/>
            <w:vAlign w:val="center"/>
          </w:tcPr>
          <w:p>
            <w:pPr>
              <w:spacing w:after="0"/>
            </w:pPr>
            <w:r>
              <w:rPr>
                <w:rFonts w:ascii="Calibri" w:hAnsi="Calibri"/>
                <w:color w:val="14213D"/>
                <w:sz w:val="18"/>
              </w:rPr>
              <w:t>Fail</w:t>
            </w:r>
          </w:p>
        </w:tc>
        <w:tc>
          <w:tcPr>
            <w:tcW w:type="dxa" w:w="7660"/>
            <w:vAlign w:val="center"/>
          </w:tcPr>
          <w:p>
            <w:pPr>
              <w:spacing w:after="0"/>
            </w:pPr>
            <w:r>
              <w:rPr>
                <w:rFonts w:ascii="Calibri" w:hAnsi="Calibri"/>
                <w:color w:val="14213D"/>
                <w:sz w:val="18"/>
              </w:rPr>
              <w:t>At least one acceptance result is not met; defect is logged or linked.</w:t>
            </w:r>
          </w:p>
        </w:tc>
      </w:tr>
      <w:tr>
        <w:trPr>
          <w:cantSplit/>
        </w:trPr>
        <w:tc>
          <w:tcPr>
            <w:tcW w:type="dxa" w:w="1700"/>
            <w:vAlign w:val="center"/>
          </w:tcPr>
          <w:p>
            <w:pPr>
              <w:spacing w:after="0"/>
            </w:pPr>
            <w:r>
              <w:rPr>
                <w:rFonts w:ascii="Calibri" w:hAnsi="Calibri"/>
                <w:color w:val="14213D"/>
                <w:sz w:val="18"/>
              </w:rPr>
              <w:t>Blocked</w:t>
            </w:r>
          </w:p>
        </w:tc>
        <w:tc>
          <w:tcPr>
            <w:tcW w:type="dxa" w:w="7660"/>
            <w:vAlign w:val="center"/>
          </w:tcPr>
          <w:p>
            <w:pPr>
              <w:spacing w:after="0"/>
            </w:pPr>
            <w:r>
              <w:rPr>
                <w:rFonts w:ascii="Calibri" w:hAnsi="Calibri"/>
                <w:color w:val="14213D"/>
                <w:sz w:val="18"/>
              </w:rPr>
              <w:t>Execution cannot proceed because a prerequisite, environment, data, or known defect prevents it.</w:t>
            </w:r>
          </w:p>
        </w:tc>
      </w:tr>
      <w:tr>
        <w:trPr>
          <w:cantSplit/>
        </w:trPr>
        <w:tc>
          <w:tcPr>
            <w:tcW w:type="dxa" w:w="1700"/>
            <w:vAlign w:val="center"/>
          </w:tcPr>
          <w:p>
            <w:pPr>
              <w:spacing w:after="0"/>
            </w:pPr>
            <w:r>
              <w:rPr>
                <w:rFonts w:ascii="Calibri" w:hAnsi="Calibri"/>
                <w:color w:val="14213D"/>
                <w:sz w:val="18"/>
              </w:rPr>
              <w:t>Not Run</w:t>
            </w:r>
          </w:p>
        </w:tc>
        <w:tc>
          <w:tcPr>
            <w:tcW w:type="dxa" w:w="7660"/>
            <w:vAlign w:val="center"/>
          </w:tcPr>
          <w:p>
            <w:pPr>
              <w:spacing w:after="0"/>
            </w:pPr>
            <w:r>
              <w:rPr>
                <w:rFonts w:ascii="Calibri" w:hAnsi="Calibri"/>
                <w:color w:val="14213D"/>
                <w:sz w:val="18"/>
              </w:rPr>
              <w:t>No execution attempted in the current build.</w:t>
            </w:r>
          </w:p>
        </w:tc>
      </w:tr>
      <w:tr>
        <w:trPr>
          <w:cantSplit/>
        </w:trPr>
        <w:tc>
          <w:tcPr>
            <w:tcW w:type="dxa" w:w="1700"/>
            <w:vAlign w:val="center"/>
          </w:tcPr>
          <w:p>
            <w:pPr>
              <w:spacing w:after="0"/>
            </w:pPr>
            <w:r>
              <w:rPr>
                <w:rFonts w:ascii="Calibri" w:hAnsi="Calibri"/>
                <w:color w:val="14213D"/>
                <w:sz w:val="18"/>
              </w:rPr>
              <w:t>Waived</w:t>
            </w:r>
          </w:p>
        </w:tc>
        <w:tc>
          <w:tcPr>
            <w:tcW w:type="dxa" w:w="7660"/>
            <w:vAlign w:val="center"/>
          </w:tcPr>
          <w:p>
            <w:pPr>
              <w:spacing w:after="0"/>
            </w:pPr>
            <w:r>
              <w:rPr>
                <w:rFonts w:ascii="Calibri" w:hAnsi="Calibri"/>
                <w:color w:val="14213D"/>
                <w:sz w:val="18"/>
              </w:rPr>
              <w:t>Product Owner and Sponsor formally accept exclusion with rationale, risk, and expiry/review date.</w:t>
            </w:r>
          </w:p>
        </w:tc>
      </w:tr>
    </w:tbl>
    <w:p>
      <w:pPr>
        <w:spacing w:after="0"/>
      </w:pPr>
    </w:p>
    <w:p>
      <w:pPr>
        <w:pStyle w:val="Heading1"/>
      </w:pPr>
      <w:r>
        <w:t>7. Defect management and release decision</w:t>
      </w:r>
    </w:p>
    <w:tbl>
      <w:tblPr>
        <w:tblStyle w:val="TableGrid"/>
        <w:tblW w:type="dxa" w:w="9360"/>
        <w:tblLayout w:type="fixed"/>
        <w:tblLook w:firstColumn="1" w:firstRow="1" w:lastColumn="0" w:lastRow="0" w:noHBand="0" w:noVBand="1" w:val="04A0"/>
        <w:tblInd w:w="120" w:type="dxa"/>
      </w:tblPr>
      <w:tblGrid>
        <w:gridCol w:w="1250"/>
        <w:gridCol w:w="3050"/>
        <w:gridCol w:w="2750"/>
        <w:gridCol w:w="2310"/>
      </w:tblGrid>
      <w:tr>
        <w:trPr>
          <w:tblHeader w:val="true"/>
          <w:cantSplit/>
        </w:trPr>
        <w:tc>
          <w:tcPr>
            <w:tcW w:type="dxa" w:w="1250"/>
            <w:tcMar>
              <w:top w:w="80" w:type="dxa"/>
              <w:start w:w="120" w:type="dxa"/>
              <w:bottom w:w="80" w:type="dxa"/>
              <w:end w:w="120" w:type="dxa"/>
            </w:tcMar>
            <w:shd w:fill="E8EEF5"/>
            <w:vAlign w:val="center"/>
          </w:tcPr>
          <w:p>
            <w:pPr>
              <w:keepNext/>
              <w:spacing w:after="0"/>
            </w:pPr>
            <w:r>
              <w:rPr>
                <w:rFonts w:ascii="Calibri" w:hAnsi="Calibri"/>
                <w:b/>
                <w:color w:val="14213D"/>
                <w:sz w:val="18"/>
              </w:rPr>
              <w:t>Severity</w:t>
            </w:r>
          </w:p>
        </w:tc>
        <w:tc>
          <w:tcPr>
            <w:tcW w:type="dxa" w:w="3050"/>
            <w:tcMar>
              <w:top w:w="80" w:type="dxa"/>
              <w:start w:w="120" w:type="dxa"/>
              <w:bottom w:w="80" w:type="dxa"/>
              <w:end w:w="120" w:type="dxa"/>
            </w:tcMar>
            <w:shd w:fill="E8EEF5"/>
            <w:vAlign w:val="center"/>
          </w:tcPr>
          <w:p>
            <w:pPr>
              <w:keepNext/>
              <w:spacing w:after="0"/>
            </w:pPr>
            <w:r>
              <w:rPr>
                <w:rFonts w:ascii="Calibri" w:hAnsi="Calibri"/>
                <w:b/>
                <w:color w:val="14213D"/>
                <w:sz w:val="18"/>
              </w:rPr>
              <w:t>Business impact</w:t>
            </w:r>
          </w:p>
        </w:tc>
        <w:tc>
          <w:tcPr>
            <w:tcW w:type="dxa" w:w="2750"/>
            <w:tcMar>
              <w:top w:w="80" w:type="dxa"/>
              <w:start w:w="120" w:type="dxa"/>
              <w:bottom w:w="80" w:type="dxa"/>
              <w:end w:w="120" w:type="dxa"/>
            </w:tcMar>
            <w:shd w:fill="E8EEF5"/>
            <w:vAlign w:val="center"/>
          </w:tcPr>
          <w:p>
            <w:pPr>
              <w:keepNext/>
              <w:spacing w:after="0"/>
            </w:pPr>
            <w:r>
              <w:rPr>
                <w:rFonts w:ascii="Calibri" w:hAnsi="Calibri"/>
                <w:b/>
                <w:color w:val="14213D"/>
                <w:sz w:val="18"/>
              </w:rPr>
              <w:t>Examples</w:t>
            </w:r>
          </w:p>
        </w:tc>
        <w:tc>
          <w:tcPr>
            <w:tcW w:type="dxa" w:w="2310"/>
            <w:tcMar>
              <w:top w:w="80" w:type="dxa"/>
              <w:start w:w="120" w:type="dxa"/>
              <w:bottom w:w="80" w:type="dxa"/>
              <w:end w:w="120" w:type="dxa"/>
            </w:tcMar>
            <w:shd w:fill="E8EEF5"/>
            <w:vAlign w:val="center"/>
          </w:tcPr>
          <w:p>
            <w:pPr>
              <w:keepNext/>
              <w:spacing w:after="0"/>
            </w:pPr>
            <w:r>
              <w:rPr>
                <w:rFonts w:ascii="Calibri" w:hAnsi="Calibri"/>
                <w:b/>
                <w:color w:val="14213D"/>
                <w:sz w:val="18"/>
              </w:rPr>
              <w:t>Target</w:t>
            </w:r>
          </w:p>
        </w:tc>
      </w:tr>
      <w:tr>
        <w:trPr>
          <w:cantSplit/>
        </w:trPr>
        <w:tc>
          <w:tcPr>
            <w:tcW w:type="dxa" w:w="1250"/>
            <w:vAlign w:val="center"/>
          </w:tcPr>
          <w:p>
            <w:pPr>
              <w:spacing w:after="0"/>
            </w:pPr>
            <w:r>
              <w:rPr>
                <w:rFonts w:ascii="Calibri" w:hAnsi="Calibri"/>
                <w:color w:val="14213D"/>
                <w:sz w:val="16"/>
              </w:rPr>
              <w:t>Sev 1 Critical</w:t>
            </w:r>
          </w:p>
        </w:tc>
        <w:tc>
          <w:tcPr>
            <w:tcW w:type="dxa" w:w="3050"/>
            <w:vAlign w:val="center"/>
          </w:tcPr>
          <w:p>
            <w:pPr>
              <w:spacing w:after="0"/>
            </w:pPr>
            <w:r>
              <w:rPr>
                <w:rFonts w:ascii="Calibri" w:hAnsi="Calibri"/>
                <w:color w:val="14213D"/>
                <w:sz w:val="16"/>
              </w:rPr>
              <w:t>Release-stopping; security breach, tenant exposure, unrecoverable data loss, materially wrong money/stock at scale, or system unavailable.</w:t>
            </w:r>
          </w:p>
        </w:tc>
        <w:tc>
          <w:tcPr>
            <w:tcW w:type="dxa" w:w="2750"/>
            <w:vAlign w:val="center"/>
          </w:tcPr>
          <w:p>
            <w:pPr>
              <w:spacing w:after="0"/>
            </w:pPr>
            <w:r>
              <w:rPr>
                <w:rFonts w:ascii="Calibri" w:hAnsi="Calibri"/>
                <w:color w:val="14213D"/>
                <w:sz w:val="16"/>
              </w:rPr>
              <w:t>Cross-Business read; duplicate charge; posted stock corruption.</w:t>
            </w:r>
          </w:p>
        </w:tc>
        <w:tc>
          <w:tcPr>
            <w:tcW w:type="dxa" w:w="2310"/>
            <w:vAlign w:val="center"/>
          </w:tcPr>
          <w:p>
            <w:pPr>
              <w:spacing w:after="0"/>
            </w:pPr>
            <w:r>
              <w:rPr>
                <w:rFonts w:ascii="Calibri" w:hAnsi="Calibri"/>
                <w:color w:val="14213D"/>
                <w:sz w:val="16"/>
              </w:rPr>
              <w:t>Immediate triage; suspend affected UAT.</w:t>
            </w:r>
          </w:p>
        </w:tc>
      </w:tr>
      <w:tr>
        <w:trPr>
          <w:cantSplit/>
        </w:trPr>
        <w:tc>
          <w:tcPr>
            <w:tcW w:type="dxa" w:w="1250"/>
            <w:vAlign w:val="center"/>
          </w:tcPr>
          <w:p>
            <w:pPr>
              <w:spacing w:after="0"/>
            </w:pPr>
            <w:r>
              <w:rPr>
                <w:rFonts w:ascii="Calibri" w:hAnsi="Calibri"/>
                <w:color w:val="14213D"/>
                <w:sz w:val="16"/>
              </w:rPr>
              <w:t>Sev 2 High</w:t>
            </w:r>
          </w:p>
        </w:tc>
        <w:tc>
          <w:tcPr>
            <w:tcW w:type="dxa" w:w="3050"/>
            <w:vAlign w:val="center"/>
          </w:tcPr>
          <w:p>
            <w:pPr>
              <w:spacing w:after="0"/>
            </w:pPr>
            <w:r>
              <w:rPr>
                <w:rFonts w:ascii="Calibri" w:hAnsi="Calibri"/>
                <w:color w:val="14213D"/>
                <w:sz w:val="16"/>
              </w:rPr>
              <w:t>Major journey unavailable or produces wrong business result; no acceptable workaround.</w:t>
            </w:r>
          </w:p>
        </w:tc>
        <w:tc>
          <w:tcPr>
            <w:tcW w:type="dxa" w:w="2750"/>
            <w:vAlign w:val="center"/>
          </w:tcPr>
          <w:p>
            <w:pPr>
              <w:spacing w:after="0"/>
            </w:pPr>
            <w:r>
              <w:rPr>
                <w:rFonts w:ascii="Calibri" w:hAnsi="Calibri"/>
                <w:color w:val="14213D"/>
                <w:sz w:val="16"/>
              </w:rPr>
              <w:t>Cannot complete sale; payment not reflected; role bypass.</w:t>
            </w:r>
          </w:p>
        </w:tc>
        <w:tc>
          <w:tcPr>
            <w:tcW w:type="dxa" w:w="2310"/>
            <w:vAlign w:val="center"/>
          </w:tcPr>
          <w:p>
            <w:pPr>
              <w:spacing w:after="0"/>
            </w:pPr>
            <w:r>
              <w:rPr>
                <w:rFonts w:ascii="Calibri" w:hAnsi="Calibri"/>
                <w:color w:val="14213D"/>
                <w:sz w:val="16"/>
              </w:rPr>
              <w:t>Fix before sign-off unless Sponsor accepts non-critical residual risk.</w:t>
            </w:r>
          </w:p>
        </w:tc>
      </w:tr>
      <w:tr>
        <w:trPr>
          <w:cantSplit/>
        </w:trPr>
        <w:tc>
          <w:tcPr>
            <w:tcW w:type="dxa" w:w="1250"/>
            <w:vAlign w:val="center"/>
          </w:tcPr>
          <w:p>
            <w:pPr>
              <w:spacing w:after="0"/>
            </w:pPr>
            <w:r>
              <w:rPr>
                <w:rFonts w:ascii="Calibri" w:hAnsi="Calibri"/>
                <w:color w:val="14213D"/>
                <w:sz w:val="16"/>
              </w:rPr>
              <w:t>Sev 3 Medium</w:t>
            </w:r>
          </w:p>
        </w:tc>
        <w:tc>
          <w:tcPr>
            <w:tcW w:type="dxa" w:w="3050"/>
            <w:vAlign w:val="center"/>
          </w:tcPr>
          <w:p>
            <w:pPr>
              <w:spacing w:after="0"/>
            </w:pPr>
            <w:r>
              <w:rPr>
                <w:rFonts w:ascii="Calibri" w:hAnsi="Calibri"/>
                <w:color w:val="14213D"/>
                <w:sz w:val="16"/>
              </w:rPr>
              <w:t>Journey works with workaround; limited scope or usability impact.</w:t>
            </w:r>
          </w:p>
        </w:tc>
        <w:tc>
          <w:tcPr>
            <w:tcW w:type="dxa" w:w="2750"/>
            <w:vAlign w:val="center"/>
          </w:tcPr>
          <w:p>
            <w:pPr>
              <w:spacing w:after="0"/>
            </w:pPr>
            <w:r>
              <w:rPr>
                <w:rFonts w:ascii="Calibri" w:hAnsi="Calibri"/>
                <w:color w:val="14213D"/>
                <w:sz w:val="16"/>
              </w:rPr>
              <w:t>Filter wrong in one view; awkward but usable mobile form.</w:t>
            </w:r>
          </w:p>
        </w:tc>
        <w:tc>
          <w:tcPr>
            <w:tcW w:type="dxa" w:w="2310"/>
            <w:vAlign w:val="center"/>
          </w:tcPr>
          <w:p>
            <w:pPr>
              <w:spacing w:after="0"/>
            </w:pPr>
            <w:r>
              <w:rPr>
                <w:rFonts w:ascii="Calibri" w:hAnsi="Calibri"/>
                <w:color w:val="14213D"/>
                <w:sz w:val="16"/>
              </w:rPr>
              <w:t>Prioritize for release or documented follow-up.</w:t>
            </w:r>
          </w:p>
        </w:tc>
      </w:tr>
      <w:tr>
        <w:trPr>
          <w:cantSplit/>
        </w:trPr>
        <w:tc>
          <w:tcPr>
            <w:tcW w:type="dxa" w:w="1250"/>
            <w:vAlign w:val="center"/>
          </w:tcPr>
          <w:p>
            <w:pPr>
              <w:spacing w:after="0"/>
            </w:pPr>
            <w:r>
              <w:rPr>
                <w:rFonts w:ascii="Calibri" w:hAnsi="Calibri"/>
                <w:color w:val="14213D"/>
                <w:sz w:val="16"/>
              </w:rPr>
              <w:t>Sev 4 Low</w:t>
            </w:r>
          </w:p>
        </w:tc>
        <w:tc>
          <w:tcPr>
            <w:tcW w:type="dxa" w:w="3050"/>
            <w:vAlign w:val="center"/>
          </w:tcPr>
          <w:p>
            <w:pPr>
              <w:spacing w:after="0"/>
            </w:pPr>
            <w:r>
              <w:rPr>
                <w:rFonts w:ascii="Calibri" w:hAnsi="Calibri"/>
                <w:color w:val="14213D"/>
                <w:sz w:val="16"/>
              </w:rPr>
              <w:t>Cosmetic, copy, minor alignment, or low-impact edge case.</w:t>
            </w:r>
          </w:p>
        </w:tc>
        <w:tc>
          <w:tcPr>
            <w:tcW w:type="dxa" w:w="2750"/>
            <w:vAlign w:val="center"/>
          </w:tcPr>
          <w:p>
            <w:pPr>
              <w:spacing w:after="0"/>
            </w:pPr>
            <w:r>
              <w:rPr>
                <w:rFonts w:ascii="Calibri" w:hAnsi="Calibri"/>
                <w:color w:val="14213D"/>
                <w:sz w:val="16"/>
              </w:rPr>
              <w:t>Truncation without data loss; inconsistent label.</w:t>
            </w:r>
          </w:p>
        </w:tc>
        <w:tc>
          <w:tcPr>
            <w:tcW w:type="dxa" w:w="2310"/>
            <w:vAlign w:val="center"/>
          </w:tcPr>
          <w:p>
            <w:pPr>
              <w:spacing w:after="0"/>
            </w:pPr>
            <w:r>
              <w:rPr>
                <w:rFonts w:ascii="Calibri" w:hAnsi="Calibri"/>
                <w:color w:val="14213D"/>
                <w:sz w:val="16"/>
              </w:rPr>
              <w:t>Backlog or bundle with nearby fix.</w:t>
            </w:r>
          </w:p>
        </w:tc>
      </w:tr>
    </w:tbl>
    <w:p>
      <w:pPr>
        <w:spacing w:after="0"/>
      </w:pPr>
    </w:p>
    <w:p>
      <w:pPr>
        <w:pStyle w:val="Heading2"/>
      </w:pPr>
      <w:r>
        <w:t>Defect workflow</w:t>
      </w:r>
    </w:p>
    <w:p>
      <w:r>
        <w:t>New -&gt; Triaged -&gt; Assigned -&gt; Fixed -&gt; Ready for retest -&gt; Retest passed -&gt; Closed. A failed retest returns to Assigned. Duplicate, Not a defect, Cannot reproduce, Deferred, and Accepted risk require rationale and Product Owner approval.</w:t>
      </w:r>
    </w:p>
    <w:p>
      <w:pPr>
        <w:pStyle w:val="Heading2"/>
      </w:pPr>
      <w:r>
        <w:t>Release decision options</w:t>
      </w:r>
    </w:p>
    <w:p>
      <w:pPr>
        <w:keepLines/>
        <w:numPr>
          <w:ilvl w:val="0"/>
          <w:numId w:val="10"/>
        </w:numPr>
      </w:pPr>
      <w:r>
        <w:t>Approve: all exit criteria met and no unacceptable residual risks.</w:t>
      </w:r>
    </w:p>
    <w:p>
      <w:pPr>
        <w:keepLines/>
        <w:numPr>
          <w:ilvl w:val="0"/>
          <w:numId w:val="10"/>
        </w:numPr>
      </w:pPr>
      <w:r>
        <w:t>Approve with conditions: explicit residual risks, workarounds, owners, deadlines, monitoring, and rollback conditions accepted by the Sponsor.</w:t>
      </w:r>
    </w:p>
    <w:p>
      <w:pPr>
        <w:keepLines/>
        <w:numPr>
          <w:ilvl w:val="0"/>
          <w:numId w:val="10"/>
        </w:numPr>
      </w:pPr>
      <w:r>
        <w:t>Reject: one or more exit gates fail or residual risk is unacceptable; a new release candidate and regression cycle are required.</w:t>
      </w:r>
    </w:p>
    <w:p>
      <w:pPr>
        <w:pStyle w:val="Heading1"/>
      </w:pPr>
      <w:r>
        <w:t>8. Schedule and reporting</w:t>
      </w:r>
    </w:p>
    <w:tbl>
      <w:tblPr>
        <w:tblStyle w:val="TableGrid"/>
        <w:tblW w:type="dxa" w:w="9360"/>
        <w:tblLayout w:type="fixed"/>
        <w:tblLook w:firstColumn="1" w:firstRow="1" w:lastColumn="0" w:lastRow="0" w:noHBand="0" w:noVBand="1" w:val="04A0"/>
        <w:tblInd w:w="120" w:type="dxa"/>
      </w:tblPr>
      <w:tblGrid>
        <w:gridCol w:w="1700"/>
        <w:gridCol w:w="1900"/>
        <w:gridCol w:w="5760"/>
      </w:tblGrid>
      <w:tr>
        <w:trPr>
          <w:tblHeader w:val="true"/>
          <w:cantSplit/>
        </w:trPr>
        <w:tc>
          <w:tcPr>
            <w:tcW w:type="dxa" w:w="1700"/>
            <w:tcMar>
              <w:top w:w="80" w:type="dxa"/>
              <w:start w:w="120" w:type="dxa"/>
              <w:bottom w:w="80" w:type="dxa"/>
              <w:end w:w="120" w:type="dxa"/>
            </w:tcMar>
            <w:shd w:fill="E8EEF5"/>
            <w:vAlign w:val="center"/>
          </w:tcPr>
          <w:p>
            <w:pPr>
              <w:keepNext/>
              <w:spacing w:after="0"/>
            </w:pPr>
            <w:r>
              <w:rPr>
                <w:rFonts w:ascii="Calibri" w:hAnsi="Calibri"/>
                <w:b/>
                <w:color w:val="14213D"/>
                <w:sz w:val="18"/>
              </w:rPr>
              <w:t>Phase</w:t>
            </w:r>
          </w:p>
        </w:tc>
        <w:tc>
          <w:tcPr>
            <w:tcW w:type="dxa" w:w="1900"/>
            <w:tcMar>
              <w:top w:w="80" w:type="dxa"/>
              <w:start w:w="120" w:type="dxa"/>
              <w:bottom w:w="80" w:type="dxa"/>
              <w:end w:w="120" w:type="dxa"/>
            </w:tcMar>
            <w:shd w:fill="E8EEF5"/>
            <w:vAlign w:val="center"/>
          </w:tcPr>
          <w:p>
            <w:pPr>
              <w:keepNext/>
              <w:spacing w:after="0"/>
            </w:pPr>
            <w:r>
              <w:rPr>
                <w:rFonts w:ascii="Calibri" w:hAnsi="Calibri"/>
                <w:b/>
                <w:color w:val="14213D"/>
                <w:sz w:val="18"/>
              </w:rPr>
              <w:t>Suggested duration</w:t>
            </w:r>
          </w:p>
        </w:tc>
        <w:tc>
          <w:tcPr>
            <w:tcW w:type="dxa" w:w="5760"/>
            <w:tcMar>
              <w:top w:w="80" w:type="dxa"/>
              <w:start w:w="120" w:type="dxa"/>
              <w:bottom w:w="80" w:type="dxa"/>
              <w:end w:w="120" w:type="dxa"/>
            </w:tcMar>
            <w:shd w:fill="E8EEF5"/>
            <w:vAlign w:val="center"/>
          </w:tcPr>
          <w:p>
            <w:pPr>
              <w:keepNext/>
              <w:spacing w:after="0"/>
            </w:pPr>
            <w:r>
              <w:rPr>
                <w:rFonts w:ascii="Calibri" w:hAnsi="Calibri"/>
                <w:b/>
                <w:color w:val="14213D"/>
                <w:sz w:val="18"/>
              </w:rPr>
              <w:t>Outputs</w:t>
            </w:r>
          </w:p>
        </w:tc>
      </w:tr>
      <w:tr>
        <w:trPr>
          <w:cantSplit/>
        </w:trPr>
        <w:tc>
          <w:tcPr>
            <w:tcW w:type="dxa" w:w="1700"/>
            <w:vAlign w:val="center"/>
          </w:tcPr>
          <w:p>
            <w:pPr>
              <w:spacing w:after="0"/>
            </w:pPr>
            <w:r>
              <w:rPr>
                <w:rFonts w:ascii="Calibri" w:hAnsi="Calibri"/>
                <w:color w:val="14213D"/>
                <w:sz w:val="18"/>
              </w:rPr>
              <w:t>Preparation</w:t>
            </w:r>
          </w:p>
        </w:tc>
        <w:tc>
          <w:tcPr>
            <w:tcW w:type="dxa" w:w="1900"/>
            <w:vAlign w:val="center"/>
          </w:tcPr>
          <w:p>
            <w:pPr>
              <w:spacing w:after="0"/>
            </w:pPr>
            <w:r>
              <w:rPr>
                <w:rFonts w:ascii="Calibri" w:hAnsi="Calibri"/>
                <w:color w:val="14213D"/>
                <w:sz w:val="18"/>
              </w:rPr>
              <w:t>5 business days</w:t>
            </w:r>
          </w:p>
        </w:tc>
        <w:tc>
          <w:tcPr>
            <w:tcW w:type="dxa" w:w="5760"/>
            <w:vAlign w:val="center"/>
          </w:tcPr>
          <w:p>
            <w:pPr>
              <w:spacing w:after="0"/>
            </w:pPr>
            <w:r>
              <w:rPr>
                <w:rFonts w:ascii="Calibri" w:hAnsi="Calibri"/>
                <w:color w:val="14213D"/>
                <w:sz w:val="18"/>
              </w:rPr>
              <w:t>Environment, accounts, data, cases, training, entry report</w:t>
            </w:r>
          </w:p>
        </w:tc>
      </w:tr>
      <w:tr>
        <w:trPr>
          <w:cantSplit/>
        </w:trPr>
        <w:tc>
          <w:tcPr>
            <w:tcW w:type="dxa" w:w="1700"/>
            <w:vAlign w:val="center"/>
          </w:tcPr>
          <w:p>
            <w:pPr>
              <w:spacing w:after="0"/>
            </w:pPr>
            <w:r>
              <w:rPr>
                <w:rFonts w:ascii="Calibri" w:hAnsi="Calibri"/>
                <w:color w:val="14213D"/>
                <w:sz w:val="18"/>
              </w:rPr>
              <w:t>Cycle 1</w:t>
            </w:r>
          </w:p>
        </w:tc>
        <w:tc>
          <w:tcPr>
            <w:tcW w:type="dxa" w:w="1900"/>
            <w:vAlign w:val="center"/>
          </w:tcPr>
          <w:p>
            <w:pPr>
              <w:spacing w:after="0"/>
            </w:pPr>
            <w:r>
              <w:rPr>
                <w:rFonts w:ascii="Calibri" w:hAnsi="Calibri"/>
                <w:color w:val="14213D"/>
                <w:sz w:val="18"/>
              </w:rPr>
              <w:t>5 business days</w:t>
            </w:r>
          </w:p>
        </w:tc>
        <w:tc>
          <w:tcPr>
            <w:tcW w:type="dxa" w:w="5760"/>
            <w:vAlign w:val="center"/>
          </w:tcPr>
          <w:p>
            <w:pPr>
              <w:spacing w:after="0"/>
            </w:pPr>
            <w:r>
              <w:rPr>
                <w:rFonts w:ascii="Calibri" w:hAnsi="Calibri"/>
                <w:color w:val="14213D"/>
                <w:sz w:val="18"/>
              </w:rPr>
              <w:t>P0/P1 execution, exploratory notes, daily defects/metrics</w:t>
            </w:r>
          </w:p>
        </w:tc>
      </w:tr>
      <w:tr>
        <w:trPr>
          <w:cantSplit/>
        </w:trPr>
        <w:tc>
          <w:tcPr>
            <w:tcW w:type="dxa" w:w="1700"/>
            <w:vAlign w:val="center"/>
          </w:tcPr>
          <w:p>
            <w:pPr>
              <w:spacing w:after="0"/>
            </w:pPr>
            <w:r>
              <w:rPr>
                <w:rFonts w:ascii="Calibri" w:hAnsi="Calibri"/>
                <w:color w:val="14213D"/>
                <w:sz w:val="18"/>
              </w:rPr>
              <w:t>Fix window</w:t>
            </w:r>
          </w:p>
        </w:tc>
        <w:tc>
          <w:tcPr>
            <w:tcW w:type="dxa" w:w="1900"/>
            <w:vAlign w:val="center"/>
          </w:tcPr>
          <w:p>
            <w:pPr>
              <w:spacing w:after="0"/>
            </w:pPr>
            <w:r>
              <w:rPr>
                <w:rFonts w:ascii="Calibri" w:hAnsi="Calibri"/>
                <w:color w:val="14213D"/>
                <w:sz w:val="18"/>
              </w:rPr>
              <w:t>2-3 business days</w:t>
            </w:r>
          </w:p>
        </w:tc>
        <w:tc>
          <w:tcPr>
            <w:tcW w:type="dxa" w:w="5760"/>
            <w:vAlign w:val="center"/>
          </w:tcPr>
          <w:p>
            <w:pPr>
              <w:spacing w:after="0"/>
            </w:pPr>
            <w:r>
              <w:rPr>
                <w:rFonts w:ascii="Calibri" w:hAnsi="Calibri"/>
                <w:color w:val="14213D"/>
                <w:sz w:val="18"/>
              </w:rPr>
              <w:t>Stable release candidate, change notes, targeted technical evidence</w:t>
            </w:r>
          </w:p>
        </w:tc>
      </w:tr>
      <w:tr>
        <w:trPr>
          <w:cantSplit/>
        </w:trPr>
        <w:tc>
          <w:tcPr>
            <w:tcW w:type="dxa" w:w="1700"/>
            <w:vAlign w:val="center"/>
          </w:tcPr>
          <w:p>
            <w:pPr>
              <w:spacing w:after="0"/>
            </w:pPr>
            <w:r>
              <w:rPr>
                <w:rFonts w:ascii="Calibri" w:hAnsi="Calibri"/>
                <w:color w:val="14213D"/>
                <w:sz w:val="18"/>
              </w:rPr>
              <w:t>Cycle 2</w:t>
            </w:r>
          </w:p>
        </w:tc>
        <w:tc>
          <w:tcPr>
            <w:tcW w:type="dxa" w:w="1900"/>
            <w:vAlign w:val="center"/>
          </w:tcPr>
          <w:p>
            <w:pPr>
              <w:spacing w:after="0"/>
            </w:pPr>
            <w:r>
              <w:rPr>
                <w:rFonts w:ascii="Calibri" w:hAnsi="Calibri"/>
                <w:color w:val="14213D"/>
                <w:sz w:val="18"/>
              </w:rPr>
              <w:t>3 business days</w:t>
            </w:r>
          </w:p>
        </w:tc>
        <w:tc>
          <w:tcPr>
            <w:tcW w:type="dxa" w:w="5760"/>
            <w:vAlign w:val="center"/>
          </w:tcPr>
          <w:p>
            <w:pPr>
              <w:spacing w:after="0"/>
            </w:pPr>
            <w:r>
              <w:rPr>
                <w:rFonts w:ascii="Calibri" w:hAnsi="Calibri"/>
                <w:color w:val="14213D"/>
                <w:sz w:val="18"/>
              </w:rPr>
              <w:t>Retest, impacted regression, remaining P2 coverage</w:t>
            </w:r>
          </w:p>
        </w:tc>
      </w:tr>
      <w:tr>
        <w:trPr>
          <w:cantSplit/>
        </w:trPr>
        <w:tc>
          <w:tcPr>
            <w:tcW w:type="dxa" w:w="1700"/>
            <w:vAlign w:val="center"/>
          </w:tcPr>
          <w:p>
            <w:pPr>
              <w:spacing w:after="0"/>
            </w:pPr>
            <w:r>
              <w:rPr>
                <w:rFonts w:ascii="Calibri" w:hAnsi="Calibri"/>
                <w:color w:val="14213D"/>
                <w:sz w:val="18"/>
              </w:rPr>
              <w:t>Closure</w:t>
            </w:r>
          </w:p>
        </w:tc>
        <w:tc>
          <w:tcPr>
            <w:tcW w:type="dxa" w:w="1900"/>
            <w:vAlign w:val="center"/>
          </w:tcPr>
          <w:p>
            <w:pPr>
              <w:spacing w:after="0"/>
            </w:pPr>
            <w:r>
              <w:rPr>
                <w:rFonts w:ascii="Calibri" w:hAnsi="Calibri"/>
                <w:color w:val="14213D"/>
                <w:sz w:val="18"/>
              </w:rPr>
              <w:t>1 business day</w:t>
            </w:r>
          </w:p>
        </w:tc>
        <w:tc>
          <w:tcPr>
            <w:tcW w:type="dxa" w:w="5760"/>
            <w:vAlign w:val="center"/>
          </w:tcPr>
          <w:p>
            <w:pPr>
              <w:spacing w:after="0"/>
            </w:pPr>
            <w:r>
              <w:rPr>
                <w:rFonts w:ascii="Calibri" w:hAnsi="Calibri"/>
                <w:color w:val="14213D"/>
                <w:sz w:val="18"/>
              </w:rPr>
              <w:t>Exit report, residual-risk register, approvals, archived evidence</w:t>
            </w:r>
          </w:p>
        </w:tc>
      </w:tr>
    </w:tbl>
    <w:p>
      <w:pPr>
        <w:spacing w:after="0"/>
      </w:pPr>
    </w:p>
    <w:p>
      <w:pPr>
        <w:pStyle w:val="Heading2"/>
      </w:pPr>
      <w:r>
        <w:t>Daily dashboard</w:t>
      </w:r>
    </w:p>
    <w:p>
      <w:r>
        <w:t>Report build/environment, cases planned/executed/pass/fail/blocked/not run, pass rate by priority/domain, new/open/closed defects by severity, blockers, retest queue, risks/decisions, and next-day focus. Denominator rules must be stated; waived cases are reported separately.</w:t>
      </w:r>
    </w:p>
    <w:p>
      <w:pPr>
        <w:pStyle w:val="Heading1"/>
      </w:pPr>
      <w:r>
        <w:t>9. End-to-end business journeys</w:t>
      </w:r>
    </w:p>
    <w:tbl>
      <w:tblPr>
        <w:tblStyle w:val="TableGrid"/>
        <w:tblW w:type="dxa" w:w="9360"/>
        <w:tblLayout w:type="fixed"/>
        <w:tblLook w:firstColumn="1" w:firstRow="1" w:lastColumn="0" w:lastRow="0" w:noHBand="0" w:noVBand="1" w:val="04A0"/>
        <w:tblInd w:w="120" w:type="dxa"/>
      </w:tblPr>
      <w:tblGrid>
        <w:gridCol w:w="950"/>
        <w:gridCol w:w="600"/>
        <w:gridCol w:w="1450"/>
        <w:gridCol w:w="3460"/>
        <w:gridCol w:w="2900"/>
      </w:tblGrid>
      <w:tr>
        <w:trPr>
          <w:tblHeader w:val="true"/>
          <w:cantSplit/>
        </w:trPr>
        <w:tc>
          <w:tcPr>
            <w:tcW w:type="dxa" w:w="950"/>
            <w:tcMar>
              <w:top w:w="80" w:type="dxa"/>
              <w:start w:w="120" w:type="dxa"/>
              <w:bottom w:w="80" w:type="dxa"/>
              <w:end w:w="120" w:type="dxa"/>
            </w:tcMar>
            <w:shd w:fill="E8EEF5"/>
            <w:vAlign w:val="center"/>
          </w:tcPr>
          <w:p>
            <w:pPr>
              <w:keepNext/>
              <w:spacing w:after="0"/>
            </w:pPr>
            <w:r>
              <w:rPr>
                <w:rFonts w:ascii="Calibri" w:hAnsi="Calibri"/>
                <w:b/>
                <w:color w:val="14213D"/>
                <w:sz w:val="18"/>
              </w:rPr>
              <w:t>Journey</w:t>
            </w:r>
          </w:p>
        </w:tc>
        <w:tc>
          <w:tcPr>
            <w:tcW w:type="dxa" w:w="600"/>
            <w:tcMar>
              <w:top w:w="80" w:type="dxa"/>
              <w:start w:w="120" w:type="dxa"/>
              <w:bottom w:w="80" w:type="dxa"/>
              <w:end w:w="120" w:type="dxa"/>
            </w:tcMar>
            <w:shd w:fill="E8EEF5"/>
            <w:vAlign w:val="center"/>
          </w:tcPr>
          <w:p>
            <w:pPr>
              <w:keepNext/>
              <w:spacing w:after="0"/>
            </w:pPr>
            <w:r>
              <w:rPr>
                <w:rFonts w:ascii="Calibri" w:hAnsi="Calibri"/>
                <w:b/>
                <w:color w:val="14213D"/>
                <w:sz w:val="18"/>
              </w:rPr>
              <w:t>Pri.</w:t>
            </w:r>
          </w:p>
        </w:tc>
        <w:tc>
          <w:tcPr>
            <w:tcW w:type="dxa" w:w="1450"/>
            <w:tcMar>
              <w:top w:w="80" w:type="dxa"/>
              <w:start w:w="120" w:type="dxa"/>
              <w:bottom w:w="80" w:type="dxa"/>
              <w:end w:w="120" w:type="dxa"/>
            </w:tcMar>
            <w:shd w:fill="E8EEF5"/>
            <w:vAlign w:val="center"/>
          </w:tcPr>
          <w:p>
            <w:pPr>
              <w:keepNext/>
              <w:spacing w:after="0"/>
            </w:pPr>
            <w:r>
              <w:rPr>
                <w:rFonts w:ascii="Calibri" w:hAnsi="Calibri"/>
                <w:b/>
                <w:color w:val="14213D"/>
                <w:sz w:val="18"/>
              </w:rPr>
              <w:t>Name</w:t>
            </w:r>
          </w:p>
        </w:tc>
        <w:tc>
          <w:tcPr>
            <w:tcW w:type="dxa" w:w="3460"/>
            <w:tcMar>
              <w:top w:w="80" w:type="dxa"/>
              <w:start w:w="120" w:type="dxa"/>
              <w:bottom w:w="80" w:type="dxa"/>
              <w:end w:w="120" w:type="dxa"/>
            </w:tcMar>
            <w:shd w:fill="E8EEF5"/>
            <w:vAlign w:val="center"/>
          </w:tcPr>
          <w:p>
            <w:pPr>
              <w:keepNext/>
              <w:spacing w:after="0"/>
            </w:pPr>
            <w:r>
              <w:rPr>
                <w:rFonts w:ascii="Calibri" w:hAnsi="Calibri"/>
                <w:b/>
                <w:color w:val="14213D"/>
                <w:sz w:val="18"/>
              </w:rPr>
              <w:t>Path</w:t>
            </w:r>
          </w:p>
        </w:tc>
        <w:tc>
          <w:tcPr>
            <w:tcW w:type="dxa" w:w="2900"/>
            <w:tcMar>
              <w:top w:w="80" w:type="dxa"/>
              <w:start w:w="120" w:type="dxa"/>
              <w:bottom w:w="80" w:type="dxa"/>
              <w:end w:w="120" w:type="dxa"/>
            </w:tcMar>
            <w:shd w:fill="E8EEF5"/>
            <w:vAlign w:val="center"/>
          </w:tcPr>
          <w:p>
            <w:pPr>
              <w:keepNext/>
              <w:spacing w:after="0"/>
            </w:pPr>
            <w:r>
              <w:rPr>
                <w:rFonts w:ascii="Calibri" w:hAnsi="Calibri"/>
                <w:b/>
                <w:color w:val="14213D"/>
                <w:sz w:val="18"/>
              </w:rPr>
              <w:t>Business acceptance</w:t>
            </w:r>
          </w:p>
        </w:tc>
      </w:tr>
      <w:tr>
        <w:trPr>
          <w:cantSplit/>
        </w:trPr>
        <w:tc>
          <w:tcPr>
            <w:tcW w:type="dxa" w:w="950"/>
            <w:vAlign w:val="center"/>
          </w:tcPr>
          <w:p>
            <w:pPr>
              <w:spacing w:after="0"/>
            </w:pPr>
            <w:r>
              <w:rPr>
                <w:rFonts w:ascii="Calibri" w:hAnsi="Calibri"/>
                <w:color w:val="14213D"/>
                <w:sz w:val="16"/>
              </w:rPr>
              <w:t>E2E-01</w:t>
            </w:r>
          </w:p>
        </w:tc>
        <w:tc>
          <w:tcPr>
            <w:tcW w:type="dxa" w:w="600"/>
            <w:vAlign w:val="center"/>
          </w:tcPr>
          <w:p>
            <w:pPr>
              <w:spacing w:after="0"/>
            </w:pPr>
            <w:r>
              <w:rPr>
                <w:rFonts w:ascii="Calibri" w:hAnsi="Calibri"/>
                <w:color w:val="14213D"/>
                <w:sz w:val="16"/>
              </w:rPr>
              <w:t>P0</w:t>
            </w:r>
          </w:p>
        </w:tc>
        <w:tc>
          <w:tcPr>
            <w:tcW w:type="dxa" w:w="1450"/>
            <w:vAlign w:val="center"/>
          </w:tcPr>
          <w:p>
            <w:pPr>
              <w:spacing w:after="0"/>
            </w:pPr>
            <w:r>
              <w:rPr>
                <w:rFonts w:ascii="Calibri" w:hAnsi="Calibri"/>
                <w:color w:val="14213D"/>
                <w:sz w:val="16"/>
              </w:rPr>
              <w:t>Owner onboarding</w:t>
            </w:r>
          </w:p>
        </w:tc>
        <w:tc>
          <w:tcPr>
            <w:tcW w:type="dxa" w:w="3460"/>
            <w:vAlign w:val="center"/>
          </w:tcPr>
          <w:p>
            <w:pPr>
              <w:spacing w:after="0"/>
            </w:pPr>
            <w:r>
              <w:rPr>
                <w:rFonts w:ascii="Calibri" w:hAnsi="Calibri"/>
                <w:color w:val="14213D"/>
                <w:sz w:val="16"/>
              </w:rPr>
              <w:t>Sign up -&gt; confirm email -&gt; create Business -&gt; main Branch/owner role/settings created -&gt; install Business OS -&gt; trial starts -&gt; dashboard ready.</w:t>
            </w:r>
          </w:p>
        </w:tc>
        <w:tc>
          <w:tcPr>
            <w:tcW w:type="dxa" w:w="2900"/>
            <w:vAlign w:val="center"/>
          </w:tcPr>
          <w:p>
            <w:pPr>
              <w:spacing w:after="0"/>
            </w:pPr>
            <w:r>
              <w:rPr>
                <w:rFonts w:ascii="Calibri" w:hAnsi="Calibri"/>
                <w:color w:val="14213D"/>
                <w:sz w:val="16"/>
              </w:rPr>
              <w:t>One coherent tenant is created atomically; defaults are Philippines/PHP/Asia-Manila; no duplicate bootstrap records.</w:t>
            </w:r>
          </w:p>
        </w:tc>
      </w:tr>
      <w:tr>
        <w:trPr>
          <w:cantSplit/>
        </w:trPr>
        <w:tc>
          <w:tcPr>
            <w:tcW w:type="dxa" w:w="950"/>
            <w:vAlign w:val="center"/>
          </w:tcPr>
          <w:p>
            <w:pPr>
              <w:spacing w:after="0"/>
            </w:pPr>
            <w:r>
              <w:rPr>
                <w:rFonts w:ascii="Calibri" w:hAnsi="Calibri"/>
                <w:color w:val="14213D"/>
                <w:sz w:val="16"/>
              </w:rPr>
              <w:t>E2E-02</w:t>
            </w:r>
          </w:p>
        </w:tc>
        <w:tc>
          <w:tcPr>
            <w:tcW w:type="dxa" w:w="600"/>
            <w:vAlign w:val="center"/>
          </w:tcPr>
          <w:p>
            <w:pPr>
              <w:spacing w:after="0"/>
            </w:pPr>
            <w:r>
              <w:rPr>
                <w:rFonts w:ascii="Calibri" w:hAnsi="Calibri"/>
                <w:color w:val="14213D"/>
                <w:sz w:val="16"/>
              </w:rPr>
              <w:t>P0</w:t>
            </w:r>
          </w:p>
        </w:tc>
        <w:tc>
          <w:tcPr>
            <w:tcW w:type="dxa" w:w="1450"/>
            <w:vAlign w:val="center"/>
          </w:tcPr>
          <w:p>
            <w:pPr>
              <w:spacing w:after="0"/>
            </w:pPr>
            <w:r>
              <w:rPr>
                <w:rFonts w:ascii="Calibri" w:hAnsi="Calibri"/>
                <w:color w:val="14213D"/>
                <w:sz w:val="16"/>
              </w:rPr>
              <w:t>Retail sale</w:t>
            </w:r>
          </w:p>
        </w:tc>
        <w:tc>
          <w:tcPr>
            <w:tcW w:type="dxa" w:w="3460"/>
            <w:vAlign w:val="center"/>
          </w:tcPr>
          <w:p>
            <w:pPr>
              <w:spacing w:after="0"/>
            </w:pPr>
            <w:r>
              <w:rPr>
                <w:rFonts w:ascii="Calibri" w:hAnsi="Calibri"/>
                <w:color w:val="14213D"/>
                <w:sz w:val="16"/>
              </w:rPr>
              <w:t>Configure product/variant and stock -&gt; POS sale with customer/payment -&gt; receipt/detail -&gt; stock, sales dashboard, loyalty, trial metrics, audit and notification update.</w:t>
            </w:r>
          </w:p>
        </w:tc>
        <w:tc>
          <w:tcPr>
            <w:tcW w:type="dxa" w:w="2900"/>
            <w:vAlign w:val="center"/>
          </w:tcPr>
          <w:p>
            <w:pPr>
              <w:spacing w:after="0"/>
            </w:pPr>
            <w:r>
              <w:rPr>
                <w:rFonts w:ascii="Calibri" w:hAnsi="Calibri"/>
                <w:color w:val="14213D"/>
                <w:sz w:val="16"/>
              </w:rPr>
              <w:t>Money and quantity reconcile exactly once; no negative/duplicate side effect on refresh or resubmit.</w:t>
            </w:r>
          </w:p>
        </w:tc>
      </w:tr>
      <w:tr>
        <w:trPr>
          <w:cantSplit/>
        </w:trPr>
        <w:tc>
          <w:tcPr>
            <w:tcW w:type="dxa" w:w="950"/>
            <w:vAlign w:val="center"/>
          </w:tcPr>
          <w:p>
            <w:pPr>
              <w:spacing w:after="0"/>
            </w:pPr>
            <w:r>
              <w:rPr>
                <w:rFonts w:ascii="Calibri" w:hAnsi="Calibri"/>
                <w:color w:val="14213D"/>
                <w:sz w:val="16"/>
              </w:rPr>
              <w:t>E2E-03</w:t>
            </w:r>
          </w:p>
        </w:tc>
        <w:tc>
          <w:tcPr>
            <w:tcW w:type="dxa" w:w="600"/>
            <w:vAlign w:val="center"/>
          </w:tcPr>
          <w:p>
            <w:pPr>
              <w:spacing w:after="0"/>
            </w:pPr>
            <w:r>
              <w:rPr>
                <w:rFonts w:ascii="Calibri" w:hAnsi="Calibri"/>
                <w:color w:val="14213D"/>
                <w:sz w:val="16"/>
              </w:rPr>
              <w:t>P0</w:t>
            </w:r>
          </w:p>
        </w:tc>
        <w:tc>
          <w:tcPr>
            <w:tcW w:type="dxa" w:w="1450"/>
            <w:vAlign w:val="center"/>
          </w:tcPr>
          <w:p>
            <w:pPr>
              <w:spacing w:after="0"/>
            </w:pPr>
            <w:r>
              <w:rPr>
                <w:rFonts w:ascii="Calibri" w:hAnsi="Calibri"/>
                <w:color w:val="14213D"/>
                <w:sz w:val="16"/>
              </w:rPr>
              <w:t>Quote to cash</w:t>
            </w:r>
          </w:p>
        </w:tc>
        <w:tc>
          <w:tcPr>
            <w:tcW w:type="dxa" w:w="3460"/>
            <w:vAlign w:val="center"/>
          </w:tcPr>
          <w:p>
            <w:pPr>
              <w:spacing w:after="0"/>
            </w:pPr>
            <w:r>
              <w:rPr>
                <w:rFonts w:ascii="Calibri" w:hAnsi="Calibri"/>
                <w:color w:val="14213D"/>
                <w:sz w:val="16"/>
              </w:rPr>
              <w:t>Create/send quotation -&gt; customer accepts -&gt; convert to sale/order -&gt; create invoice -&gt; partial and final payments.</w:t>
            </w:r>
          </w:p>
        </w:tc>
        <w:tc>
          <w:tcPr>
            <w:tcW w:type="dxa" w:w="2900"/>
            <w:vAlign w:val="center"/>
          </w:tcPr>
          <w:p>
            <w:pPr>
              <w:spacing w:after="0"/>
            </w:pPr>
            <w:r>
              <w:rPr>
                <w:rFonts w:ascii="Calibri" w:hAnsi="Calibri"/>
                <w:color w:val="14213D"/>
                <w:sz w:val="16"/>
              </w:rPr>
              <w:t>Statuses and references remain linked; receivable reduces correctly; conversion is idempotent.</w:t>
            </w:r>
          </w:p>
        </w:tc>
      </w:tr>
      <w:tr>
        <w:trPr>
          <w:cantSplit/>
        </w:trPr>
        <w:tc>
          <w:tcPr>
            <w:tcW w:type="dxa" w:w="950"/>
            <w:vAlign w:val="center"/>
          </w:tcPr>
          <w:p>
            <w:pPr>
              <w:spacing w:after="0"/>
            </w:pPr>
            <w:r>
              <w:rPr>
                <w:rFonts w:ascii="Calibri" w:hAnsi="Calibri"/>
                <w:color w:val="14213D"/>
                <w:sz w:val="16"/>
              </w:rPr>
              <w:t>E2E-04</w:t>
            </w:r>
          </w:p>
        </w:tc>
        <w:tc>
          <w:tcPr>
            <w:tcW w:type="dxa" w:w="600"/>
            <w:vAlign w:val="center"/>
          </w:tcPr>
          <w:p>
            <w:pPr>
              <w:spacing w:after="0"/>
            </w:pPr>
            <w:r>
              <w:rPr>
                <w:rFonts w:ascii="Calibri" w:hAnsi="Calibri"/>
                <w:color w:val="14213D"/>
                <w:sz w:val="16"/>
              </w:rPr>
              <w:t>P0</w:t>
            </w:r>
          </w:p>
        </w:tc>
        <w:tc>
          <w:tcPr>
            <w:tcW w:type="dxa" w:w="1450"/>
            <w:vAlign w:val="center"/>
          </w:tcPr>
          <w:p>
            <w:pPr>
              <w:spacing w:after="0"/>
            </w:pPr>
            <w:r>
              <w:rPr>
                <w:rFonts w:ascii="Calibri" w:hAnsi="Calibri"/>
                <w:color w:val="14213D"/>
                <w:sz w:val="16"/>
              </w:rPr>
              <w:t>Procure to stock</w:t>
            </w:r>
          </w:p>
        </w:tc>
        <w:tc>
          <w:tcPr>
            <w:tcW w:type="dxa" w:w="3460"/>
            <w:vAlign w:val="center"/>
          </w:tcPr>
          <w:p>
            <w:pPr>
              <w:spacing w:after="0"/>
            </w:pPr>
            <w:r>
              <w:rPr>
                <w:rFonts w:ascii="Calibri" w:hAnsi="Calibri"/>
                <w:color w:val="14213D"/>
                <w:sz w:val="16"/>
              </w:rPr>
              <w:t>Supplier -&gt; request -&gt; purchase order/PDF -&gt; receive partial/final -&gt; supplier invoice/expense -&gt; inventory.</w:t>
            </w:r>
          </w:p>
        </w:tc>
        <w:tc>
          <w:tcPr>
            <w:tcW w:type="dxa" w:w="2900"/>
            <w:vAlign w:val="center"/>
          </w:tcPr>
          <w:p>
            <w:pPr>
              <w:spacing w:after="0"/>
            </w:pPr>
            <w:r>
              <w:rPr>
                <w:rFonts w:ascii="Calibri" w:hAnsi="Calibri"/>
                <w:color w:val="14213D"/>
                <w:sz w:val="16"/>
              </w:rPr>
              <w:t>Received quantities and costs post once; PO and dashboard reflect remaining quantities.</w:t>
            </w:r>
          </w:p>
        </w:tc>
      </w:tr>
      <w:tr>
        <w:trPr>
          <w:cantSplit/>
        </w:trPr>
        <w:tc>
          <w:tcPr>
            <w:tcW w:type="dxa" w:w="950"/>
            <w:vAlign w:val="center"/>
          </w:tcPr>
          <w:p>
            <w:pPr>
              <w:spacing w:after="0"/>
            </w:pPr>
            <w:r>
              <w:rPr>
                <w:rFonts w:ascii="Calibri" w:hAnsi="Calibri"/>
                <w:color w:val="14213D"/>
                <w:sz w:val="16"/>
              </w:rPr>
              <w:t>E2E-05</w:t>
            </w:r>
          </w:p>
        </w:tc>
        <w:tc>
          <w:tcPr>
            <w:tcW w:type="dxa" w:w="600"/>
            <w:vAlign w:val="center"/>
          </w:tcPr>
          <w:p>
            <w:pPr>
              <w:spacing w:after="0"/>
            </w:pPr>
            <w:r>
              <w:rPr>
                <w:rFonts w:ascii="Calibri" w:hAnsi="Calibri"/>
                <w:color w:val="14213D"/>
                <w:sz w:val="16"/>
              </w:rPr>
              <w:t>P1</w:t>
            </w:r>
          </w:p>
        </w:tc>
        <w:tc>
          <w:tcPr>
            <w:tcW w:type="dxa" w:w="1450"/>
            <w:vAlign w:val="center"/>
          </w:tcPr>
          <w:p>
            <w:pPr>
              <w:spacing w:after="0"/>
            </w:pPr>
            <w:r>
              <w:rPr>
                <w:rFonts w:ascii="Calibri" w:hAnsi="Calibri"/>
                <w:color w:val="14213D"/>
                <w:sz w:val="16"/>
              </w:rPr>
              <w:t>Service fulfillment</w:t>
            </w:r>
          </w:p>
        </w:tc>
        <w:tc>
          <w:tcPr>
            <w:tcW w:type="dxa" w:w="3460"/>
            <w:vAlign w:val="center"/>
          </w:tcPr>
          <w:p>
            <w:pPr>
              <w:spacing w:after="0"/>
            </w:pPr>
            <w:r>
              <w:rPr>
                <w:rFonts w:ascii="Calibri" w:hAnsi="Calibri"/>
                <w:color w:val="14213D"/>
                <w:sz w:val="16"/>
              </w:rPr>
              <w:t>Customer -&gt; appointment -&gt; arrived/in progress/completed -&gt; job order -&gt; materials -&gt; invoice/payment -&gt; loyalty.</w:t>
            </w:r>
          </w:p>
        </w:tc>
        <w:tc>
          <w:tcPr>
            <w:tcW w:type="dxa" w:w="2900"/>
            <w:vAlign w:val="center"/>
          </w:tcPr>
          <w:p>
            <w:pPr>
              <w:spacing w:after="0"/>
            </w:pPr>
            <w:r>
              <w:rPr>
                <w:rFonts w:ascii="Calibri" w:hAnsi="Calibri"/>
                <w:color w:val="14213D"/>
                <w:sz w:val="16"/>
              </w:rPr>
              <w:t>Schedule, staff, stock, job and financial records remain consistent.</w:t>
            </w:r>
          </w:p>
        </w:tc>
      </w:tr>
      <w:tr>
        <w:trPr>
          <w:cantSplit/>
        </w:trPr>
        <w:tc>
          <w:tcPr>
            <w:tcW w:type="dxa" w:w="950"/>
            <w:vAlign w:val="center"/>
          </w:tcPr>
          <w:p>
            <w:pPr>
              <w:spacing w:after="0"/>
            </w:pPr>
            <w:r>
              <w:rPr>
                <w:rFonts w:ascii="Calibri" w:hAnsi="Calibri"/>
                <w:color w:val="14213D"/>
                <w:sz w:val="16"/>
              </w:rPr>
              <w:t>E2E-06</w:t>
            </w:r>
          </w:p>
        </w:tc>
        <w:tc>
          <w:tcPr>
            <w:tcW w:type="dxa" w:w="600"/>
            <w:vAlign w:val="center"/>
          </w:tcPr>
          <w:p>
            <w:pPr>
              <w:spacing w:after="0"/>
            </w:pPr>
            <w:r>
              <w:rPr>
                <w:rFonts w:ascii="Calibri" w:hAnsi="Calibri"/>
                <w:color w:val="14213D"/>
                <w:sz w:val="16"/>
              </w:rPr>
              <w:t>P1</w:t>
            </w:r>
          </w:p>
        </w:tc>
        <w:tc>
          <w:tcPr>
            <w:tcW w:type="dxa" w:w="1450"/>
            <w:vAlign w:val="center"/>
          </w:tcPr>
          <w:p>
            <w:pPr>
              <w:spacing w:after="0"/>
            </w:pPr>
            <w:r>
              <w:rPr>
                <w:rFonts w:ascii="Calibri" w:hAnsi="Calibri"/>
                <w:color w:val="14213D"/>
                <w:sz w:val="16"/>
              </w:rPr>
              <w:t>Delivery fulfillment</w:t>
            </w:r>
          </w:p>
        </w:tc>
        <w:tc>
          <w:tcPr>
            <w:tcW w:type="dxa" w:w="3460"/>
            <w:vAlign w:val="center"/>
          </w:tcPr>
          <w:p>
            <w:pPr>
              <w:spacing w:after="0"/>
            </w:pPr>
            <w:r>
              <w:rPr>
                <w:rFonts w:ascii="Calibri" w:hAnsi="Calibri"/>
                <w:color w:val="14213D"/>
                <w:sz w:val="16"/>
              </w:rPr>
              <w:t>Create from related transaction -&gt; assign driver -&gt; out for delivery -&gt; upload proof -&gt; delivered/failed branch.</w:t>
            </w:r>
          </w:p>
        </w:tc>
        <w:tc>
          <w:tcPr>
            <w:tcW w:type="dxa" w:w="2900"/>
            <w:vAlign w:val="center"/>
          </w:tcPr>
          <w:p>
            <w:pPr>
              <w:spacing w:after="0"/>
            </w:pPr>
            <w:r>
              <w:rPr>
                <w:rFonts w:ascii="Calibri" w:hAnsi="Calibri"/>
                <w:color w:val="14213D"/>
                <w:sz w:val="16"/>
              </w:rPr>
              <w:t>Only allowed transitions succeed; proof is tenant protected; source transaction stays linked.</w:t>
            </w:r>
          </w:p>
        </w:tc>
      </w:tr>
      <w:tr>
        <w:trPr>
          <w:cantSplit/>
        </w:trPr>
        <w:tc>
          <w:tcPr>
            <w:tcW w:type="dxa" w:w="950"/>
            <w:vAlign w:val="center"/>
          </w:tcPr>
          <w:p>
            <w:pPr>
              <w:spacing w:after="0"/>
            </w:pPr>
            <w:r>
              <w:rPr>
                <w:rFonts w:ascii="Calibri" w:hAnsi="Calibri"/>
                <w:color w:val="14213D"/>
                <w:sz w:val="16"/>
              </w:rPr>
              <w:t>E2E-07</w:t>
            </w:r>
          </w:p>
        </w:tc>
        <w:tc>
          <w:tcPr>
            <w:tcW w:type="dxa" w:w="600"/>
            <w:vAlign w:val="center"/>
          </w:tcPr>
          <w:p>
            <w:pPr>
              <w:spacing w:after="0"/>
            </w:pPr>
            <w:r>
              <w:rPr>
                <w:rFonts w:ascii="Calibri" w:hAnsi="Calibri"/>
                <w:color w:val="14213D"/>
                <w:sz w:val="16"/>
              </w:rPr>
              <w:t>P0</w:t>
            </w:r>
          </w:p>
        </w:tc>
        <w:tc>
          <w:tcPr>
            <w:tcW w:type="dxa" w:w="1450"/>
            <w:vAlign w:val="center"/>
          </w:tcPr>
          <w:p>
            <w:pPr>
              <w:spacing w:after="0"/>
            </w:pPr>
            <w:r>
              <w:rPr>
                <w:rFonts w:ascii="Calibri" w:hAnsi="Calibri"/>
                <w:color w:val="14213D"/>
                <w:sz w:val="16"/>
              </w:rPr>
              <w:t>Branch-scoped workforce</w:t>
            </w:r>
          </w:p>
        </w:tc>
        <w:tc>
          <w:tcPr>
            <w:tcW w:type="dxa" w:w="3460"/>
            <w:vAlign w:val="center"/>
          </w:tcPr>
          <w:p>
            <w:pPr>
              <w:spacing w:after="0"/>
            </w:pPr>
            <w:r>
              <w:rPr>
                <w:rFonts w:ascii="Calibri" w:hAnsi="Calibri"/>
                <w:color w:val="14213D"/>
                <w:sz w:val="16"/>
              </w:rPr>
              <w:t>Manager configures employee -&gt; staff clocks in/out -&gt; timesheet -&gt; cross-Branch access attempts.</w:t>
            </w:r>
          </w:p>
        </w:tc>
        <w:tc>
          <w:tcPr>
            <w:tcW w:type="dxa" w:w="2900"/>
            <w:vAlign w:val="center"/>
          </w:tcPr>
          <w:p>
            <w:pPr>
              <w:spacing w:after="0"/>
            </w:pPr>
            <w:r>
              <w:rPr>
                <w:rFonts w:ascii="Calibri" w:hAnsi="Calibri"/>
                <w:color w:val="14213D"/>
                <w:sz w:val="16"/>
              </w:rPr>
              <w:t>Sessions and totals use Asia/Manila; Branch-limited users see and mutate only permitted Branches.</w:t>
            </w:r>
          </w:p>
        </w:tc>
      </w:tr>
      <w:tr>
        <w:trPr>
          <w:cantSplit/>
        </w:trPr>
        <w:tc>
          <w:tcPr>
            <w:tcW w:type="dxa" w:w="950"/>
            <w:vAlign w:val="center"/>
          </w:tcPr>
          <w:p>
            <w:pPr>
              <w:spacing w:after="0"/>
            </w:pPr>
            <w:r>
              <w:rPr>
                <w:rFonts w:ascii="Calibri" w:hAnsi="Calibri"/>
                <w:color w:val="14213D"/>
                <w:sz w:val="16"/>
              </w:rPr>
              <w:t>E2E-08</w:t>
            </w:r>
          </w:p>
        </w:tc>
        <w:tc>
          <w:tcPr>
            <w:tcW w:type="dxa" w:w="600"/>
            <w:vAlign w:val="center"/>
          </w:tcPr>
          <w:p>
            <w:pPr>
              <w:spacing w:after="0"/>
            </w:pPr>
            <w:r>
              <w:rPr>
                <w:rFonts w:ascii="Calibri" w:hAnsi="Calibri"/>
                <w:color w:val="14213D"/>
                <w:sz w:val="16"/>
              </w:rPr>
              <w:t>P0</w:t>
            </w:r>
          </w:p>
        </w:tc>
        <w:tc>
          <w:tcPr>
            <w:tcW w:type="dxa" w:w="1450"/>
            <w:vAlign w:val="center"/>
          </w:tcPr>
          <w:p>
            <w:pPr>
              <w:spacing w:after="0"/>
            </w:pPr>
            <w:r>
              <w:rPr>
                <w:rFonts w:ascii="Calibri" w:hAnsi="Calibri"/>
                <w:color w:val="14213D"/>
                <w:sz w:val="16"/>
              </w:rPr>
              <w:t>Approval and notification</w:t>
            </w:r>
          </w:p>
        </w:tc>
        <w:tc>
          <w:tcPr>
            <w:tcW w:type="dxa" w:w="3460"/>
            <w:vAlign w:val="center"/>
          </w:tcPr>
          <w:p>
            <w:pPr>
              <w:spacing w:after="0"/>
            </w:pPr>
            <w:r>
              <w:rPr>
                <w:rFonts w:ascii="Calibri" w:hAnsi="Calibri"/>
                <w:color w:val="14213D"/>
                <w:sz w:val="16"/>
              </w:rPr>
              <w:t>Restricted user requests approval -&gt; multi-step decision -&gt; requester notified -&gt; audit event and target operation outcome.</w:t>
            </w:r>
          </w:p>
        </w:tc>
        <w:tc>
          <w:tcPr>
            <w:tcW w:type="dxa" w:w="2900"/>
            <w:vAlign w:val="center"/>
          </w:tcPr>
          <w:p>
            <w:pPr>
              <w:spacing w:after="0"/>
            </w:pPr>
            <w:r>
              <w:rPr>
                <w:rFonts w:ascii="Calibri" w:hAnsi="Calibri"/>
                <w:color w:val="14213D"/>
                <w:sz w:val="16"/>
              </w:rPr>
              <w:t>Only current approver can decide; duplicate decisions/cancellation are safe and traceable.</w:t>
            </w:r>
          </w:p>
        </w:tc>
      </w:tr>
      <w:tr>
        <w:trPr>
          <w:cantSplit/>
        </w:trPr>
        <w:tc>
          <w:tcPr>
            <w:tcW w:type="dxa" w:w="950"/>
            <w:vAlign w:val="center"/>
          </w:tcPr>
          <w:p>
            <w:pPr>
              <w:spacing w:after="0"/>
            </w:pPr>
            <w:r>
              <w:rPr>
                <w:rFonts w:ascii="Calibri" w:hAnsi="Calibri"/>
                <w:color w:val="14213D"/>
                <w:sz w:val="16"/>
              </w:rPr>
              <w:t>E2E-09</w:t>
            </w:r>
          </w:p>
        </w:tc>
        <w:tc>
          <w:tcPr>
            <w:tcW w:type="dxa" w:w="600"/>
            <w:vAlign w:val="center"/>
          </w:tcPr>
          <w:p>
            <w:pPr>
              <w:spacing w:after="0"/>
            </w:pPr>
            <w:r>
              <w:rPr>
                <w:rFonts w:ascii="Calibri" w:hAnsi="Calibri"/>
                <w:color w:val="14213D"/>
                <w:sz w:val="16"/>
              </w:rPr>
              <w:t>P0</w:t>
            </w:r>
          </w:p>
        </w:tc>
        <w:tc>
          <w:tcPr>
            <w:tcW w:type="dxa" w:w="1450"/>
            <w:vAlign w:val="center"/>
          </w:tcPr>
          <w:p>
            <w:pPr>
              <w:spacing w:after="0"/>
            </w:pPr>
            <w:r>
              <w:rPr>
                <w:rFonts w:ascii="Calibri" w:hAnsi="Calibri"/>
                <w:color w:val="14213D"/>
                <w:sz w:val="16"/>
              </w:rPr>
              <w:t>Configurable operations</w:t>
            </w:r>
          </w:p>
        </w:tc>
        <w:tc>
          <w:tcPr>
            <w:tcW w:type="dxa" w:w="3460"/>
            <w:vAlign w:val="center"/>
          </w:tcPr>
          <w:p>
            <w:pPr>
              <w:spacing w:after="0"/>
            </w:pPr>
            <w:r>
              <w:rPr>
                <w:rFonts w:ascii="Calibri" w:hAnsi="Calibri"/>
                <w:color w:val="14213D"/>
                <w:sz w:val="16"/>
              </w:rPr>
              <w:t>Create object/fields -&gt; form -&gt; records -&gt; shared/personal views -&gt; workflow trigger/actions -&gt; audit and version restore.</w:t>
            </w:r>
          </w:p>
        </w:tc>
        <w:tc>
          <w:tcPr>
            <w:tcW w:type="dxa" w:w="2900"/>
            <w:vAlign w:val="center"/>
          </w:tcPr>
          <w:p>
            <w:pPr>
              <w:spacing w:after="0"/>
            </w:pPr>
            <w:r>
              <w:rPr>
                <w:rFonts w:ascii="Calibri" w:hAnsi="Calibri"/>
                <w:color w:val="14213D"/>
                <w:sz w:val="16"/>
              </w:rPr>
              <w:t>Metadata validation, required/hidden/read-only/unique rules, view scope, idempotency and restore are correct.</w:t>
            </w:r>
          </w:p>
        </w:tc>
      </w:tr>
      <w:tr>
        <w:trPr>
          <w:cantSplit/>
        </w:trPr>
        <w:tc>
          <w:tcPr>
            <w:tcW w:type="dxa" w:w="950"/>
            <w:vAlign w:val="center"/>
          </w:tcPr>
          <w:p>
            <w:pPr>
              <w:spacing w:after="0"/>
            </w:pPr>
            <w:r>
              <w:rPr>
                <w:rFonts w:ascii="Calibri" w:hAnsi="Calibri"/>
                <w:color w:val="14213D"/>
                <w:sz w:val="16"/>
              </w:rPr>
              <w:t>E2E-10</w:t>
            </w:r>
          </w:p>
        </w:tc>
        <w:tc>
          <w:tcPr>
            <w:tcW w:type="dxa" w:w="600"/>
            <w:vAlign w:val="center"/>
          </w:tcPr>
          <w:p>
            <w:pPr>
              <w:spacing w:after="0"/>
            </w:pPr>
            <w:r>
              <w:rPr>
                <w:rFonts w:ascii="Calibri" w:hAnsi="Calibri"/>
                <w:color w:val="14213D"/>
                <w:sz w:val="16"/>
              </w:rPr>
              <w:t>P0</w:t>
            </w:r>
          </w:p>
        </w:tc>
        <w:tc>
          <w:tcPr>
            <w:tcW w:type="dxa" w:w="1450"/>
            <w:vAlign w:val="center"/>
          </w:tcPr>
          <w:p>
            <w:pPr>
              <w:spacing w:after="0"/>
            </w:pPr>
            <w:r>
              <w:rPr>
                <w:rFonts w:ascii="Calibri" w:hAnsi="Calibri"/>
                <w:color w:val="14213D"/>
                <w:sz w:val="16"/>
              </w:rPr>
              <w:t>AI-assisted change</w:t>
            </w:r>
          </w:p>
        </w:tc>
        <w:tc>
          <w:tcPr>
            <w:tcW w:type="dxa" w:w="3460"/>
            <w:vAlign w:val="center"/>
          </w:tcPr>
          <w:p>
            <w:pPr>
              <w:spacing w:after="0"/>
            </w:pPr>
            <w:r>
              <w:rPr>
                <w:rFonts w:ascii="Calibri" w:hAnsi="Calibri"/>
                <w:color w:val="14213D"/>
                <w:sz w:val="16"/>
              </w:rPr>
              <w:t>Complete interview -&gt; generate/review system proposal -&gt; approve/apply -&gt; verify config -&gt; ask advisor -&gt; recommendation -&gt; restore previous version.</w:t>
            </w:r>
          </w:p>
        </w:tc>
        <w:tc>
          <w:tcPr>
            <w:tcW w:type="dxa" w:w="2900"/>
            <w:vAlign w:val="center"/>
          </w:tcPr>
          <w:p>
            <w:pPr>
              <w:spacing w:after="0"/>
            </w:pPr>
            <w:r>
              <w:rPr>
                <w:rFonts w:ascii="Calibri" w:hAnsi="Calibri"/>
                <w:color w:val="14213D"/>
                <w:sz w:val="16"/>
              </w:rPr>
              <w:t>No direct AI mutation occurs; evidence and human decision are retained; rollback restores prior state.</w:t>
            </w:r>
          </w:p>
        </w:tc>
      </w:tr>
      <w:tr>
        <w:trPr>
          <w:cantSplit/>
        </w:trPr>
        <w:tc>
          <w:tcPr>
            <w:tcW w:type="dxa" w:w="950"/>
            <w:vAlign w:val="center"/>
          </w:tcPr>
          <w:p>
            <w:pPr>
              <w:spacing w:after="0"/>
            </w:pPr>
            <w:r>
              <w:rPr>
                <w:rFonts w:ascii="Calibri" w:hAnsi="Calibri"/>
                <w:color w:val="14213D"/>
                <w:sz w:val="16"/>
              </w:rPr>
              <w:t>E2E-11</w:t>
            </w:r>
          </w:p>
        </w:tc>
        <w:tc>
          <w:tcPr>
            <w:tcW w:type="dxa" w:w="600"/>
            <w:vAlign w:val="center"/>
          </w:tcPr>
          <w:p>
            <w:pPr>
              <w:spacing w:after="0"/>
            </w:pPr>
            <w:r>
              <w:rPr>
                <w:rFonts w:ascii="Calibri" w:hAnsi="Calibri"/>
                <w:color w:val="14213D"/>
                <w:sz w:val="16"/>
              </w:rPr>
              <w:t>P0</w:t>
            </w:r>
          </w:p>
        </w:tc>
        <w:tc>
          <w:tcPr>
            <w:tcW w:type="dxa" w:w="1450"/>
            <w:vAlign w:val="center"/>
          </w:tcPr>
          <w:p>
            <w:pPr>
              <w:spacing w:after="0"/>
            </w:pPr>
            <w:r>
              <w:rPr>
                <w:rFonts w:ascii="Calibri" w:hAnsi="Calibri"/>
                <w:color w:val="14213D"/>
                <w:sz w:val="16"/>
              </w:rPr>
              <w:t>Tenant isolation</w:t>
            </w:r>
          </w:p>
        </w:tc>
        <w:tc>
          <w:tcPr>
            <w:tcW w:type="dxa" w:w="3460"/>
            <w:vAlign w:val="center"/>
          </w:tcPr>
          <w:p>
            <w:pPr>
              <w:spacing w:after="0"/>
            </w:pPr>
            <w:r>
              <w:rPr>
                <w:rFonts w:ascii="Calibri" w:hAnsi="Calibri"/>
                <w:color w:val="14213D"/>
                <w:sz w:val="16"/>
              </w:rPr>
              <w:t>Use Business A and B accounts to alter URLs, IDs, Branches, storage paths and requests across every critical domain.</w:t>
            </w:r>
          </w:p>
        </w:tc>
        <w:tc>
          <w:tcPr>
            <w:tcW w:type="dxa" w:w="2900"/>
            <w:vAlign w:val="center"/>
          </w:tcPr>
          <w:p>
            <w:pPr>
              <w:spacing w:after="0"/>
            </w:pPr>
            <w:r>
              <w:rPr>
                <w:rFonts w:ascii="Calibri" w:hAnsi="Calibri"/>
                <w:color w:val="14213D"/>
                <w:sz w:val="16"/>
              </w:rPr>
              <w:t>No record, count, file, metadata, or existence signal leaks across Businesses; failures are safe.</w:t>
            </w:r>
          </w:p>
        </w:tc>
      </w:tr>
      <w:tr>
        <w:trPr>
          <w:cantSplit/>
        </w:trPr>
        <w:tc>
          <w:tcPr>
            <w:tcW w:type="dxa" w:w="950"/>
            <w:vAlign w:val="center"/>
          </w:tcPr>
          <w:p>
            <w:pPr>
              <w:spacing w:after="0"/>
            </w:pPr>
            <w:r>
              <w:rPr>
                <w:rFonts w:ascii="Calibri" w:hAnsi="Calibri"/>
                <w:color w:val="14213D"/>
                <w:sz w:val="16"/>
              </w:rPr>
              <w:t>E2E-12</w:t>
            </w:r>
          </w:p>
        </w:tc>
        <w:tc>
          <w:tcPr>
            <w:tcW w:type="dxa" w:w="600"/>
            <w:vAlign w:val="center"/>
          </w:tcPr>
          <w:p>
            <w:pPr>
              <w:spacing w:after="0"/>
            </w:pPr>
            <w:r>
              <w:rPr>
                <w:rFonts w:ascii="Calibri" w:hAnsi="Calibri"/>
                <w:color w:val="14213D"/>
                <w:sz w:val="16"/>
              </w:rPr>
              <w:t>P1</w:t>
            </w:r>
          </w:p>
        </w:tc>
        <w:tc>
          <w:tcPr>
            <w:tcW w:type="dxa" w:w="1450"/>
            <w:vAlign w:val="center"/>
          </w:tcPr>
          <w:p>
            <w:pPr>
              <w:spacing w:after="0"/>
            </w:pPr>
            <w:r>
              <w:rPr>
                <w:rFonts w:ascii="Calibri" w:hAnsi="Calibri"/>
                <w:color w:val="14213D"/>
                <w:sz w:val="16"/>
              </w:rPr>
              <w:t>Trial to subscription</w:t>
            </w:r>
          </w:p>
        </w:tc>
        <w:tc>
          <w:tcPr>
            <w:tcW w:type="dxa" w:w="3460"/>
            <w:vAlign w:val="center"/>
          </w:tcPr>
          <w:p>
            <w:pPr>
              <w:spacing w:after="0"/>
            </w:pPr>
            <w:r>
              <w:rPr>
                <w:rFonts w:ascii="Calibri" w:hAnsi="Calibri"/>
                <w:color w:val="14213D"/>
                <w:sz w:val="16"/>
              </w:rPr>
              <w:t>Install first OS -&gt; adoption milestones -&gt; day-40 value report -&gt; request subscription -&gt; converted/expired states.</w:t>
            </w:r>
          </w:p>
        </w:tc>
        <w:tc>
          <w:tcPr>
            <w:tcW w:type="dxa" w:w="2900"/>
            <w:vAlign w:val="center"/>
          </w:tcPr>
          <w:p>
            <w:pPr>
              <w:spacing w:after="0"/>
            </w:pPr>
            <w:r>
              <w:rPr>
                <w:rFonts w:ascii="Calibri" w:hAnsi="Calibri"/>
                <w:color w:val="14213D"/>
                <w:sz w:val="16"/>
              </w:rPr>
              <w:t>Trial dates and metrics are factual and idempotent; records persist; gating and plan eligibility are correct.</w:t>
            </w:r>
          </w:p>
        </w:tc>
      </w:tr>
    </w:tbl>
    <w:p>
      <w:pPr>
        <w:spacing w:after="0"/>
      </w:pPr>
    </w:p>
    <w:p>
      <w:pPr>
        <w:pStyle w:val="Heading1"/>
      </w:pPr>
      <w:r>
        <w:t>10. Detailed UAT scenario catalog</w:t>
      </w:r>
    </w:p>
    <w:p>
      <w:r>
        <w:t>Each row is an executable scenario summary. The executor records actual result and evidence in the UAT tracker using the template in Appendix A. Unless otherwise stated, repeat critical create/update cases with refresh, browser-back, and double-submit attempts to verify idempotency.</w:t>
      </w:r>
    </w:p>
    <w:p>
      <w:r>
        <w:br w:type="page"/>
      </w:r>
    </w:p>
    <w:p>
      <w:pPr>
        <w:pStyle w:val="Heading2"/>
      </w:pPr>
      <w:r>
        <w:t>10.1 Public site, authentication, and account</w:t>
      </w:r>
    </w:p>
    <w:p>
      <w:pPr>
        <w:keepNext/>
        <w:spacing w:before="140" w:after="40"/>
      </w:pPr>
      <w:r>
        <w:rPr>
          <w:rFonts w:ascii="Calibri" w:hAnsi="Calibri"/>
          <w:b/>
          <w:color w:val="2E74B5"/>
          <w:sz w:val="18"/>
        </w:rPr>
        <w:t>AUTH-001</w:t>
      </w:r>
      <w:r>
        <w:rPr>
          <w:rFonts w:ascii="Calibri" w:hAnsi="Calibri"/>
          <w:b/>
          <w:color w:val="6B7280"/>
          <w:sz w:val="17"/>
        </w:rPr>
        <w:t xml:space="preserve">  |  P0  |  Visitor</w:t>
      </w:r>
    </w:p>
    <w:p>
      <w:pPr>
        <w:keepNext/>
        <w:spacing w:after="40"/>
        <w:ind w:left="216"/>
      </w:pPr>
      <w:r>
        <w:rPr>
          <w:rFonts w:ascii="Calibri" w:hAnsi="Calibri"/>
          <w:b/>
          <w:color w:val="14213D"/>
          <w:sz w:val="18"/>
        </w:rPr>
        <w:t xml:space="preserve">Execute: </w:t>
      </w:r>
      <w:r>
        <w:rPr>
          <w:rFonts w:ascii="Calibri" w:hAnsi="Calibri"/>
          <w:color w:val="14213D"/>
          <w:sz w:val="18"/>
        </w:rPr>
        <w:t>Open home, About, Contact, Privacy and Terms from desktop/mobile; inspect internal links and no authenticated data.</w:t>
      </w:r>
    </w:p>
    <w:p>
      <w:pPr>
        <w:spacing w:after="120"/>
        <w:ind w:left="216"/>
      </w:pPr>
      <w:r>
        <w:rPr>
          <w:rFonts w:ascii="Calibri" w:hAnsi="Calibri"/>
          <w:b/>
          <w:color w:val="1F4D78"/>
          <w:sz w:val="18"/>
        </w:rPr>
        <w:t xml:space="preserve">Accept when: </w:t>
      </w:r>
      <w:r>
        <w:rPr>
          <w:rFonts w:ascii="Calibri" w:hAnsi="Calibri"/>
          <w:color w:val="14213D"/>
          <w:sz w:val="18"/>
        </w:rPr>
        <w:t>Pages render without console/server error; links, copy, metadata and responsive layout are usable; no private data is exposed.</w:t>
      </w:r>
    </w:p>
    <w:p>
      <w:pPr>
        <w:keepNext/>
        <w:spacing w:before="140" w:after="40"/>
      </w:pPr>
      <w:r>
        <w:rPr>
          <w:rFonts w:ascii="Calibri" w:hAnsi="Calibri"/>
          <w:b/>
          <w:color w:val="2E74B5"/>
          <w:sz w:val="18"/>
        </w:rPr>
        <w:t>AUTH-002</w:t>
      </w:r>
      <w:r>
        <w:rPr>
          <w:rFonts w:ascii="Calibri" w:hAnsi="Calibri"/>
          <w:b/>
          <w:color w:val="6B7280"/>
          <w:sz w:val="17"/>
        </w:rPr>
        <w:t xml:space="preserve">  |  P0  |  New owner</w:t>
      </w:r>
    </w:p>
    <w:p>
      <w:pPr>
        <w:keepNext/>
        <w:spacing w:after="40"/>
        <w:ind w:left="216"/>
      </w:pPr>
      <w:r>
        <w:rPr>
          <w:rFonts w:ascii="Calibri" w:hAnsi="Calibri"/>
          <w:b/>
          <w:color w:val="14213D"/>
          <w:sz w:val="18"/>
        </w:rPr>
        <w:t xml:space="preserve">Execute: </w:t>
      </w:r>
      <w:r>
        <w:rPr>
          <w:rFonts w:ascii="Calibri" w:hAnsi="Calibri"/>
          <w:color w:val="14213D"/>
          <w:sz w:val="18"/>
        </w:rPr>
        <w:t>Sign up with valid email/password/name; submit once and with rapid double-click; follow confirmation link.</w:t>
      </w:r>
    </w:p>
    <w:p>
      <w:pPr>
        <w:spacing w:after="120"/>
        <w:ind w:left="216"/>
      </w:pPr>
      <w:r>
        <w:rPr>
          <w:rFonts w:ascii="Calibri" w:hAnsi="Calibri"/>
          <w:b/>
          <w:color w:val="1F4D78"/>
          <w:sz w:val="18"/>
        </w:rPr>
        <w:t xml:space="preserve">Accept when: </w:t>
      </w:r>
      <w:r>
        <w:rPr>
          <w:rFonts w:ascii="Calibri" w:hAnsi="Calibri"/>
          <w:color w:val="14213D"/>
          <w:sz w:val="18"/>
        </w:rPr>
        <w:t>One identity is created; confirmation succeeds once; replay is safe; verified user can log in.</w:t>
      </w:r>
    </w:p>
    <w:p>
      <w:pPr>
        <w:keepNext/>
        <w:spacing w:before="140" w:after="40"/>
      </w:pPr>
      <w:r>
        <w:rPr>
          <w:rFonts w:ascii="Calibri" w:hAnsi="Calibri"/>
          <w:b/>
          <w:color w:val="2E74B5"/>
          <w:sz w:val="18"/>
        </w:rPr>
        <w:t>AUTH-003</w:t>
      </w:r>
      <w:r>
        <w:rPr>
          <w:rFonts w:ascii="Calibri" w:hAnsi="Calibri"/>
          <w:b/>
          <w:color w:val="6B7280"/>
          <w:sz w:val="17"/>
        </w:rPr>
        <w:t xml:space="preserve">  |  P1  |  New owner</w:t>
      </w:r>
    </w:p>
    <w:p>
      <w:pPr>
        <w:keepNext/>
        <w:spacing w:after="40"/>
        <w:ind w:left="216"/>
      </w:pPr>
      <w:r>
        <w:rPr>
          <w:rFonts w:ascii="Calibri" w:hAnsi="Calibri"/>
          <w:b/>
          <w:color w:val="14213D"/>
          <w:sz w:val="18"/>
        </w:rPr>
        <w:t xml:space="preserve">Execute: </w:t>
      </w:r>
      <w:r>
        <w:rPr>
          <w:rFonts w:ascii="Calibri" w:hAnsi="Calibri"/>
          <w:color w:val="14213D"/>
          <w:sz w:val="18"/>
        </w:rPr>
        <w:t>Try duplicate email, malformed email, weak/mismatched password, empty fields and unexpected form values.</w:t>
      </w:r>
    </w:p>
    <w:p>
      <w:pPr>
        <w:spacing w:after="120"/>
        <w:ind w:left="216"/>
      </w:pPr>
      <w:r>
        <w:rPr>
          <w:rFonts w:ascii="Calibri" w:hAnsi="Calibri"/>
          <w:b/>
          <w:color w:val="1F4D78"/>
          <w:sz w:val="18"/>
        </w:rPr>
        <w:t xml:space="preserve">Accept when: </w:t>
      </w:r>
      <w:r>
        <w:rPr>
          <w:rFonts w:ascii="Calibri" w:hAnsi="Calibri"/>
          <w:color w:val="14213D"/>
          <w:sz w:val="18"/>
        </w:rPr>
        <w:t>Clear field-level errors; no partial profile/business records; secrets never appear in URL/log/UI.</w:t>
      </w:r>
    </w:p>
    <w:p>
      <w:pPr>
        <w:keepNext/>
        <w:spacing w:before="140" w:after="40"/>
      </w:pPr>
      <w:r>
        <w:rPr>
          <w:rFonts w:ascii="Calibri" w:hAnsi="Calibri"/>
          <w:b/>
          <w:color w:val="2E74B5"/>
          <w:sz w:val="18"/>
        </w:rPr>
        <w:t>AUTH-004</w:t>
      </w:r>
      <w:r>
        <w:rPr>
          <w:rFonts w:ascii="Calibri" w:hAnsi="Calibri"/>
          <w:b/>
          <w:color w:val="6B7280"/>
          <w:sz w:val="17"/>
        </w:rPr>
        <w:t xml:space="preserve">  |  P0  |  User</w:t>
      </w:r>
    </w:p>
    <w:p>
      <w:pPr>
        <w:keepNext/>
        <w:spacing w:after="40"/>
        <w:ind w:left="216"/>
      </w:pPr>
      <w:r>
        <w:rPr>
          <w:rFonts w:ascii="Calibri" w:hAnsi="Calibri"/>
          <w:b/>
          <w:color w:val="14213D"/>
          <w:sz w:val="18"/>
        </w:rPr>
        <w:t xml:space="preserve">Execute: </w:t>
      </w:r>
      <w:r>
        <w:rPr>
          <w:rFonts w:ascii="Calibri" w:hAnsi="Calibri"/>
          <w:color w:val="14213D"/>
          <w:sz w:val="18"/>
        </w:rPr>
        <w:t>Log in with correct, wrong and unconfirmed credentials; navigate directly to protected routes while signed out.</w:t>
      </w:r>
    </w:p>
    <w:p>
      <w:pPr>
        <w:spacing w:after="120"/>
        <w:ind w:left="216"/>
      </w:pPr>
      <w:r>
        <w:rPr>
          <w:rFonts w:ascii="Calibri" w:hAnsi="Calibri"/>
          <w:b/>
          <w:color w:val="1F4D78"/>
          <w:sz w:val="18"/>
        </w:rPr>
        <w:t xml:space="preserve">Accept when: </w:t>
      </w:r>
      <w:r>
        <w:rPr>
          <w:rFonts w:ascii="Calibri" w:hAnsi="Calibri"/>
          <w:color w:val="14213D"/>
          <w:sz w:val="18"/>
        </w:rPr>
        <w:t>Correct login establishes secure session; invalid attempts fail generically; protected routes redirect/deny without data leakage.</w:t>
      </w:r>
    </w:p>
    <w:p>
      <w:pPr>
        <w:keepNext/>
        <w:spacing w:before="140" w:after="40"/>
      </w:pPr>
      <w:r>
        <w:rPr>
          <w:rFonts w:ascii="Calibri" w:hAnsi="Calibri"/>
          <w:b/>
          <w:color w:val="2E74B5"/>
          <w:sz w:val="18"/>
        </w:rPr>
        <w:t>AUTH-005</w:t>
      </w:r>
      <w:r>
        <w:rPr>
          <w:rFonts w:ascii="Calibri" w:hAnsi="Calibri"/>
          <w:b/>
          <w:color w:val="6B7280"/>
          <w:sz w:val="17"/>
        </w:rPr>
        <w:t xml:space="preserve">  |  P0  |  User</w:t>
      </w:r>
    </w:p>
    <w:p>
      <w:pPr>
        <w:keepNext/>
        <w:spacing w:after="40"/>
        <w:ind w:left="216"/>
      </w:pPr>
      <w:r>
        <w:rPr>
          <w:rFonts w:ascii="Calibri" w:hAnsi="Calibri"/>
          <w:b/>
          <w:color w:val="14213D"/>
          <w:sz w:val="18"/>
        </w:rPr>
        <w:t xml:space="preserve">Execute: </w:t>
      </w:r>
      <w:r>
        <w:rPr>
          <w:rFonts w:ascii="Calibri" w:hAnsi="Calibri"/>
          <w:color w:val="14213D"/>
          <w:sz w:val="18"/>
        </w:rPr>
        <w:t>Request password recovery, use PKCE callback, set new password, then test old/new credentials and replay link.</w:t>
      </w:r>
    </w:p>
    <w:p>
      <w:pPr>
        <w:spacing w:after="120"/>
        <w:ind w:left="216"/>
      </w:pPr>
      <w:r>
        <w:rPr>
          <w:rFonts w:ascii="Calibri" w:hAnsi="Calibri"/>
          <w:b/>
          <w:color w:val="1F4D78"/>
          <w:sz w:val="18"/>
        </w:rPr>
        <w:t xml:space="preserve">Accept when: </w:t>
      </w:r>
      <w:r>
        <w:rPr>
          <w:rFonts w:ascii="Calibri" w:hAnsi="Calibri"/>
          <w:color w:val="14213D"/>
          <w:sz w:val="18"/>
        </w:rPr>
        <w:t>New password works, old fails, token replay is rejected, other user data is unchanged.</w:t>
      </w:r>
    </w:p>
    <w:p>
      <w:pPr>
        <w:keepNext/>
        <w:spacing w:before="140" w:after="40"/>
      </w:pPr>
      <w:r>
        <w:rPr>
          <w:rFonts w:ascii="Calibri" w:hAnsi="Calibri"/>
          <w:b/>
          <w:color w:val="2E74B5"/>
          <w:sz w:val="18"/>
        </w:rPr>
        <w:t>AUTH-006</w:t>
      </w:r>
      <w:r>
        <w:rPr>
          <w:rFonts w:ascii="Calibri" w:hAnsi="Calibri"/>
          <w:b/>
          <w:color w:val="6B7280"/>
          <w:sz w:val="17"/>
        </w:rPr>
        <w:t xml:space="preserve">  |  P1  |  User</w:t>
      </w:r>
    </w:p>
    <w:p>
      <w:pPr>
        <w:keepNext/>
        <w:spacing w:after="40"/>
        <w:ind w:left="216"/>
      </w:pPr>
      <w:r>
        <w:rPr>
          <w:rFonts w:ascii="Calibri" w:hAnsi="Calibri"/>
          <w:b/>
          <w:color w:val="14213D"/>
          <w:sz w:val="18"/>
        </w:rPr>
        <w:t xml:space="preserve">Execute: </w:t>
      </w:r>
      <w:r>
        <w:rPr>
          <w:rFonts w:ascii="Calibri" w:hAnsi="Calibri"/>
          <w:color w:val="14213D"/>
          <w:sz w:val="18"/>
        </w:rPr>
        <w:t>Update account profile locale/name, change password with valid and invalid current data, refresh and re-login.</w:t>
      </w:r>
    </w:p>
    <w:p>
      <w:pPr>
        <w:spacing w:after="120"/>
        <w:ind w:left="216"/>
      </w:pPr>
      <w:r>
        <w:rPr>
          <w:rFonts w:ascii="Calibri" w:hAnsi="Calibri"/>
          <w:b/>
          <w:color w:val="1F4D78"/>
          <w:sz w:val="18"/>
        </w:rPr>
        <w:t xml:space="preserve">Accept when: </w:t>
      </w:r>
      <w:r>
        <w:rPr>
          <w:rFonts w:ascii="Calibri" w:hAnsi="Calibri"/>
          <w:color w:val="14213D"/>
          <w:sz w:val="18"/>
        </w:rPr>
        <w:t>Validated values persist; locale is en-PH or fil-PH and timezone remains Asia/Manila; credential changes are secure.</w:t>
      </w:r>
    </w:p>
    <w:p>
      <w:pPr>
        <w:keepNext/>
        <w:spacing w:before="140" w:after="40"/>
      </w:pPr>
      <w:r>
        <w:rPr>
          <w:rFonts w:ascii="Calibri" w:hAnsi="Calibri"/>
          <w:b/>
          <w:color w:val="2E74B5"/>
          <w:sz w:val="18"/>
        </w:rPr>
        <w:t>AUTH-007</w:t>
      </w:r>
      <w:r>
        <w:rPr>
          <w:rFonts w:ascii="Calibri" w:hAnsi="Calibri"/>
          <w:b/>
          <w:color w:val="6B7280"/>
          <w:sz w:val="17"/>
        </w:rPr>
        <w:t xml:space="preserve">  |  P0  |  User</w:t>
      </w:r>
    </w:p>
    <w:p>
      <w:pPr>
        <w:keepNext/>
        <w:spacing w:after="40"/>
        <w:ind w:left="216"/>
      </w:pPr>
      <w:r>
        <w:rPr>
          <w:rFonts w:ascii="Calibri" w:hAnsi="Calibri"/>
          <w:b/>
          <w:color w:val="14213D"/>
          <w:sz w:val="18"/>
        </w:rPr>
        <w:t xml:space="preserve">Execute: </w:t>
      </w:r>
      <w:r>
        <w:rPr>
          <w:rFonts w:ascii="Calibri" w:hAnsi="Calibri"/>
          <w:color w:val="14213D"/>
          <w:sz w:val="18"/>
        </w:rPr>
        <w:t>Expire/revoke session, then submit a previously open mutation and call /api/v1/me and /api/health.</w:t>
      </w:r>
    </w:p>
    <w:p>
      <w:pPr>
        <w:spacing w:after="120"/>
        <w:ind w:left="216"/>
      </w:pPr>
      <w:r>
        <w:rPr>
          <w:rFonts w:ascii="Calibri" w:hAnsi="Calibri"/>
          <w:b/>
          <w:color w:val="1F4D78"/>
          <w:sz w:val="18"/>
        </w:rPr>
        <w:t xml:space="preserve">Accept when: </w:t>
      </w:r>
      <w:r>
        <w:rPr>
          <w:rFonts w:ascii="Calibri" w:hAnsi="Calibri"/>
          <w:color w:val="14213D"/>
          <w:sz w:val="18"/>
        </w:rPr>
        <w:t>Mutation fails closed; identity API uses stable envelope/request ID; health reveals no secrets.</w:t>
      </w:r>
    </w:p>
    <w:p>
      <w:pPr>
        <w:keepNext/>
        <w:spacing w:before="140" w:after="40"/>
      </w:pPr>
      <w:r>
        <w:rPr>
          <w:rFonts w:ascii="Calibri" w:hAnsi="Calibri"/>
          <w:b/>
          <w:color w:val="2E74B5"/>
          <w:sz w:val="18"/>
        </w:rPr>
        <w:t>AUTH-008</w:t>
      </w:r>
      <w:r>
        <w:rPr>
          <w:rFonts w:ascii="Calibri" w:hAnsi="Calibri"/>
          <w:b/>
          <w:color w:val="6B7280"/>
          <w:sz w:val="17"/>
        </w:rPr>
        <w:t xml:space="preserve">  |  P1  |  User</w:t>
      </w:r>
    </w:p>
    <w:p>
      <w:pPr>
        <w:keepNext/>
        <w:spacing w:after="40"/>
        <w:ind w:left="216"/>
      </w:pPr>
      <w:r>
        <w:rPr>
          <w:rFonts w:ascii="Calibri" w:hAnsi="Calibri"/>
          <w:b/>
          <w:color w:val="14213D"/>
          <w:sz w:val="18"/>
        </w:rPr>
        <w:t xml:space="preserve">Execute: </w:t>
      </w:r>
      <w:r>
        <w:rPr>
          <w:rFonts w:ascii="Calibri" w:hAnsi="Calibri"/>
          <w:color w:val="14213D"/>
          <w:sz w:val="18"/>
        </w:rPr>
        <w:t>Use two browsers, sign out one session, rotate tokens, use back button and cached protected page.</w:t>
      </w:r>
    </w:p>
    <w:p>
      <w:pPr>
        <w:spacing w:after="120"/>
        <w:ind w:left="216"/>
      </w:pPr>
      <w:r>
        <w:rPr>
          <w:rFonts w:ascii="Calibri" w:hAnsi="Calibri"/>
          <w:b/>
          <w:color w:val="1F4D78"/>
          <w:sz w:val="18"/>
        </w:rPr>
        <w:t xml:space="preserve">Accept when: </w:t>
      </w:r>
      <w:r>
        <w:rPr>
          <w:rFonts w:ascii="Calibri" w:hAnsi="Calibri"/>
          <w:color w:val="14213D"/>
          <w:sz w:val="18"/>
        </w:rPr>
        <w:t>Server re-verifies identity; stale UI cannot mutate; no private page is usable after authorization loss.</w:t>
      </w:r>
    </w:p>
    <w:p>
      <w:r>
        <w:br w:type="page"/>
      </w:r>
    </w:p>
    <w:p>
      <w:pPr>
        <w:pStyle w:val="Heading2"/>
      </w:pPr>
      <w:r>
        <w:t>10.2 Business onboarding, settings, branding, Branches, and navigation</w:t>
      </w:r>
    </w:p>
    <w:p>
      <w:pPr>
        <w:keepNext/>
        <w:spacing w:before="140" w:after="40"/>
      </w:pPr>
      <w:r>
        <w:rPr>
          <w:rFonts w:ascii="Calibri" w:hAnsi="Calibri"/>
          <w:b/>
          <w:color w:val="2E74B5"/>
          <w:sz w:val="18"/>
        </w:rPr>
        <w:t>BUS-001</w:t>
      </w:r>
      <w:r>
        <w:rPr>
          <w:rFonts w:ascii="Calibri" w:hAnsi="Calibri"/>
          <w:b/>
          <w:color w:val="6B7280"/>
          <w:sz w:val="17"/>
        </w:rPr>
        <w:t xml:space="preserve">  |  P0  |  Owner</w:t>
      </w:r>
    </w:p>
    <w:p>
      <w:pPr>
        <w:keepNext/>
        <w:spacing w:after="40"/>
        <w:ind w:left="216"/>
      </w:pPr>
      <w:r>
        <w:rPr>
          <w:rFonts w:ascii="Calibri" w:hAnsi="Calibri"/>
          <w:b/>
          <w:color w:val="14213D"/>
          <w:sz w:val="18"/>
        </w:rPr>
        <w:t xml:space="preserve">Execute: </w:t>
      </w:r>
      <w:r>
        <w:rPr>
          <w:rFonts w:ascii="Calibri" w:hAnsi="Calibri"/>
          <w:color w:val="14213D"/>
          <w:sz w:val="18"/>
        </w:rPr>
        <w:t>Create a Business with trade/legal name, type, contact and Philippine defaults; interrupt/resubmit.</w:t>
      </w:r>
    </w:p>
    <w:p>
      <w:pPr>
        <w:spacing w:after="120"/>
        <w:ind w:left="216"/>
      </w:pPr>
      <w:r>
        <w:rPr>
          <w:rFonts w:ascii="Calibri" w:hAnsi="Calibri"/>
          <w:b/>
          <w:color w:val="1F4D78"/>
          <w:sz w:val="18"/>
        </w:rPr>
        <w:t xml:space="preserve">Accept when: </w:t>
      </w:r>
      <w:r>
        <w:rPr>
          <w:rFonts w:ascii="Calibri" w:hAnsi="Calibri"/>
          <w:color w:val="14213D"/>
          <w:sz w:val="18"/>
        </w:rPr>
        <w:t>Business, active owner membership, six system roles, settings and main Branch are created atomically once.</w:t>
      </w:r>
    </w:p>
    <w:p>
      <w:pPr>
        <w:keepNext/>
        <w:spacing w:before="140" w:after="40"/>
      </w:pPr>
      <w:r>
        <w:rPr>
          <w:rFonts w:ascii="Calibri" w:hAnsi="Calibri"/>
          <w:b/>
          <w:color w:val="2E74B5"/>
          <w:sz w:val="18"/>
        </w:rPr>
        <w:t>BUS-002</w:t>
      </w:r>
      <w:r>
        <w:rPr>
          <w:rFonts w:ascii="Calibri" w:hAnsi="Calibri"/>
          <w:b/>
          <w:color w:val="6B7280"/>
          <w:sz w:val="17"/>
        </w:rPr>
        <w:t xml:space="preserve">  |  P1  |  Owner</w:t>
      </w:r>
    </w:p>
    <w:p>
      <w:pPr>
        <w:keepNext/>
        <w:spacing w:after="40"/>
        <w:ind w:left="216"/>
      </w:pPr>
      <w:r>
        <w:rPr>
          <w:rFonts w:ascii="Calibri" w:hAnsi="Calibri"/>
          <w:b/>
          <w:color w:val="14213D"/>
          <w:sz w:val="18"/>
        </w:rPr>
        <w:t xml:space="preserve">Execute: </w:t>
      </w:r>
      <w:r>
        <w:rPr>
          <w:rFonts w:ascii="Calibri" w:hAnsi="Calibri"/>
          <w:color w:val="14213D"/>
          <w:sz w:val="18"/>
        </w:rPr>
        <w:t>Try invalid UUIDs, missing/overlong names, malformed phone/email and unexpected fields.</w:t>
      </w:r>
    </w:p>
    <w:p>
      <w:pPr>
        <w:spacing w:after="120"/>
        <w:ind w:left="216"/>
      </w:pPr>
      <w:r>
        <w:rPr>
          <w:rFonts w:ascii="Calibri" w:hAnsi="Calibri"/>
          <w:b/>
          <w:color w:val="1F4D78"/>
          <w:sz w:val="18"/>
        </w:rPr>
        <w:t xml:space="preserve">Accept when: </w:t>
      </w:r>
      <w:r>
        <w:rPr>
          <w:rFonts w:ascii="Calibri" w:hAnsi="Calibri"/>
          <w:color w:val="14213D"/>
          <w:sz w:val="18"/>
        </w:rPr>
        <w:t>Validation is clear; no partial tenant artifacts; user remains on recoverable page.</w:t>
      </w:r>
    </w:p>
    <w:p>
      <w:pPr>
        <w:keepNext/>
        <w:spacing w:before="140" w:after="40"/>
      </w:pPr>
      <w:r>
        <w:rPr>
          <w:rFonts w:ascii="Calibri" w:hAnsi="Calibri"/>
          <w:b/>
          <w:color w:val="2E74B5"/>
          <w:sz w:val="18"/>
        </w:rPr>
        <w:t>BUS-003</w:t>
      </w:r>
      <w:r>
        <w:rPr>
          <w:rFonts w:ascii="Calibri" w:hAnsi="Calibri"/>
          <w:b/>
          <w:color w:val="6B7280"/>
          <w:sz w:val="17"/>
        </w:rPr>
        <w:t xml:space="preserve">  |  P0  |  Multi-Business owner</w:t>
      </w:r>
    </w:p>
    <w:p>
      <w:pPr>
        <w:keepNext/>
        <w:spacing w:after="40"/>
        <w:ind w:left="216"/>
      </w:pPr>
      <w:r>
        <w:rPr>
          <w:rFonts w:ascii="Calibri" w:hAnsi="Calibri"/>
          <w:b/>
          <w:color w:val="14213D"/>
          <w:sz w:val="18"/>
        </w:rPr>
        <w:t xml:space="preserve">Execute: </w:t>
      </w:r>
      <w:r>
        <w:rPr>
          <w:rFonts w:ascii="Calibri" w:hAnsi="Calibri"/>
          <w:color w:val="14213D"/>
          <w:sz w:val="18"/>
        </w:rPr>
        <w:t>Create/access two Businesses and switch repeatedly using dashboard and active-business cookie.</w:t>
      </w:r>
    </w:p>
    <w:p>
      <w:pPr>
        <w:spacing w:after="120"/>
        <w:ind w:left="216"/>
      </w:pPr>
      <w:r>
        <w:rPr>
          <w:rFonts w:ascii="Calibri" w:hAnsi="Calibri"/>
          <w:b/>
          <w:color w:val="1F4D78"/>
          <w:sz w:val="18"/>
        </w:rPr>
        <w:t xml:space="preserve">Accept when: </w:t>
      </w:r>
      <w:r>
        <w:rPr>
          <w:rFonts w:ascii="Calibri" w:hAnsi="Calibri"/>
          <w:color w:val="14213D"/>
          <w:sz w:val="18"/>
        </w:rPr>
        <w:t>Correct Business loads; cookie affects navigation only; URLs/data/permissions remain tenant-authoritative.</w:t>
      </w:r>
    </w:p>
    <w:p>
      <w:pPr>
        <w:keepNext/>
        <w:spacing w:before="140" w:after="40"/>
      </w:pPr>
      <w:r>
        <w:rPr>
          <w:rFonts w:ascii="Calibri" w:hAnsi="Calibri"/>
          <w:b/>
          <w:color w:val="2E74B5"/>
          <w:sz w:val="18"/>
        </w:rPr>
        <w:t>BUS-004</w:t>
      </w:r>
      <w:r>
        <w:rPr>
          <w:rFonts w:ascii="Calibri" w:hAnsi="Calibri"/>
          <w:b/>
          <w:color w:val="6B7280"/>
          <w:sz w:val="17"/>
        </w:rPr>
        <w:t xml:space="preserve">  |  P0  |  Owner/Admin</w:t>
      </w:r>
    </w:p>
    <w:p>
      <w:pPr>
        <w:keepNext/>
        <w:spacing w:after="40"/>
        <w:ind w:left="216"/>
      </w:pPr>
      <w:r>
        <w:rPr>
          <w:rFonts w:ascii="Calibri" w:hAnsi="Calibri"/>
          <w:b/>
          <w:color w:val="14213D"/>
          <w:sz w:val="18"/>
        </w:rPr>
        <w:t xml:space="preserve">Execute: </w:t>
      </w:r>
      <w:r>
        <w:rPr>
          <w:rFonts w:ascii="Calibri" w:hAnsi="Calibri"/>
          <w:color w:val="14213D"/>
          <w:sz w:val="18"/>
        </w:rPr>
        <w:t>Edit Business details and settings; test Viewer/Staff direct request.</w:t>
      </w:r>
    </w:p>
    <w:p>
      <w:pPr>
        <w:spacing w:after="120"/>
        <w:ind w:left="216"/>
      </w:pPr>
      <w:r>
        <w:rPr>
          <w:rFonts w:ascii="Calibri" w:hAnsi="Calibri"/>
          <w:b/>
          <w:color w:val="1F4D78"/>
          <w:sz w:val="18"/>
        </w:rPr>
        <w:t xml:space="preserve">Accept when: </w:t>
      </w:r>
      <w:r>
        <w:rPr>
          <w:rFonts w:ascii="Calibri" w:hAnsi="Calibri"/>
          <w:color w:val="14213D"/>
          <w:sz w:val="18"/>
        </w:rPr>
        <w:t>Authorized update persists and audits; unauthorized UI is absent and server request is denied.</w:t>
      </w:r>
    </w:p>
    <w:p>
      <w:pPr>
        <w:keepNext/>
        <w:spacing w:before="140" w:after="40"/>
      </w:pPr>
      <w:r>
        <w:rPr>
          <w:rFonts w:ascii="Calibri" w:hAnsi="Calibri"/>
          <w:b/>
          <w:color w:val="2E74B5"/>
          <w:sz w:val="18"/>
        </w:rPr>
        <w:t>BUS-005</w:t>
      </w:r>
      <w:r>
        <w:rPr>
          <w:rFonts w:ascii="Calibri" w:hAnsi="Calibri"/>
          <w:b/>
          <w:color w:val="6B7280"/>
          <w:sz w:val="17"/>
        </w:rPr>
        <w:t xml:space="preserve">  |  P1  |  Owner/Admin</w:t>
      </w:r>
    </w:p>
    <w:p>
      <w:pPr>
        <w:keepNext/>
        <w:spacing w:after="40"/>
        <w:ind w:left="216"/>
      </w:pPr>
      <w:r>
        <w:rPr>
          <w:rFonts w:ascii="Calibri" w:hAnsi="Calibri"/>
          <w:b/>
          <w:color w:val="14213D"/>
          <w:sz w:val="18"/>
        </w:rPr>
        <w:t xml:space="preserve">Execute: </w:t>
      </w:r>
      <w:r>
        <w:rPr>
          <w:rFonts w:ascii="Calibri" w:hAnsi="Calibri"/>
          <w:color w:val="14213D"/>
          <w:sz w:val="18"/>
        </w:rPr>
        <w:t>Upload valid logo and configure primary/secondary/accent colors; test transparent/large/invalid file and logo removal.</w:t>
      </w:r>
    </w:p>
    <w:p>
      <w:pPr>
        <w:spacing w:after="120"/>
        <w:ind w:left="216"/>
      </w:pPr>
      <w:r>
        <w:rPr>
          <w:rFonts w:ascii="Calibri" w:hAnsi="Calibri"/>
          <w:b/>
          <w:color w:val="1F4D78"/>
          <w:sz w:val="18"/>
        </w:rPr>
        <w:t xml:space="preserve">Accept when: </w:t>
      </w:r>
      <w:r>
        <w:rPr>
          <w:rFonts w:ascii="Calibri" w:hAnsi="Calibri"/>
          <w:color w:val="14213D"/>
          <w:sz w:val="18"/>
        </w:rPr>
        <w:t>Valid branding appears in shell with readable contrast; invalid upload rejected; signed logo URL is protected; removal restores fallback.</w:t>
      </w:r>
    </w:p>
    <w:p>
      <w:pPr>
        <w:keepNext/>
        <w:spacing w:before="140" w:after="40"/>
      </w:pPr>
      <w:r>
        <w:rPr>
          <w:rFonts w:ascii="Calibri" w:hAnsi="Calibri"/>
          <w:b/>
          <w:color w:val="2E74B5"/>
          <w:sz w:val="18"/>
        </w:rPr>
        <w:t>BUS-006</w:t>
      </w:r>
      <w:r>
        <w:rPr>
          <w:rFonts w:ascii="Calibri" w:hAnsi="Calibri"/>
          <w:b/>
          <w:color w:val="6B7280"/>
          <w:sz w:val="17"/>
        </w:rPr>
        <w:t xml:space="preserve">  |  P0  |  Owner/Admin</w:t>
      </w:r>
    </w:p>
    <w:p>
      <w:pPr>
        <w:keepNext/>
        <w:spacing w:after="40"/>
        <w:ind w:left="216"/>
      </w:pPr>
      <w:r>
        <w:rPr>
          <w:rFonts w:ascii="Calibri" w:hAnsi="Calibri"/>
          <w:b/>
          <w:color w:val="14213D"/>
          <w:sz w:val="18"/>
        </w:rPr>
        <w:t xml:space="preserve">Execute: </w:t>
      </w:r>
      <w:r>
        <w:rPr>
          <w:rFonts w:ascii="Calibri" w:hAnsi="Calibri"/>
          <w:color w:val="14213D"/>
          <w:sz w:val="18"/>
        </w:rPr>
        <w:t>Create Cebu/Davao Branches, edit details, inactivate/reactivate; reference an inactive Branch in new work.</w:t>
      </w:r>
    </w:p>
    <w:p>
      <w:pPr>
        <w:spacing w:after="120"/>
        <w:ind w:left="216"/>
      </w:pPr>
      <w:r>
        <w:rPr>
          <w:rFonts w:ascii="Calibri" w:hAnsi="Calibri"/>
          <w:b/>
          <w:color w:val="1F4D78"/>
          <w:sz w:val="18"/>
        </w:rPr>
        <w:t xml:space="preserve">Accept when: </w:t>
      </w:r>
      <w:r>
        <w:rPr>
          <w:rFonts w:ascii="Calibri" w:hAnsi="Calibri"/>
          <w:color w:val="14213D"/>
          <w:sz w:val="18"/>
        </w:rPr>
        <w:t>Branch state persists; unsafe deactivation or invalid use is blocked; historical records remain readable.</w:t>
      </w:r>
    </w:p>
    <w:p>
      <w:pPr>
        <w:keepNext/>
        <w:spacing w:before="140" w:after="40"/>
      </w:pPr>
      <w:r>
        <w:rPr>
          <w:rFonts w:ascii="Calibri" w:hAnsi="Calibri"/>
          <w:b/>
          <w:color w:val="2E74B5"/>
          <w:sz w:val="18"/>
        </w:rPr>
        <w:t>BUS-007</w:t>
      </w:r>
      <w:r>
        <w:rPr>
          <w:rFonts w:ascii="Calibri" w:hAnsi="Calibri"/>
          <w:b/>
          <w:color w:val="6B7280"/>
          <w:sz w:val="17"/>
        </w:rPr>
        <w:t xml:space="preserve">  |  P1  |  User</w:t>
      </w:r>
    </w:p>
    <w:p>
      <w:pPr>
        <w:keepNext/>
        <w:spacing w:after="40"/>
        <w:ind w:left="216"/>
      </w:pPr>
      <w:r>
        <w:rPr>
          <w:rFonts w:ascii="Calibri" w:hAnsi="Calibri"/>
          <w:b/>
          <w:color w:val="14213D"/>
          <w:sz w:val="18"/>
        </w:rPr>
        <w:t xml:space="preserve">Execute: </w:t>
      </w:r>
      <w:r>
        <w:rPr>
          <w:rFonts w:ascii="Calibri" w:hAnsi="Calibri"/>
          <w:color w:val="14213D"/>
          <w:sz w:val="18"/>
        </w:rPr>
        <w:t>Collapse desktop sidebar, expand groups, use mobile bottom nav/menu, active state, keyboard Escape/focus and business switch.</w:t>
      </w:r>
    </w:p>
    <w:p>
      <w:pPr>
        <w:spacing w:after="120"/>
        <w:ind w:left="216"/>
      </w:pPr>
      <w:r>
        <w:rPr>
          <w:rFonts w:ascii="Calibri" w:hAnsi="Calibri"/>
          <w:b/>
          <w:color w:val="1F4D78"/>
          <w:sz w:val="18"/>
        </w:rPr>
        <w:t xml:space="preserve">Accept when: </w:t>
      </w:r>
      <w:r>
        <w:rPr>
          <w:rFonts w:ascii="Calibri" w:hAnsi="Calibri"/>
          <w:color w:val="14213D"/>
          <w:sz w:val="18"/>
        </w:rPr>
        <w:t>Navigation reflects permissions/enabled modules, keeps active indication, traps/returns focus acceptably and never shows inaccessible data.</w:t>
      </w:r>
    </w:p>
    <w:p>
      <w:pPr>
        <w:keepNext/>
        <w:spacing w:before="140" w:after="40"/>
      </w:pPr>
      <w:r>
        <w:rPr>
          <w:rFonts w:ascii="Calibri" w:hAnsi="Calibri"/>
          <w:b/>
          <w:color w:val="2E74B5"/>
          <w:sz w:val="18"/>
        </w:rPr>
        <w:t>BUS-008</w:t>
      </w:r>
      <w:r>
        <w:rPr>
          <w:rFonts w:ascii="Calibri" w:hAnsi="Calibri"/>
          <w:b/>
          <w:color w:val="6B7280"/>
          <w:sz w:val="17"/>
        </w:rPr>
        <w:t xml:space="preserve">  |  P1  |  Owner</w:t>
      </w:r>
    </w:p>
    <w:p>
      <w:pPr>
        <w:keepNext/>
        <w:spacing w:after="40"/>
        <w:ind w:left="216"/>
      </w:pPr>
      <w:r>
        <w:rPr>
          <w:rFonts w:ascii="Calibri" w:hAnsi="Calibri"/>
          <w:b/>
          <w:color w:val="14213D"/>
          <w:sz w:val="18"/>
        </w:rPr>
        <w:t xml:space="preserve">Execute: </w:t>
      </w:r>
      <w:r>
        <w:rPr>
          <w:rFonts w:ascii="Calibri" w:hAnsi="Calibri"/>
          <w:color w:val="14213D"/>
          <w:sz w:val="18"/>
        </w:rPr>
        <w:t>Verify dashboard with empty and populated data, quick actions, attention counts, unread badges and trial banner.</w:t>
      </w:r>
    </w:p>
    <w:p>
      <w:pPr>
        <w:spacing w:after="120"/>
        <w:ind w:left="216"/>
      </w:pPr>
      <w:r>
        <w:rPr>
          <w:rFonts w:ascii="Calibri" w:hAnsi="Calibri"/>
          <w:b/>
          <w:color w:val="1F4D78"/>
          <w:sz w:val="18"/>
        </w:rPr>
        <w:t xml:space="preserve">Accept when: </w:t>
      </w:r>
      <w:r>
        <w:rPr>
          <w:rFonts w:ascii="Calibri" w:hAnsi="Calibri"/>
          <w:color w:val="14213D"/>
          <w:sz w:val="18"/>
        </w:rPr>
        <w:t>Counts/links match source records and accessible Branches; empty state is useful; no unauthorized aggregate leaks.</w:t>
      </w:r>
    </w:p>
    <w:p>
      <w:r>
        <w:br w:type="page"/>
      </w:r>
    </w:p>
    <w:p>
      <w:pPr>
        <w:pStyle w:val="Heading2"/>
      </w:pPr>
      <w:r>
        <w:t>10.3 RBAC, tenant/Branch isolation, and platform administration</w:t>
      </w:r>
    </w:p>
    <w:p>
      <w:pPr>
        <w:keepNext/>
        <w:spacing w:before="140" w:after="40"/>
      </w:pPr>
      <w:r>
        <w:rPr>
          <w:rFonts w:ascii="Calibri" w:hAnsi="Calibri"/>
          <w:b/>
          <w:color w:val="2E74B5"/>
          <w:sz w:val="18"/>
        </w:rPr>
        <w:t>SEC-001</w:t>
      </w:r>
      <w:r>
        <w:rPr>
          <w:rFonts w:ascii="Calibri" w:hAnsi="Calibri"/>
          <w:b/>
          <w:color w:val="6B7280"/>
          <w:sz w:val="17"/>
        </w:rPr>
        <w:t xml:space="preserve">  |  P0  |  Owner</w:t>
      </w:r>
    </w:p>
    <w:p>
      <w:pPr>
        <w:keepNext/>
        <w:spacing w:after="40"/>
        <w:ind w:left="216"/>
      </w:pPr>
      <w:r>
        <w:rPr>
          <w:rFonts w:ascii="Calibri" w:hAnsi="Calibri"/>
          <w:b/>
          <w:color w:val="14213D"/>
          <w:sz w:val="18"/>
        </w:rPr>
        <w:t xml:space="preserve">Execute: </w:t>
      </w:r>
      <w:r>
        <w:rPr>
          <w:rFonts w:ascii="Calibri" w:hAnsi="Calibri"/>
          <w:color w:val="14213D"/>
          <w:sz w:val="18"/>
        </w:rPr>
        <w:t>Review immutable Owner/Admin/Manager/Cashier/Staff/Viewer roles and permission sets; attempt editing system roles.</w:t>
      </w:r>
    </w:p>
    <w:p>
      <w:pPr>
        <w:spacing w:after="120"/>
        <w:ind w:left="216"/>
      </w:pPr>
      <w:r>
        <w:rPr>
          <w:rFonts w:ascii="Calibri" w:hAnsi="Calibri"/>
          <w:b/>
          <w:color w:val="1F4D78"/>
          <w:sz w:val="18"/>
        </w:rPr>
        <w:t xml:space="preserve">Accept when: </w:t>
      </w:r>
      <w:r>
        <w:rPr>
          <w:rFonts w:ascii="Calibri" w:hAnsi="Calibri"/>
          <w:color w:val="14213D"/>
          <w:sz w:val="18"/>
        </w:rPr>
        <w:t>System roles cannot be renamed/deleted/edited outside supported assignment behavior.</w:t>
      </w:r>
    </w:p>
    <w:p>
      <w:pPr>
        <w:keepNext/>
        <w:spacing w:before="140" w:after="40"/>
      </w:pPr>
      <w:r>
        <w:rPr>
          <w:rFonts w:ascii="Calibri" w:hAnsi="Calibri"/>
          <w:b/>
          <w:color w:val="2E74B5"/>
          <w:sz w:val="18"/>
        </w:rPr>
        <w:t>SEC-002</w:t>
      </w:r>
      <w:r>
        <w:rPr>
          <w:rFonts w:ascii="Calibri" w:hAnsi="Calibri"/>
          <w:b/>
          <w:color w:val="6B7280"/>
          <w:sz w:val="17"/>
        </w:rPr>
        <w:t xml:space="preserve">  |  P0  |  Owner/Admin</w:t>
      </w:r>
    </w:p>
    <w:p>
      <w:pPr>
        <w:keepNext/>
        <w:spacing w:after="40"/>
        <w:ind w:left="216"/>
      </w:pPr>
      <w:r>
        <w:rPr>
          <w:rFonts w:ascii="Calibri" w:hAnsi="Calibri"/>
          <w:b/>
          <w:color w:val="14213D"/>
          <w:sz w:val="18"/>
        </w:rPr>
        <w:t xml:space="preserve">Execute: </w:t>
      </w:r>
      <w:r>
        <w:rPr>
          <w:rFonts w:ascii="Calibri" w:hAnsi="Calibri"/>
          <w:color w:val="14213D"/>
          <w:sz w:val="18"/>
        </w:rPr>
        <w:t>Create custom role with selected read/create/update permissions; update it and assign member.</w:t>
      </w:r>
    </w:p>
    <w:p>
      <w:pPr>
        <w:spacing w:after="120"/>
        <w:ind w:left="216"/>
      </w:pPr>
      <w:r>
        <w:rPr>
          <w:rFonts w:ascii="Calibri" w:hAnsi="Calibri"/>
          <w:b/>
          <w:color w:val="1F4D78"/>
          <w:sz w:val="18"/>
        </w:rPr>
        <w:t xml:space="preserve">Accept when: </w:t>
      </w:r>
      <w:r>
        <w:rPr>
          <w:rFonts w:ascii="Calibri" w:hAnsi="Calibri"/>
          <w:color w:val="14213D"/>
          <w:sz w:val="18"/>
        </w:rPr>
        <w:t>Permissions persist atomically; authorization changes take effect on next server check; unknown permission keys rejected.</w:t>
      </w:r>
    </w:p>
    <w:p>
      <w:pPr>
        <w:keepNext/>
        <w:spacing w:before="140" w:after="40"/>
      </w:pPr>
      <w:r>
        <w:rPr>
          <w:rFonts w:ascii="Calibri" w:hAnsi="Calibri"/>
          <w:b/>
          <w:color w:val="2E74B5"/>
          <w:sz w:val="18"/>
        </w:rPr>
        <w:t>SEC-003</w:t>
      </w:r>
      <w:r>
        <w:rPr>
          <w:rFonts w:ascii="Calibri" w:hAnsi="Calibri"/>
          <w:b/>
          <w:color w:val="6B7280"/>
          <w:sz w:val="17"/>
        </w:rPr>
        <w:t xml:space="preserve">  |  P0  |  Owner/Admin</w:t>
      </w:r>
    </w:p>
    <w:p>
      <w:pPr>
        <w:keepNext/>
        <w:spacing w:after="40"/>
        <w:ind w:left="216"/>
      </w:pPr>
      <w:r>
        <w:rPr>
          <w:rFonts w:ascii="Calibri" w:hAnsi="Calibri"/>
          <w:b/>
          <w:color w:val="14213D"/>
          <w:sz w:val="18"/>
        </w:rPr>
        <w:t xml:space="preserve">Execute: </w:t>
      </w:r>
      <w:r>
        <w:rPr>
          <w:rFonts w:ascii="Calibri" w:hAnsi="Calibri"/>
          <w:color w:val="14213D"/>
          <w:sz w:val="18"/>
        </w:rPr>
        <w:t>Assign multiple roles and all/specific Branch scope; remove role/grant while user is active.</w:t>
      </w:r>
    </w:p>
    <w:p>
      <w:pPr>
        <w:spacing w:after="120"/>
        <w:ind w:left="216"/>
      </w:pPr>
      <w:r>
        <w:rPr>
          <w:rFonts w:ascii="Calibri" w:hAnsi="Calibri"/>
          <w:b/>
          <w:color w:val="1F4D78"/>
          <w:sz w:val="18"/>
        </w:rPr>
        <w:t xml:space="preserve">Accept when: </w:t>
      </w:r>
      <w:r>
        <w:rPr>
          <w:rFonts w:ascii="Calibri" w:hAnsi="Calibri"/>
          <w:color w:val="14213D"/>
          <w:sz w:val="18"/>
        </w:rPr>
        <w:t>Effective union of permissions is correct; Branch intersection enforced; revoked access fails without re-login.</w:t>
      </w:r>
    </w:p>
    <w:p>
      <w:pPr>
        <w:keepNext/>
        <w:spacing w:before="140" w:after="40"/>
      </w:pPr>
      <w:r>
        <w:rPr>
          <w:rFonts w:ascii="Calibri" w:hAnsi="Calibri"/>
          <w:b/>
          <w:color w:val="2E74B5"/>
          <w:sz w:val="18"/>
        </w:rPr>
        <w:t>SEC-004</w:t>
      </w:r>
      <w:r>
        <w:rPr>
          <w:rFonts w:ascii="Calibri" w:hAnsi="Calibri"/>
          <w:b/>
          <w:color w:val="6B7280"/>
          <w:sz w:val="17"/>
        </w:rPr>
        <w:t xml:space="preserve">  |  P0  |  Cashier/Viewer</w:t>
      </w:r>
    </w:p>
    <w:p>
      <w:pPr>
        <w:keepNext/>
        <w:spacing w:after="40"/>
        <w:ind w:left="216"/>
      </w:pPr>
      <w:r>
        <w:rPr>
          <w:rFonts w:ascii="Calibri" w:hAnsi="Calibri"/>
          <w:b/>
          <w:color w:val="14213D"/>
          <w:sz w:val="18"/>
        </w:rPr>
        <w:t xml:space="preserve">Execute: </w:t>
      </w:r>
      <w:r>
        <w:rPr>
          <w:rFonts w:ascii="Calibri" w:hAnsi="Calibri"/>
          <w:color w:val="14213D"/>
          <w:sz w:val="18"/>
        </w:rPr>
        <w:t>Use hidden-button alternatives, direct URLs, crafted form posts, stale browser tab and replayed requests for privileged actions.</w:t>
      </w:r>
    </w:p>
    <w:p>
      <w:pPr>
        <w:spacing w:after="120"/>
        <w:ind w:left="216"/>
      </w:pPr>
      <w:r>
        <w:rPr>
          <w:rFonts w:ascii="Calibri" w:hAnsi="Calibri"/>
          <w:b/>
          <w:color w:val="1F4D78"/>
          <w:sz w:val="18"/>
        </w:rPr>
        <w:t xml:space="preserve">Accept when: </w:t>
      </w:r>
      <w:r>
        <w:rPr>
          <w:rFonts w:ascii="Calibri" w:hAnsi="Calibri"/>
          <w:color w:val="14213D"/>
          <w:sz w:val="18"/>
        </w:rPr>
        <w:t>Every server boundary and RLS policy denies; no side effect or sensitive error detail.</w:t>
      </w:r>
    </w:p>
    <w:p>
      <w:pPr>
        <w:keepNext/>
        <w:spacing w:before="140" w:after="40"/>
      </w:pPr>
      <w:r>
        <w:rPr>
          <w:rFonts w:ascii="Calibri" w:hAnsi="Calibri"/>
          <w:b/>
          <w:color w:val="2E74B5"/>
          <w:sz w:val="18"/>
        </w:rPr>
        <w:t>SEC-005</w:t>
      </w:r>
      <w:r>
        <w:rPr>
          <w:rFonts w:ascii="Calibri" w:hAnsi="Calibri"/>
          <w:b/>
          <w:color w:val="6B7280"/>
          <w:sz w:val="17"/>
        </w:rPr>
        <w:t xml:space="preserve">  |  P0  |  Business B owner</w:t>
      </w:r>
    </w:p>
    <w:p>
      <w:pPr>
        <w:keepNext/>
        <w:spacing w:after="40"/>
        <w:ind w:left="216"/>
      </w:pPr>
      <w:r>
        <w:rPr>
          <w:rFonts w:ascii="Calibri" w:hAnsi="Calibri"/>
          <w:b/>
          <w:color w:val="14213D"/>
          <w:sz w:val="18"/>
        </w:rPr>
        <w:t xml:space="preserve">Execute: </w:t>
      </w:r>
      <w:r>
        <w:rPr>
          <w:rFonts w:ascii="Calibri" w:hAnsi="Calibri"/>
          <w:color w:val="14213D"/>
          <w:sz w:val="18"/>
        </w:rPr>
        <w:t>Replace Business A IDs in URL, body, query, foreign keys, RPC inputs and export/PDF routes.</w:t>
      </w:r>
    </w:p>
    <w:p>
      <w:pPr>
        <w:spacing w:after="120"/>
        <w:ind w:left="216"/>
      </w:pPr>
      <w:r>
        <w:rPr>
          <w:rFonts w:ascii="Calibri" w:hAnsi="Calibri"/>
          <w:b/>
          <w:color w:val="1F4D78"/>
          <w:sz w:val="18"/>
        </w:rPr>
        <w:t xml:space="preserve">Accept when: </w:t>
      </w:r>
      <w:r>
        <w:rPr>
          <w:rFonts w:ascii="Calibri" w:hAnsi="Calibri"/>
          <w:color w:val="14213D"/>
          <w:sz w:val="18"/>
        </w:rPr>
        <w:t>404/403-safe response with no existence, totals, metadata or related-record leakage; no mutation.</w:t>
      </w:r>
    </w:p>
    <w:p>
      <w:pPr>
        <w:keepNext/>
        <w:spacing w:before="140" w:after="40"/>
      </w:pPr>
      <w:r>
        <w:rPr>
          <w:rFonts w:ascii="Calibri" w:hAnsi="Calibri"/>
          <w:b/>
          <w:color w:val="2E74B5"/>
          <w:sz w:val="18"/>
        </w:rPr>
        <w:t>SEC-006</w:t>
      </w:r>
      <w:r>
        <w:rPr>
          <w:rFonts w:ascii="Calibri" w:hAnsi="Calibri"/>
          <w:b/>
          <w:color w:val="6B7280"/>
          <w:sz w:val="17"/>
        </w:rPr>
        <w:t xml:space="preserve">  |  P0  |  Branch-limited user</w:t>
      </w:r>
    </w:p>
    <w:p>
      <w:pPr>
        <w:keepNext/>
        <w:spacing w:after="40"/>
        <w:ind w:left="216"/>
      </w:pPr>
      <w:r>
        <w:rPr>
          <w:rFonts w:ascii="Calibri" w:hAnsi="Calibri"/>
          <w:b/>
          <w:color w:val="14213D"/>
          <w:sz w:val="18"/>
        </w:rPr>
        <w:t xml:space="preserve">Execute: </w:t>
      </w:r>
      <w:r>
        <w:rPr>
          <w:rFonts w:ascii="Calibri" w:hAnsi="Calibri"/>
          <w:color w:val="14213D"/>
          <w:sz w:val="18"/>
        </w:rPr>
        <w:t>Replace allowed Branch with denied Branch in reads, writes, dashboard metrics, reports and selections.</w:t>
      </w:r>
    </w:p>
    <w:p>
      <w:pPr>
        <w:spacing w:after="120"/>
        <w:ind w:left="216"/>
      </w:pPr>
      <w:r>
        <w:rPr>
          <w:rFonts w:ascii="Calibri" w:hAnsi="Calibri"/>
          <w:b/>
          <w:color w:val="1F4D78"/>
          <w:sz w:val="18"/>
        </w:rPr>
        <w:t xml:space="preserve">Accept when: </w:t>
      </w:r>
      <w:r>
        <w:rPr>
          <w:rFonts w:ascii="Calibri" w:hAnsi="Calibri"/>
          <w:color w:val="14213D"/>
          <w:sz w:val="18"/>
        </w:rPr>
        <w:t>Denied Branch records and counts are absent; mutations fail; valid all-Branch owner remains unaffected.</w:t>
      </w:r>
    </w:p>
    <w:p>
      <w:pPr>
        <w:keepNext/>
        <w:spacing w:before="140" w:after="40"/>
      </w:pPr>
      <w:r>
        <w:rPr>
          <w:rFonts w:ascii="Calibri" w:hAnsi="Calibri"/>
          <w:b/>
          <w:color w:val="2E74B5"/>
          <w:sz w:val="18"/>
        </w:rPr>
        <w:t>SEC-007</w:t>
      </w:r>
      <w:r>
        <w:rPr>
          <w:rFonts w:ascii="Calibri" w:hAnsi="Calibri"/>
          <w:b/>
          <w:color w:val="6B7280"/>
          <w:sz w:val="17"/>
        </w:rPr>
        <w:t xml:space="preserve">  |  P0  |  User</w:t>
      </w:r>
    </w:p>
    <w:p>
      <w:pPr>
        <w:keepNext/>
        <w:spacing w:after="40"/>
        <w:ind w:left="216"/>
      </w:pPr>
      <w:r>
        <w:rPr>
          <w:rFonts w:ascii="Calibri" w:hAnsi="Calibri"/>
          <w:b/>
          <w:color w:val="14213D"/>
          <w:sz w:val="18"/>
        </w:rPr>
        <w:t xml:space="preserve">Execute: </w:t>
      </w:r>
      <w:r>
        <w:rPr>
          <w:rFonts w:ascii="Calibri" w:hAnsi="Calibri"/>
          <w:color w:val="14213D"/>
          <w:sz w:val="18"/>
        </w:rPr>
        <w:t>Alter tenant prefix or record ID for receipt, logo, job attachment and delivery proof signed URLs; wait for expiry.</w:t>
      </w:r>
    </w:p>
    <w:p>
      <w:pPr>
        <w:spacing w:after="120"/>
        <w:ind w:left="216"/>
      </w:pPr>
      <w:r>
        <w:rPr>
          <w:rFonts w:ascii="Calibri" w:hAnsi="Calibri"/>
          <w:b/>
          <w:color w:val="1F4D78"/>
          <w:sz w:val="18"/>
        </w:rPr>
        <w:t xml:space="preserve">Accept when: </w:t>
      </w:r>
      <w:r>
        <w:rPr>
          <w:rFonts w:ascii="Calibri" w:hAnsi="Calibri"/>
          <w:color w:val="14213D"/>
          <w:sz w:val="18"/>
        </w:rPr>
        <w:t>Cross-tenant/expired access is denied; valid authorized access works only for intended object and time.</w:t>
      </w:r>
    </w:p>
    <w:p>
      <w:pPr>
        <w:keepNext/>
        <w:spacing w:before="140" w:after="40"/>
      </w:pPr>
      <w:r>
        <w:rPr>
          <w:rFonts w:ascii="Calibri" w:hAnsi="Calibri"/>
          <w:b/>
          <w:color w:val="2E74B5"/>
          <w:sz w:val="18"/>
        </w:rPr>
        <w:t>SEC-008</w:t>
      </w:r>
      <w:r>
        <w:rPr>
          <w:rFonts w:ascii="Calibri" w:hAnsi="Calibri"/>
          <w:b/>
          <w:color w:val="6B7280"/>
          <w:sz w:val="17"/>
        </w:rPr>
        <w:t xml:space="preserve">  |  P1  |  Platform admin</w:t>
      </w:r>
    </w:p>
    <w:p>
      <w:pPr>
        <w:keepNext/>
        <w:spacing w:after="40"/>
        <w:ind w:left="216"/>
      </w:pPr>
      <w:r>
        <w:rPr>
          <w:rFonts w:ascii="Calibri" w:hAnsi="Calibri"/>
          <w:b/>
          <w:color w:val="14213D"/>
          <w:sz w:val="18"/>
        </w:rPr>
        <w:t xml:space="preserve">Execute: </w:t>
      </w:r>
      <w:r>
        <w:rPr>
          <w:rFonts w:ascii="Calibri" w:hAnsi="Calibri"/>
          <w:color w:val="14213D"/>
          <w:sz w:val="18"/>
        </w:rPr>
        <w:t>Open platform admin dashboard; manage feature flag, module/template state, Business status, subscription and health check.</w:t>
      </w:r>
    </w:p>
    <w:p>
      <w:pPr>
        <w:spacing w:after="120"/>
        <w:ind w:left="216"/>
      </w:pPr>
      <w:r>
        <w:rPr>
          <w:rFonts w:ascii="Calibri" w:hAnsi="Calibri"/>
          <w:b/>
          <w:color w:val="1F4D78"/>
          <w:sz w:val="18"/>
        </w:rPr>
        <w:t xml:space="preserve">Accept when: </w:t>
      </w:r>
      <w:r>
        <w:rPr>
          <w:rFonts w:ascii="Calibri" w:hAnsi="Calibri"/>
          <w:color w:val="14213D"/>
          <w:sz w:val="18"/>
        </w:rPr>
        <w:t>Authorized changes audit and affect intended target only; ordinary owner cannot access any platform operation.</w:t>
      </w:r>
    </w:p>
    <w:p>
      <w:pPr>
        <w:keepNext/>
        <w:spacing w:before="140" w:after="40"/>
      </w:pPr>
      <w:r>
        <w:rPr>
          <w:rFonts w:ascii="Calibri" w:hAnsi="Calibri"/>
          <w:b/>
          <w:color w:val="2E74B5"/>
          <w:sz w:val="18"/>
        </w:rPr>
        <w:t>SEC-009</w:t>
      </w:r>
      <w:r>
        <w:rPr>
          <w:rFonts w:ascii="Calibri" w:hAnsi="Calibri"/>
          <w:b/>
          <w:color w:val="6B7280"/>
          <w:sz w:val="17"/>
        </w:rPr>
        <w:t xml:space="preserve">  |  P0  |  Platform admin</w:t>
      </w:r>
    </w:p>
    <w:p>
      <w:pPr>
        <w:keepNext/>
        <w:spacing w:after="40"/>
        <w:ind w:left="216"/>
      </w:pPr>
      <w:r>
        <w:rPr>
          <w:rFonts w:ascii="Calibri" w:hAnsi="Calibri"/>
          <w:b/>
          <w:color w:val="14213D"/>
          <w:sz w:val="18"/>
        </w:rPr>
        <w:t xml:space="preserve">Execute: </w:t>
      </w:r>
      <w:r>
        <w:rPr>
          <w:rFonts w:ascii="Calibri" w:hAnsi="Calibri"/>
          <w:color w:val="14213D"/>
          <w:sz w:val="18"/>
        </w:rPr>
        <w:t>Request and review temporary support access; test expiry, denial, target Business scope and ordinary platform admin access without grant.</w:t>
      </w:r>
    </w:p>
    <w:p>
      <w:pPr>
        <w:spacing w:after="120"/>
        <w:ind w:left="216"/>
      </w:pPr>
      <w:r>
        <w:rPr>
          <w:rFonts w:ascii="Calibri" w:hAnsi="Calibri"/>
          <w:b/>
          <w:color w:val="1F4D78"/>
          <w:sz w:val="18"/>
        </w:rPr>
        <w:t xml:space="preserve">Accept when: </w:t>
      </w:r>
      <w:r>
        <w:rPr>
          <w:rFonts w:ascii="Calibri" w:hAnsi="Calibri"/>
          <w:color w:val="14213D"/>
          <w:sz w:val="18"/>
        </w:rPr>
        <w:t>Support access is explicit, time/scoped, auditable and fails closed outside the grant.</w:t>
      </w:r>
    </w:p>
    <w:p>
      <w:pPr>
        <w:keepNext/>
        <w:spacing w:before="140" w:after="40"/>
      </w:pPr>
      <w:r>
        <w:rPr>
          <w:rFonts w:ascii="Calibri" w:hAnsi="Calibri"/>
          <w:b/>
          <w:color w:val="2E74B5"/>
          <w:sz w:val="18"/>
        </w:rPr>
        <w:t>SEC-010</w:t>
      </w:r>
      <w:r>
        <w:rPr>
          <w:rFonts w:ascii="Calibri" w:hAnsi="Calibri"/>
          <w:b/>
          <w:color w:val="6B7280"/>
          <w:sz w:val="17"/>
        </w:rPr>
        <w:t xml:space="preserve">  |  P1  |  Security reviewer</w:t>
      </w:r>
    </w:p>
    <w:p>
      <w:pPr>
        <w:keepNext/>
        <w:spacing w:after="40"/>
        <w:ind w:left="216"/>
      </w:pPr>
      <w:r>
        <w:rPr>
          <w:rFonts w:ascii="Calibri" w:hAnsi="Calibri"/>
          <w:b/>
          <w:color w:val="14213D"/>
          <w:sz w:val="18"/>
        </w:rPr>
        <w:t xml:space="preserve">Execute: </w:t>
      </w:r>
      <w:r>
        <w:rPr>
          <w:rFonts w:ascii="Calibri" w:hAnsi="Calibri"/>
          <w:color w:val="14213D"/>
          <w:sz w:val="18"/>
        </w:rPr>
        <w:t>Inspect error pages, request IDs, logs and audit for passwords, tokens, cookies, authorization headers, API keys and raw bodies.</w:t>
      </w:r>
    </w:p>
    <w:p>
      <w:pPr>
        <w:spacing w:after="120"/>
        <w:ind w:left="216"/>
      </w:pPr>
      <w:r>
        <w:rPr>
          <w:rFonts w:ascii="Calibri" w:hAnsi="Calibri"/>
          <w:b/>
          <w:color w:val="1F4D78"/>
          <w:sz w:val="18"/>
        </w:rPr>
        <w:t xml:space="preserve">Accept when: </w:t>
      </w:r>
      <w:r>
        <w:rPr>
          <w:rFonts w:ascii="Calibri" w:hAnsi="Calibri"/>
          <w:color w:val="14213D"/>
          <w:sz w:val="18"/>
        </w:rPr>
        <w:t>Sensitive fields are redacted; user errors are safe; stable identifiers permit support correlation.</w:t>
      </w:r>
    </w:p>
    <w:p>
      <w:r>
        <w:br w:type="page"/>
      </w:r>
    </w:p>
    <w:p>
      <w:pPr>
        <w:pStyle w:val="Heading2"/>
      </w:pPr>
      <w:r>
        <w:t>10.4 Templates, modules, trial, billing, and coach</w:t>
      </w:r>
    </w:p>
    <w:p>
      <w:pPr>
        <w:keepNext/>
        <w:spacing w:before="140" w:after="40"/>
      </w:pPr>
      <w:r>
        <w:rPr>
          <w:rFonts w:ascii="Calibri" w:hAnsi="Calibri"/>
          <w:b/>
          <w:color w:val="2E74B5"/>
          <w:sz w:val="18"/>
        </w:rPr>
        <w:t>CFG-001</w:t>
      </w:r>
      <w:r>
        <w:rPr>
          <w:rFonts w:ascii="Calibri" w:hAnsi="Calibri"/>
          <w:b/>
          <w:color w:val="6B7280"/>
          <w:sz w:val="17"/>
        </w:rPr>
        <w:t xml:space="preserve">  |  P0  |  Owner/Admin</w:t>
      </w:r>
    </w:p>
    <w:p>
      <w:pPr>
        <w:keepNext/>
        <w:spacing w:after="40"/>
        <w:ind w:left="216"/>
      </w:pPr>
      <w:r>
        <w:rPr>
          <w:rFonts w:ascii="Calibri" w:hAnsi="Calibri"/>
          <w:b/>
          <w:color w:val="14213D"/>
          <w:sz w:val="18"/>
        </w:rPr>
        <w:t xml:space="preserve">Execute: </w:t>
      </w:r>
      <w:r>
        <w:rPr>
          <w:rFonts w:ascii="Calibri" w:hAnsi="Calibri"/>
          <w:color w:val="14213D"/>
          <w:sz w:val="18"/>
        </w:rPr>
        <w:t>Browse Retail Hardware, Food/Restaurant and Salon/Service templates; inspect version, modules, terminology, objects, forms and views.</w:t>
      </w:r>
    </w:p>
    <w:p>
      <w:pPr>
        <w:spacing w:after="120"/>
        <w:ind w:left="216"/>
      </w:pPr>
      <w:r>
        <w:rPr>
          <w:rFonts w:ascii="Calibri" w:hAnsi="Calibri"/>
          <w:b/>
          <w:color w:val="1F4D78"/>
          <w:sz w:val="18"/>
        </w:rPr>
        <w:t xml:space="preserve">Accept when: </w:t>
      </w:r>
      <w:r>
        <w:rPr>
          <w:rFonts w:ascii="Calibri" w:hAnsi="Calibri"/>
          <w:color w:val="14213D"/>
          <w:sz w:val="18"/>
        </w:rPr>
        <w:t>Preview is published, internally consistent and plan eligibility is clear; no tenant data is changed.</w:t>
      </w:r>
    </w:p>
    <w:p>
      <w:pPr>
        <w:keepNext/>
        <w:spacing w:before="140" w:after="40"/>
      </w:pPr>
      <w:r>
        <w:rPr>
          <w:rFonts w:ascii="Calibri" w:hAnsi="Calibri"/>
          <w:b/>
          <w:color w:val="2E74B5"/>
          <w:sz w:val="18"/>
        </w:rPr>
        <w:t>CFG-002</w:t>
      </w:r>
      <w:r>
        <w:rPr>
          <w:rFonts w:ascii="Calibri" w:hAnsi="Calibri"/>
          <w:b/>
          <w:color w:val="6B7280"/>
          <w:sz w:val="17"/>
        </w:rPr>
        <w:t xml:space="preserve">  |  P0  |  Owner/Admin</w:t>
      </w:r>
    </w:p>
    <w:p>
      <w:pPr>
        <w:keepNext/>
        <w:spacing w:after="40"/>
        <w:ind w:left="216"/>
      </w:pPr>
      <w:r>
        <w:rPr>
          <w:rFonts w:ascii="Calibri" w:hAnsi="Calibri"/>
          <w:b/>
          <w:color w:val="14213D"/>
          <w:sz w:val="18"/>
        </w:rPr>
        <w:t xml:space="preserve">Execute: </w:t>
      </w:r>
      <w:r>
        <w:rPr>
          <w:rFonts w:ascii="Calibri" w:hAnsi="Calibri"/>
          <w:color w:val="14213D"/>
          <w:sz w:val="18"/>
        </w:rPr>
        <w:t>Install first Business OS and retry/double-submit; inspect created modules/configuration and trial start.</w:t>
      </w:r>
    </w:p>
    <w:p>
      <w:pPr>
        <w:spacing w:after="120"/>
        <w:ind w:left="216"/>
      </w:pPr>
      <w:r>
        <w:rPr>
          <w:rFonts w:ascii="Calibri" w:hAnsi="Calibri"/>
          <w:b/>
          <w:color w:val="1F4D78"/>
          <w:sz w:val="18"/>
        </w:rPr>
        <w:t xml:space="preserve">Accept when: </w:t>
      </w:r>
      <w:r>
        <w:rPr>
          <w:rFonts w:ascii="Calibri" w:hAnsi="Calibri"/>
          <w:color w:val="14213D"/>
          <w:sz w:val="18"/>
        </w:rPr>
        <w:t>Installation is atomic/idempotent; tenant resources created once; trial begins only on first activation.</w:t>
      </w:r>
    </w:p>
    <w:p>
      <w:pPr>
        <w:keepNext/>
        <w:spacing w:before="140" w:after="40"/>
      </w:pPr>
      <w:r>
        <w:rPr>
          <w:rFonts w:ascii="Calibri" w:hAnsi="Calibri"/>
          <w:b/>
          <w:color w:val="2E74B5"/>
          <w:sz w:val="18"/>
        </w:rPr>
        <w:t>CFG-003</w:t>
      </w:r>
      <w:r>
        <w:rPr>
          <w:rFonts w:ascii="Calibri" w:hAnsi="Calibri"/>
          <w:b/>
          <w:color w:val="6B7280"/>
          <w:sz w:val="17"/>
        </w:rPr>
        <w:t xml:space="preserve">  |  P1  |  Owner/Admin</w:t>
      </w:r>
    </w:p>
    <w:p>
      <w:pPr>
        <w:keepNext/>
        <w:spacing w:after="40"/>
        <w:ind w:left="216"/>
      </w:pPr>
      <w:r>
        <w:rPr>
          <w:rFonts w:ascii="Calibri" w:hAnsi="Calibri"/>
          <w:b/>
          <w:color w:val="14213D"/>
          <w:sz w:val="18"/>
        </w:rPr>
        <w:t xml:space="preserve">Execute: </w:t>
      </w:r>
      <w:r>
        <w:rPr>
          <w:rFonts w:ascii="Calibri" w:hAnsi="Calibri"/>
          <w:color w:val="14213D"/>
          <w:sz w:val="18"/>
        </w:rPr>
        <w:t>Update to newer template version after tenant customizations; attempt another OS installation.</w:t>
      </w:r>
    </w:p>
    <w:p>
      <w:pPr>
        <w:spacing w:after="120"/>
        <w:ind w:left="216"/>
      </w:pPr>
      <w:r>
        <w:rPr>
          <w:rFonts w:ascii="Calibri" w:hAnsi="Calibri"/>
          <w:b/>
          <w:color w:val="1F4D78"/>
          <w:sz w:val="18"/>
        </w:rPr>
        <w:t xml:space="preserve">Accept when: </w:t>
      </w:r>
      <w:r>
        <w:rPr>
          <w:rFonts w:ascii="Calibri" w:hAnsi="Calibri"/>
          <w:color w:val="14213D"/>
          <w:sz w:val="18"/>
        </w:rPr>
        <w:t>New resources merge, customizations remain, version advances, and a second incompatible OS is blocked.</w:t>
      </w:r>
    </w:p>
    <w:p>
      <w:pPr>
        <w:keepNext/>
        <w:spacing w:before="140" w:after="40"/>
      </w:pPr>
      <w:r>
        <w:rPr>
          <w:rFonts w:ascii="Calibri" w:hAnsi="Calibri"/>
          <w:b/>
          <w:color w:val="2E74B5"/>
          <w:sz w:val="18"/>
        </w:rPr>
        <w:t>CFG-004</w:t>
      </w:r>
      <w:r>
        <w:rPr>
          <w:rFonts w:ascii="Calibri" w:hAnsi="Calibri"/>
          <w:b/>
          <w:color w:val="6B7280"/>
          <w:sz w:val="17"/>
        </w:rPr>
        <w:t xml:space="preserve">  |  P0  |  Owner/Admin</w:t>
      </w:r>
    </w:p>
    <w:p>
      <w:pPr>
        <w:keepNext/>
        <w:spacing w:after="40"/>
        <w:ind w:left="216"/>
      </w:pPr>
      <w:r>
        <w:rPr>
          <w:rFonts w:ascii="Calibri" w:hAnsi="Calibri"/>
          <w:b/>
          <w:color w:val="14213D"/>
          <w:sz w:val="18"/>
        </w:rPr>
        <w:t xml:space="preserve">Execute: </w:t>
      </w:r>
      <w:r>
        <w:rPr>
          <w:rFonts w:ascii="Calibri" w:hAnsi="Calibri"/>
          <w:color w:val="14213D"/>
          <w:sz w:val="18"/>
        </w:rPr>
        <w:t>Enable module with/without required dependencies and eligible/ineligible plan; supply invalid configuration.</w:t>
      </w:r>
    </w:p>
    <w:p>
      <w:pPr>
        <w:spacing w:after="120"/>
        <w:ind w:left="216"/>
      </w:pPr>
      <w:r>
        <w:rPr>
          <w:rFonts w:ascii="Calibri" w:hAnsi="Calibri"/>
          <w:b/>
          <w:color w:val="1F4D78"/>
          <w:sz w:val="18"/>
        </w:rPr>
        <w:t xml:space="preserve">Accept when: </w:t>
      </w:r>
      <w:r>
        <w:rPr>
          <w:rFonts w:ascii="Calibri" w:hAnsi="Calibri"/>
          <w:color w:val="14213D"/>
          <w:sz w:val="18"/>
        </w:rPr>
        <w:t>Dependency, plan and strict schema rules enforce atomically; navigation updates only after success.</w:t>
      </w:r>
    </w:p>
    <w:p>
      <w:pPr>
        <w:keepNext/>
        <w:spacing w:before="140" w:after="40"/>
      </w:pPr>
      <w:r>
        <w:rPr>
          <w:rFonts w:ascii="Calibri" w:hAnsi="Calibri"/>
          <w:b/>
          <w:color w:val="2E74B5"/>
          <w:sz w:val="18"/>
        </w:rPr>
        <w:t>CFG-005</w:t>
      </w:r>
      <w:r>
        <w:rPr>
          <w:rFonts w:ascii="Calibri" w:hAnsi="Calibri"/>
          <w:b/>
          <w:color w:val="6B7280"/>
          <w:sz w:val="17"/>
        </w:rPr>
        <w:t xml:space="preserve">  |  P0  |  Owner/Admin</w:t>
      </w:r>
    </w:p>
    <w:p>
      <w:pPr>
        <w:keepNext/>
        <w:spacing w:after="40"/>
        <w:ind w:left="216"/>
      </w:pPr>
      <w:r>
        <w:rPr>
          <w:rFonts w:ascii="Calibri" w:hAnsi="Calibri"/>
          <w:b/>
          <w:color w:val="14213D"/>
          <w:sz w:val="18"/>
        </w:rPr>
        <w:t xml:space="preserve">Execute: </w:t>
      </w:r>
      <w:r>
        <w:rPr>
          <w:rFonts w:ascii="Calibri" w:hAnsi="Calibri"/>
          <w:color w:val="14213D"/>
          <w:sz w:val="18"/>
        </w:rPr>
        <w:t>Disable an enabled dependency with active dependent; then disable dependent first.</w:t>
      </w:r>
    </w:p>
    <w:p>
      <w:pPr>
        <w:spacing w:after="120"/>
        <w:ind w:left="216"/>
      </w:pPr>
      <w:r>
        <w:rPr>
          <w:rFonts w:ascii="Calibri" w:hAnsi="Calibri"/>
          <w:b/>
          <w:color w:val="1F4D78"/>
          <w:sz w:val="18"/>
        </w:rPr>
        <w:t xml:space="preserve">Accept when: </w:t>
      </w:r>
      <w:r>
        <w:rPr>
          <w:rFonts w:ascii="Calibri" w:hAnsi="Calibri"/>
          <w:color w:val="14213D"/>
          <w:sz w:val="18"/>
        </w:rPr>
        <w:t>Unsafe deactivation is rejected with explanation; correct sequence succeeds without data loss.</w:t>
      </w:r>
    </w:p>
    <w:p>
      <w:pPr>
        <w:keepNext/>
        <w:spacing w:before="140" w:after="40"/>
      </w:pPr>
      <w:r>
        <w:rPr>
          <w:rFonts w:ascii="Calibri" w:hAnsi="Calibri"/>
          <w:b/>
          <w:color w:val="2E74B5"/>
          <w:sz w:val="18"/>
        </w:rPr>
        <w:t>CFG-006</w:t>
      </w:r>
      <w:r>
        <w:rPr>
          <w:rFonts w:ascii="Calibri" w:hAnsi="Calibri"/>
          <w:b/>
          <w:color w:val="6B7280"/>
          <w:sz w:val="17"/>
        </w:rPr>
        <w:t xml:space="preserve">  |  P1  |  Concurrent admins</w:t>
      </w:r>
    </w:p>
    <w:p>
      <w:pPr>
        <w:keepNext/>
        <w:spacing w:after="40"/>
        <w:ind w:left="216"/>
      </w:pPr>
      <w:r>
        <w:rPr>
          <w:rFonts w:ascii="Calibri" w:hAnsi="Calibri"/>
          <w:b/>
          <w:color w:val="14213D"/>
          <w:sz w:val="18"/>
        </w:rPr>
        <w:t xml:space="preserve">Execute: </w:t>
      </w:r>
      <w:r>
        <w:rPr>
          <w:rFonts w:ascii="Calibri" w:hAnsi="Calibri"/>
          <w:color w:val="14213D"/>
          <w:sz w:val="18"/>
        </w:rPr>
        <w:t>Enable/disable dependent modules simultaneously from two sessions.</w:t>
      </w:r>
    </w:p>
    <w:p>
      <w:pPr>
        <w:spacing w:after="120"/>
        <w:ind w:left="216"/>
      </w:pPr>
      <w:r>
        <w:rPr>
          <w:rFonts w:ascii="Calibri" w:hAnsi="Calibri"/>
          <w:b/>
          <w:color w:val="1F4D78"/>
          <w:sz w:val="18"/>
        </w:rPr>
        <w:t xml:space="preserve">Accept when: </w:t>
      </w:r>
      <w:r>
        <w:rPr>
          <w:rFonts w:ascii="Calibri" w:hAnsi="Calibri"/>
          <w:color w:val="14213D"/>
          <w:sz w:val="18"/>
        </w:rPr>
        <w:t>Per-Business serialization prevents inconsistent graph; one coherent final state and audit history.</w:t>
      </w:r>
    </w:p>
    <w:p>
      <w:pPr>
        <w:keepNext/>
        <w:spacing w:before="140" w:after="40"/>
      </w:pPr>
      <w:r>
        <w:rPr>
          <w:rFonts w:ascii="Calibri" w:hAnsi="Calibri"/>
          <w:b/>
          <w:color w:val="2E74B5"/>
          <w:sz w:val="18"/>
        </w:rPr>
        <w:t>CFG-007</w:t>
      </w:r>
      <w:r>
        <w:rPr>
          <w:rFonts w:ascii="Calibri" w:hAnsi="Calibri"/>
          <w:b/>
          <w:color w:val="6B7280"/>
          <w:sz w:val="17"/>
        </w:rPr>
        <w:t xml:space="preserve">  |  P0  |  Owner</w:t>
      </w:r>
    </w:p>
    <w:p>
      <w:pPr>
        <w:keepNext/>
        <w:spacing w:after="40"/>
        <w:ind w:left="216"/>
      </w:pPr>
      <w:r>
        <w:rPr>
          <w:rFonts w:ascii="Calibri" w:hAnsi="Calibri"/>
          <w:b/>
          <w:color w:val="14213D"/>
          <w:sz w:val="18"/>
        </w:rPr>
        <w:t xml:space="preserve">Execute: </w:t>
      </w:r>
      <w:r>
        <w:rPr>
          <w:rFonts w:ascii="Calibri" w:hAnsi="Calibri"/>
          <w:color w:val="14213D"/>
          <w:sz w:val="18"/>
        </w:rPr>
        <w:t>Verify not-started, active, day-40, expired and converted 45-day trial states and direct report URL gating.</w:t>
      </w:r>
    </w:p>
    <w:p>
      <w:pPr>
        <w:spacing w:after="120"/>
        <w:ind w:left="216"/>
      </w:pPr>
      <w:r>
        <w:rPr>
          <w:rFonts w:ascii="Calibri" w:hAnsi="Calibri"/>
          <w:b/>
          <w:color w:val="1F4D78"/>
          <w:sz w:val="18"/>
        </w:rPr>
        <w:t xml:space="preserve">Accept when: </w:t>
      </w:r>
      <w:r>
        <w:rPr>
          <w:rFonts w:ascii="Calibri" w:hAnsi="Calibri"/>
          <w:color w:val="14213D"/>
          <w:sz w:val="18"/>
        </w:rPr>
        <w:t>Days use Asia/Manila; report appears from day 40; records persist; status and messages are accurate.</w:t>
      </w:r>
    </w:p>
    <w:p>
      <w:pPr>
        <w:keepNext/>
        <w:spacing w:before="140" w:after="40"/>
      </w:pPr>
      <w:r>
        <w:rPr>
          <w:rFonts w:ascii="Calibri" w:hAnsi="Calibri"/>
          <w:b/>
          <w:color w:val="2E74B5"/>
          <w:sz w:val="18"/>
        </w:rPr>
        <w:t>CFG-008</w:t>
      </w:r>
      <w:r>
        <w:rPr>
          <w:rFonts w:ascii="Calibri" w:hAnsi="Calibri"/>
          <w:b/>
          <w:color w:val="6B7280"/>
          <w:sz w:val="17"/>
        </w:rPr>
        <w:t xml:space="preserve">  |  P1  |  Owner</w:t>
      </w:r>
    </w:p>
    <w:p>
      <w:pPr>
        <w:keepNext/>
        <w:spacing w:after="40"/>
        <w:ind w:left="216"/>
      </w:pPr>
      <w:r>
        <w:rPr>
          <w:rFonts w:ascii="Calibri" w:hAnsi="Calibri"/>
          <w:b/>
          <w:color w:val="14213D"/>
          <w:sz w:val="18"/>
        </w:rPr>
        <w:t xml:space="preserve">Execute: </w:t>
      </w:r>
      <w:r>
        <w:rPr>
          <w:rFonts w:ascii="Calibri" w:hAnsi="Calibri"/>
          <w:color w:val="14213D"/>
          <w:sz w:val="18"/>
        </w:rPr>
        <w:t>Complete adoption activities and revisit trial/report repeatedly.</w:t>
      </w:r>
    </w:p>
    <w:p>
      <w:pPr>
        <w:spacing w:after="120"/>
        <w:ind w:left="216"/>
      </w:pPr>
      <w:r>
        <w:rPr>
          <w:rFonts w:ascii="Calibri" w:hAnsi="Calibri"/>
          <w:b/>
          <w:color w:val="1F4D78"/>
          <w:sz w:val="18"/>
        </w:rPr>
        <w:t xml:space="preserve">Accept when: </w:t>
      </w:r>
      <w:r>
        <w:rPr>
          <w:rFonts w:ascii="Calibri" w:hAnsi="Calibri"/>
          <w:color w:val="14213D"/>
          <w:sz w:val="18"/>
        </w:rPr>
        <w:t>Each milestone and view count is factual/idempotent; calculations match source records and methodology.</w:t>
      </w:r>
    </w:p>
    <w:p>
      <w:pPr>
        <w:keepNext/>
        <w:spacing w:before="140" w:after="40"/>
      </w:pPr>
      <w:r>
        <w:rPr>
          <w:rFonts w:ascii="Calibri" w:hAnsi="Calibri"/>
          <w:b/>
          <w:color w:val="2E74B5"/>
          <w:sz w:val="18"/>
        </w:rPr>
        <w:t>CFG-009</w:t>
      </w:r>
      <w:r>
        <w:rPr>
          <w:rFonts w:ascii="Calibri" w:hAnsi="Calibri"/>
          <w:b/>
          <w:color w:val="6B7280"/>
          <w:sz w:val="17"/>
        </w:rPr>
        <w:t xml:space="preserve">  |  P1  |  Owner</w:t>
      </w:r>
    </w:p>
    <w:p>
      <w:pPr>
        <w:keepNext/>
        <w:spacing w:after="40"/>
        <w:ind w:left="216"/>
      </w:pPr>
      <w:r>
        <w:rPr>
          <w:rFonts w:ascii="Calibri" w:hAnsi="Calibri"/>
          <w:b/>
          <w:color w:val="14213D"/>
          <w:sz w:val="18"/>
        </w:rPr>
        <w:t xml:space="preserve">Execute: </w:t>
      </w:r>
      <w:r>
        <w:rPr>
          <w:rFonts w:ascii="Calibri" w:hAnsi="Calibri"/>
          <w:color w:val="14213D"/>
          <w:sz w:val="18"/>
        </w:rPr>
        <w:t>Browse plans and request subscription change; test plan limits, grace period and failure/pending states.</w:t>
      </w:r>
    </w:p>
    <w:p>
      <w:pPr>
        <w:spacing w:after="120"/>
        <w:ind w:left="216"/>
      </w:pPr>
      <w:r>
        <w:rPr>
          <w:rFonts w:ascii="Calibri" w:hAnsi="Calibri"/>
          <w:b/>
          <w:color w:val="1F4D78"/>
          <w:sz w:val="18"/>
        </w:rPr>
        <w:t xml:space="preserve">Accept when: </w:t>
      </w:r>
      <w:r>
        <w:rPr>
          <w:rFonts w:ascii="Calibri" w:hAnsi="Calibri"/>
          <w:color w:val="14213D"/>
          <w:sz w:val="18"/>
        </w:rPr>
        <w:t>Request is authenticated, auditable and safely reflects provider state; browser callback alone cannot activate subscription.</w:t>
      </w:r>
    </w:p>
    <w:p>
      <w:pPr>
        <w:keepNext/>
        <w:spacing w:before="140" w:after="40"/>
      </w:pPr>
      <w:r>
        <w:rPr>
          <w:rFonts w:ascii="Calibri" w:hAnsi="Calibri"/>
          <w:b/>
          <w:color w:val="2E74B5"/>
          <w:sz w:val="18"/>
        </w:rPr>
        <w:t>CFG-010</w:t>
      </w:r>
      <w:r>
        <w:rPr>
          <w:rFonts w:ascii="Calibri" w:hAnsi="Calibri"/>
          <w:b/>
          <w:color w:val="6B7280"/>
          <w:sz w:val="17"/>
        </w:rPr>
        <w:t xml:space="preserve">  |  P1  |  User</w:t>
      </w:r>
    </w:p>
    <w:p>
      <w:pPr>
        <w:keepNext/>
        <w:spacing w:after="40"/>
        <w:ind w:left="216"/>
      </w:pPr>
      <w:r>
        <w:rPr>
          <w:rFonts w:ascii="Calibri" w:hAnsi="Calibri"/>
          <w:b/>
          <w:color w:val="14213D"/>
          <w:sz w:val="18"/>
        </w:rPr>
        <w:t xml:space="preserve">Execute: </w:t>
      </w:r>
      <w:r>
        <w:rPr>
          <w:rFonts w:ascii="Calibri" w:hAnsi="Calibri"/>
          <w:color w:val="14213D"/>
          <w:sz w:val="18"/>
        </w:rPr>
        <w:t>Complete/dismiss Coach steps across setup and operations; switch Business.</w:t>
      </w:r>
    </w:p>
    <w:p>
      <w:pPr>
        <w:spacing w:after="120"/>
        <w:ind w:left="216"/>
      </w:pPr>
      <w:r>
        <w:rPr>
          <w:rFonts w:ascii="Calibri" w:hAnsi="Calibri"/>
          <w:b/>
          <w:color w:val="1F4D78"/>
          <w:sz w:val="18"/>
        </w:rPr>
        <w:t xml:space="preserve">Accept when: </w:t>
      </w:r>
      <w:r>
        <w:rPr>
          <w:rFonts w:ascii="Calibri" w:hAnsi="Calibri"/>
          <w:color w:val="14213D"/>
          <w:sz w:val="18"/>
        </w:rPr>
        <w:t>Progress is Business-scoped, based on real activity, persists correctly, and does not leak across Businesses.</w:t>
      </w:r>
    </w:p>
    <w:p>
      <w:r>
        <w:br w:type="page"/>
      </w:r>
    </w:p>
    <w:p>
      <w:pPr>
        <w:pStyle w:val="Heading2"/>
      </w:pPr>
      <w:r>
        <w:t>10.5 Catalog, inventory, POS, and sales</w:t>
      </w:r>
    </w:p>
    <w:p>
      <w:pPr>
        <w:keepNext/>
        <w:spacing w:before="140" w:after="40"/>
      </w:pPr>
      <w:r>
        <w:rPr>
          <w:rFonts w:ascii="Calibri" w:hAnsi="Calibri"/>
          <w:b/>
          <w:color w:val="2E74B5"/>
          <w:sz w:val="18"/>
        </w:rPr>
        <w:t>OPS-001</w:t>
      </w:r>
      <w:r>
        <w:rPr>
          <w:rFonts w:ascii="Calibri" w:hAnsi="Calibri"/>
          <w:b/>
          <w:color w:val="6B7280"/>
          <w:sz w:val="17"/>
        </w:rPr>
        <w:t xml:space="preserve">  |  P0  |  Catalog manager</w:t>
      </w:r>
    </w:p>
    <w:p>
      <w:pPr>
        <w:keepNext/>
        <w:spacing w:after="40"/>
        <w:ind w:left="216"/>
      </w:pPr>
      <w:r>
        <w:rPr>
          <w:rFonts w:ascii="Calibri" w:hAnsi="Calibri"/>
          <w:b/>
          <w:color w:val="14213D"/>
          <w:sz w:val="18"/>
        </w:rPr>
        <w:t xml:space="preserve">Execute: </w:t>
      </w:r>
      <w:r>
        <w:rPr>
          <w:rFonts w:ascii="Calibri" w:hAnsi="Calibri"/>
          <w:color w:val="14213D"/>
          <w:sz w:val="18"/>
        </w:rPr>
        <w:t>Create simple product and multi-variant product with SKU/barcode/unit/prices/tax/category/brand/Branch/status.</w:t>
      </w:r>
    </w:p>
    <w:p>
      <w:pPr>
        <w:spacing w:after="120"/>
        <w:ind w:left="216"/>
      </w:pPr>
      <w:r>
        <w:rPr>
          <w:rFonts w:ascii="Calibri" w:hAnsi="Calibri"/>
          <w:b/>
          <w:color w:val="1F4D78"/>
          <w:sz w:val="18"/>
        </w:rPr>
        <w:t xml:space="preserve">Accept when: </w:t>
      </w:r>
      <w:r>
        <w:rPr>
          <w:rFonts w:ascii="Calibri" w:hAnsi="Calibri"/>
          <w:color w:val="14213D"/>
          <w:sz w:val="18"/>
        </w:rPr>
        <w:t>Validated product/variants persist; unique identifiers and prices are correct; lists/details show intended scope.</w:t>
      </w:r>
    </w:p>
    <w:p>
      <w:pPr>
        <w:keepNext/>
        <w:spacing w:before="140" w:after="40"/>
      </w:pPr>
      <w:r>
        <w:rPr>
          <w:rFonts w:ascii="Calibri" w:hAnsi="Calibri"/>
          <w:b/>
          <w:color w:val="2E74B5"/>
          <w:sz w:val="18"/>
        </w:rPr>
        <w:t>OPS-002</w:t>
      </w:r>
      <w:r>
        <w:rPr>
          <w:rFonts w:ascii="Calibri" w:hAnsi="Calibri"/>
          <w:b/>
          <w:color w:val="6B7280"/>
          <w:sz w:val="17"/>
        </w:rPr>
        <w:t xml:space="preserve">  |  P1  |  Catalog manager</w:t>
      </w:r>
    </w:p>
    <w:p>
      <w:pPr>
        <w:keepNext/>
        <w:spacing w:after="40"/>
        <w:ind w:left="216"/>
      </w:pPr>
      <w:r>
        <w:rPr>
          <w:rFonts w:ascii="Calibri" w:hAnsi="Calibri"/>
          <w:b/>
          <w:color w:val="14213D"/>
          <w:sz w:val="18"/>
        </w:rPr>
        <w:t xml:space="preserve">Execute: </w:t>
      </w:r>
      <w:r>
        <w:rPr>
          <w:rFonts w:ascii="Calibri" w:hAnsi="Calibri"/>
          <w:color w:val="14213D"/>
          <w:sz w:val="18"/>
        </w:rPr>
        <w:t>Edit, inactivate/reactivate product/category/brand; try invalid tax, duplicate SKU/barcode and missing variant.</w:t>
      </w:r>
    </w:p>
    <w:p>
      <w:pPr>
        <w:spacing w:after="120"/>
        <w:ind w:left="216"/>
      </w:pPr>
      <w:r>
        <w:rPr>
          <w:rFonts w:ascii="Calibri" w:hAnsi="Calibri"/>
          <w:b/>
          <w:color w:val="1F4D78"/>
          <w:sz w:val="18"/>
        </w:rPr>
        <w:t xml:space="preserve">Accept when: </w:t>
      </w:r>
      <w:r>
        <w:rPr>
          <w:rFonts w:ascii="Calibri" w:hAnsi="Calibri"/>
          <w:color w:val="14213D"/>
          <w:sz w:val="18"/>
        </w:rPr>
        <w:t>Rules reject invalid data; historical transactions remain intact; inactive items are unavailable for new sale where required.</w:t>
      </w:r>
    </w:p>
    <w:p>
      <w:pPr>
        <w:keepNext/>
        <w:spacing w:before="140" w:after="40"/>
      </w:pPr>
      <w:r>
        <w:rPr>
          <w:rFonts w:ascii="Calibri" w:hAnsi="Calibri"/>
          <w:b/>
          <w:color w:val="2E74B5"/>
          <w:sz w:val="18"/>
        </w:rPr>
        <w:t>OPS-003</w:t>
      </w:r>
      <w:r>
        <w:rPr>
          <w:rFonts w:ascii="Calibri" w:hAnsi="Calibri"/>
          <w:b/>
          <w:color w:val="6B7280"/>
          <w:sz w:val="17"/>
        </w:rPr>
        <w:t xml:space="preserve">  |  P1  |  Catalog importer</w:t>
      </w:r>
    </w:p>
    <w:p>
      <w:pPr>
        <w:keepNext/>
        <w:spacing w:after="40"/>
        <w:ind w:left="216"/>
      </w:pPr>
      <w:r>
        <w:rPr>
          <w:rFonts w:ascii="Calibri" w:hAnsi="Calibri"/>
          <w:b/>
          <w:color w:val="14213D"/>
          <w:sz w:val="18"/>
        </w:rPr>
        <w:t xml:space="preserve">Execute: </w:t>
      </w:r>
      <w:r>
        <w:rPr>
          <w:rFonts w:ascii="Calibri" w:hAnsi="Calibri"/>
          <w:color w:val="14213D"/>
          <w:sz w:val="18"/>
        </w:rPr>
        <w:t>Import valid CSV with mixed products; then malformed headers, invalid enum, duplicate row, unknown Branch and partial failure.</w:t>
      </w:r>
    </w:p>
    <w:p>
      <w:pPr>
        <w:spacing w:after="120"/>
        <w:ind w:left="216"/>
      </w:pPr>
      <w:r>
        <w:rPr>
          <w:rFonts w:ascii="Calibri" w:hAnsi="Calibri"/>
          <w:b/>
          <w:color w:val="1F4D78"/>
          <w:sz w:val="18"/>
        </w:rPr>
        <w:t xml:space="preserve">Accept when: </w:t>
      </w:r>
      <w:r>
        <w:rPr>
          <w:rFonts w:ascii="Calibri" w:hAnsi="Calibri"/>
          <w:color w:val="14213D"/>
          <w:sz w:val="18"/>
        </w:rPr>
        <w:t>Preview/results identify row errors; transaction behavior is documented and no silent partial/duplicate import occurs.</w:t>
      </w:r>
    </w:p>
    <w:p>
      <w:pPr>
        <w:keepNext/>
        <w:spacing w:before="140" w:after="40"/>
      </w:pPr>
      <w:r>
        <w:rPr>
          <w:rFonts w:ascii="Calibri" w:hAnsi="Calibri"/>
          <w:b/>
          <w:color w:val="2E74B5"/>
          <w:sz w:val="18"/>
        </w:rPr>
        <w:t>OPS-004</w:t>
      </w:r>
      <w:r>
        <w:rPr>
          <w:rFonts w:ascii="Calibri" w:hAnsi="Calibri"/>
          <w:b/>
          <w:color w:val="6B7280"/>
          <w:sz w:val="17"/>
        </w:rPr>
        <w:t xml:space="preserve">  |  P1  |  Catalog reader</w:t>
      </w:r>
    </w:p>
    <w:p>
      <w:pPr>
        <w:keepNext/>
        <w:spacing w:after="40"/>
        <w:ind w:left="216"/>
      </w:pPr>
      <w:r>
        <w:rPr>
          <w:rFonts w:ascii="Calibri" w:hAnsi="Calibri"/>
          <w:b/>
          <w:color w:val="14213D"/>
          <w:sz w:val="18"/>
        </w:rPr>
        <w:t xml:space="preserve">Execute: </w:t>
      </w:r>
      <w:r>
        <w:rPr>
          <w:rFonts w:ascii="Calibri" w:hAnsi="Calibri"/>
          <w:color w:val="14213D"/>
          <w:sz w:val="18"/>
        </w:rPr>
        <w:t>Export filtered catalog and open in spreadsheet; test user without export capability and Business B URL.</w:t>
      </w:r>
    </w:p>
    <w:p>
      <w:pPr>
        <w:spacing w:after="120"/>
        <w:ind w:left="216"/>
      </w:pPr>
      <w:r>
        <w:rPr>
          <w:rFonts w:ascii="Calibri" w:hAnsi="Calibri"/>
          <w:b/>
          <w:color w:val="1F4D78"/>
          <w:sz w:val="18"/>
        </w:rPr>
        <w:t xml:space="preserve">Accept when: </w:t>
      </w:r>
      <w:r>
        <w:rPr>
          <w:rFonts w:ascii="Calibri" w:hAnsi="Calibri"/>
          <w:color w:val="14213D"/>
          <w:sz w:val="18"/>
        </w:rPr>
        <w:t>CSV columns/encoding/values are correct; scope and authorization enforced; formula-injection strings are neutralized.</w:t>
      </w:r>
    </w:p>
    <w:p>
      <w:pPr>
        <w:keepNext/>
        <w:spacing w:before="140" w:after="40"/>
      </w:pPr>
      <w:r>
        <w:rPr>
          <w:rFonts w:ascii="Calibri" w:hAnsi="Calibri"/>
          <w:b/>
          <w:color w:val="2E74B5"/>
          <w:sz w:val="18"/>
        </w:rPr>
        <w:t>OPS-005</w:t>
      </w:r>
      <w:r>
        <w:rPr>
          <w:rFonts w:ascii="Calibri" w:hAnsi="Calibri"/>
          <w:b/>
          <w:color w:val="6B7280"/>
          <w:sz w:val="17"/>
        </w:rPr>
        <w:t xml:space="preserve">  |  P0  |  Inventory manager</w:t>
      </w:r>
    </w:p>
    <w:p>
      <w:pPr>
        <w:keepNext/>
        <w:spacing w:after="40"/>
        <w:ind w:left="216"/>
      </w:pPr>
      <w:r>
        <w:rPr>
          <w:rFonts w:ascii="Calibri" w:hAnsi="Calibri"/>
          <w:b/>
          <w:color w:val="14213D"/>
          <w:sz w:val="18"/>
        </w:rPr>
        <w:t xml:space="preserve">Execute: </w:t>
      </w:r>
      <w:r>
        <w:rPr>
          <w:rFonts w:ascii="Calibri" w:hAnsi="Calibri"/>
          <w:color w:val="14213D"/>
          <w:sz w:val="18"/>
        </w:rPr>
        <w:t>Configure tracked item, reorder threshold and location; post opening/add/remove/correction movement.</w:t>
      </w:r>
    </w:p>
    <w:p>
      <w:pPr>
        <w:spacing w:after="120"/>
        <w:ind w:left="216"/>
      </w:pPr>
      <w:r>
        <w:rPr>
          <w:rFonts w:ascii="Calibri" w:hAnsi="Calibri"/>
          <w:b/>
          <w:color w:val="1F4D78"/>
          <w:sz w:val="18"/>
        </w:rPr>
        <w:t xml:space="preserve">Accept when: </w:t>
      </w:r>
      <w:r>
        <w:rPr>
          <w:rFonts w:ascii="Calibri" w:hAnsi="Calibri"/>
          <w:color w:val="14213D"/>
          <w:sz w:val="18"/>
        </w:rPr>
        <w:t>On-hand, average cost, movement ledger, low-stock state and audit reconcile exactly.</w:t>
      </w:r>
    </w:p>
    <w:p>
      <w:pPr>
        <w:keepNext/>
        <w:spacing w:before="140" w:after="40"/>
      </w:pPr>
      <w:r>
        <w:rPr>
          <w:rFonts w:ascii="Calibri" w:hAnsi="Calibri"/>
          <w:b/>
          <w:color w:val="2E74B5"/>
          <w:sz w:val="18"/>
        </w:rPr>
        <w:t>OPS-006</w:t>
      </w:r>
      <w:r>
        <w:rPr>
          <w:rFonts w:ascii="Calibri" w:hAnsi="Calibri"/>
          <w:b/>
          <w:color w:val="6B7280"/>
          <w:sz w:val="17"/>
        </w:rPr>
        <w:t xml:space="preserve">  |  P0  |  Inventory manager</w:t>
      </w:r>
    </w:p>
    <w:p>
      <w:pPr>
        <w:keepNext/>
        <w:spacing w:after="40"/>
        <w:ind w:left="216"/>
      </w:pPr>
      <w:r>
        <w:rPr>
          <w:rFonts w:ascii="Calibri" w:hAnsi="Calibri"/>
          <w:b/>
          <w:color w:val="14213D"/>
          <w:sz w:val="18"/>
        </w:rPr>
        <w:t xml:space="preserve">Execute: </w:t>
      </w:r>
      <w:r>
        <w:rPr>
          <w:rFonts w:ascii="Calibri" w:hAnsi="Calibri"/>
          <w:color w:val="14213D"/>
          <w:sz w:val="18"/>
        </w:rPr>
        <w:t>Create Branch/location transfer, complete once, retry and attempt over-transfer/invalid destination.</w:t>
      </w:r>
    </w:p>
    <w:p>
      <w:pPr>
        <w:spacing w:after="120"/>
        <w:ind w:left="216"/>
      </w:pPr>
      <w:r>
        <w:rPr>
          <w:rFonts w:ascii="Calibri" w:hAnsi="Calibri"/>
          <w:b/>
          <w:color w:val="1F4D78"/>
          <w:sz w:val="18"/>
        </w:rPr>
        <w:t xml:space="preserve">Accept when: </w:t>
      </w:r>
      <w:r>
        <w:rPr>
          <w:rFonts w:ascii="Calibri" w:hAnsi="Calibri"/>
          <w:color w:val="14213D"/>
          <w:sz w:val="18"/>
        </w:rPr>
        <w:t>Source/destination quantities post once and balance; invalid/concurrent completion cannot oversell or duplicate.</w:t>
      </w:r>
    </w:p>
    <w:p>
      <w:pPr>
        <w:keepNext/>
        <w:spacing w:before="140" w:after="40"/>
      </w:pPr>
      <w:r>
        <w:rPr>
          <w:rFonts w:ascii="Calibri" w:hAnsi="Calibri"/>
          <w:b/>
          <w:color w:val="2E74B5"/>
          <w:sz w:val="18"/>
        </w:rPr>
        <w:t>OPS-007</w:t>
      </w:r>
      <w:r>
        <w:rPr>
          <w:rFonts w:ascii="Calibri" w:hAnsi="Calibri"/>
          <w:b/>
          <w:color w:val="6B7280"/>
          <w:sz w:val="17"/>
        </w:rPr>
        <w:t xml:space="preserve">  |  P0  |  Inventory manager</w:t>
      </w:r>
    </w:p>
    <w:p>
      <w:pPr>
        <w:keepNext/>
        <w:spacing w:after="40"/>
        <w:ind w:left="216"/>
      </w:pPr>
      <w:r>
        <w:rPr>
          <w:rFonts w:ascii="Calibri" w:hAnsi="Calibri"/>
          <w:b/>
          <w:color w:val="14213D"/>
          <w:sz w:val="18"/>
        </w:rPr>
        <w:t xml:space="preserve">Execute: </w:t>
      </w:r>
      <w:r>
        <w:rPr>
          <w:rFonts w:ascii="Calibri" w:hAnsi="Calibri"/>
          <w:color w:val="14213D"/>
          <w:sz w:val="18"/>
        </w:rPr>
        <w:t>Create draft adjustment/count, review, post and attempt edit/repost.</w:t>
      </w:r>
    </w:p>
    <w:p>
      <w:pPr>
        <w:spacing w:after="120"/>
        <w:ind w:left="216"/>
      </w:pPr>
      <w:r>
        <w:rPr>
          <w:rFonts w:ascii="Calibri" w:hAnsi="Calibri"/>
          <w:b/>
          <w:color w:val="1F4D78"/>
          <w:sz w:val="18"/>
        </w:rPr>
        <w:t xml:space="preserve">Accept when: </w:t>
      </w:r>
      <w:r>
        <w:rPr>
          <w:rFonts w:ascii="Calibri" w:hAnsi="Calibri"/>
          <w:color w:val="14213D"/>
          <w:sz w:val="18"/>
        </w:rPr>
        <w:t>Only posted adjustment changes stock; posting is atomic/immutable/idempotent with actor/reason.</w:t>
      </w:r>
    </w:p>
    <w:p>
      <w:pPr>
        <w:keepNext/>
        <w:spacing w:before="140" w:after="40"/>
      </w:pPr>
      <w:r>
        <w:rPr>
          <w:rFonts w:ascii="Calibri" w:hAnsi="Calibri"/>
          <w:b/>
          <w:color w:val="2E74B5"/>
          <w:sz w:val="18"/>
        </w:rPr>
        <w:t>OPS-008</w:t>
      </w:r>
      <w:r>
        <w:rPr>
          <w:rFonts w:ascii="Calibri" w:hAnsi="Calibri"/>
          <w:b/>
          <w:color w:val="6B7280"/>
          <w:sz w:val="17"/>
        </w:rPr>
        <w:t xml:space="preserve">  |  P0  |  Cashier</w:t>
      </w:r>
    </w:p>
    <w:p>
      <w:pPr>
        <w:keepNext/>
        <w:spacing w:after="40"/>
        <w:ind w:left="216"/>
      </w:pPr>
      <w:r>
        <w:rPr>
          <w:rFonts w:ascii="Calibri" w:hAnsi="Calibri"/>
          <w:b/>
          <w:color w:val="14213D"/>
          <w:sz w:val="18"/>
        </w:rPr>
        <w:t xml:space="preserve">Execute: </w:t>
      </w:r>
      <w:r>
        <w:rPr>
          <w:rFonts w:ascii="Calibri" w:hAnsi="Calibri"/>
          <w:color w:val="14213D"/>
          <w:sz w:val="18"/>
        </w:rPr>
        <w:t>Find item by search/barcode, build cart, adjust quantity, add customer/discount if allowed, take payment and submit.</w:t>
      </w:r>
    </w:p>
    <w:p>
      <w:pPr>
        <w:spacing w:after="120"/>
        <w:ind w:left="216"/>
      </w:pPr>
      <w:r>
        <w:rPr>
          <w:rFonts w:ascii="Calibri" w:hAnsi="Calibri"/>
          <w:b/>
          <w:color w:val="1F4D78"/>
          <w:sz w:val="18"/>
        </w:rPr>
        <w:t xml:space="preserve">Accept when: </w:t>
      </w:r>
      <w:r>
        <w:rPr>
          <w:rFonts w:ascii="Calibri" w:hAnsi="Calibri"/>
          <w:color w:val="14213D"/>
          <w:sz w:val="18"/>
        </w:rPr>
        <w:t>Sale number, lines, taxes, totals, payment, stock and customer metrics reconcile and persist once.</w:t>
      </w:r>
    </w:p>
    <w:p>
      <w:pPr>
        <w:keepNext/>
        <w:spacing w:before="140" w:after="40"/>
      </w:pPr>
      <w:r>
        <w:rPr>
          <w:rFonts w:ascii="Calibri" w:hAnsi="Calibri"/>
          <w:b/>
          <w:color w:val="2E74B5"/>
          <w:sz w:val="18"/>
        </w:rPr>
        <w:t>OPS-009</w:t>
      </w:r>
      <w:r>
        <w:rPr>
          <w:rFonts w:ascii="Calibri" w:hAnsi="Calibri"/>
          <w:b/>
          <w:color w:val="6B7280"/>
          <w:sz w:val="17"/>
        </w:rPr>
        <w:t xml:space="preserve">  |  P0  |  Cashier</w:t>
      </w:r>
    </w:p>
    <w:p>
      <w:pPr>
        <w:keepNext/>
        <w:spacing w:after="40"/>
        <w:ind w:left="216"/>
      </w:pPr>
      <w:r>
        <w:rPr>
          <w:rFonts w:ascii="Calibri" w:hAnsi="Calibri"/>
          <w:b/>
          <w:color w:val="14213D"/>
          <w:sz w:val="18"/>
        </w:rPr>
        <w:t xml:space="preserve">Execute: </w:t>
      </w:r>
      <w:r>
        <w:rPr>
          <w:rFonts w:ascii="Calibri" w:hAnsi="Calibri"/>
          <w:color w:val="14213D"/>
          <w:sz w:val="18"/>
        </w:rPr>
        <w:t>Try insufficient stock, inactive item, zero/negative quantity, invalid payment, stale price and double submit.</w:t>
      </w:r>
    </w:p>
    <w:p>
      <w:pPr>
        <w:spacing w:after="120"/>
        <w:ind w:left="216"/>
      </w:pPr>
      <w:r>
        <w:rPr>
          <w:rFonts w:ascii="Calibri" w:hAnsi="Calibri"/>
          <w:b/>
          <w:color w:val="1F4D78"/>
          <w:sz w:val="18"/>
        </w:rPr>
        <w:t xml:space="preserve">Accept when: </w:t>
      </w:r>
      <w:r>
        <w:rPr>
          <w:rFonts w:ascii="Calibri" w:hAnsi="Calibri"/>
          <w:color w:val="14213D"/>
          <w:sz w:val="18"/>
        </w:rPr>
        <w:t>Sale rejects safely with no partial payment/stock/customer update; current server-authoritative data is used.</w:t>
      </w:r>
    </w:p>
    <w:p>
      <w:pPr>
        <w:keepNext/>
        <w:spacing w:before="140" w:after="40"/>
      </w:pPr>
      <w:r>
        <w:rPr>
          <w:rFonts w:ascii="Calibri" w:hAnsi="Calibri"/>
          <w:b/>
          <w:color w:val="2E74B5"/>
          <w:sz w:val="18"/>
        </w:rPr>
        <w:t>OPS-010</w:t>
      </w:r>
      <w:r>
        <w:rPr>
          <w:rFonts w:ascii="Calibri" w:hAnsi="Calibri"/>
          <w:b/>
          <w:color w:val="6B7280"/>
          <w:sz w:val="17"/>
        </w:rPr>
        <w:t xml:space="preserve">  |  P0  |  Authorized manager</w:t>
      </w:r>
    </w:p>
    <w:p>
      <w:pPr>
        <w:keepNext/>
        <w:spacing w:after="40"/>
        <w:ind w:left="216"/>
      </w:pPr>
      <w:r>
        <w:rPr>
          <w:rFonts w:ascii="Calibri" w:hAnsi="Calibri"/>
          <w:b/>
          <w:color w:val="14213D"/>
          <w:sz w:val="18"/>
        </w:rPr>
        <w:t xml:space="preserve">Execute: </w:t>
      </w:r>
      <w:r>
        <w:rPr>
          <w:rFonts w:ascii="Calibri" w:hAnsi="Calibri"/>
          <w:color w:val="14213D"/>
          <w:sz w:val="18"/>
        </w:rPr>
        <w:t>Return partial/full sale and void eligible sale; retry and attempt unauthorized/invalid quantity.</w:t>
      </w:r>
    </w:p>
    <w:p>
      <w:pPr>
        <w:spacing w:after="120"/>
        <w:ind w:left="216"/>
      </w:pPr>
      <w:r>
        <w:rPr>
          <w:rFonts w:ascii="Calibri" w:hAnsi="Calibri"/>
          <w:b/>
          <w:color w:val="1F4D78"/>
          <w:sz w:val="18"/>
        </w:rPr>
        <w:t xml:space="preserve">Accept when: </w:t>
      </w:r>
      <w:r>
        <w:rPr>
          <w:rFonts w:ascii="Calibri" w:hAnsi="Calibri"/>
          <w:color w:val="14213D"/>
          <w:sz w:val="18"/>
        </w:rPr>
        <w:t>Refund/void rules enforce; net sales, stock, customer/loyalty and audit reverse exactly once.</w:t>
      </w:r>
    </w:p>
    <w:p>
      <w:pPr>
        <w:keepNext/>
        <w:spacing w:before="140" w:after="40"/>
      </w:pPr>
      <w:r>
        <w:rPr>
          <w:rFonts w:ascii="Calibri" w:hAnsi="Calibri"/>
          <w:b/>
          <w:color w:val="2E74B5"/>
          <w:sz w:val="18"/>
        </w:rPr>
        <w:t>OPS-011</w:t>
      </w:r>
      <w:r>
        <w:rPr>
          <w:rFonts w:ascii="Calibri" w:hAnsi="Calibri"/>
          <w:b/>
          <w:color w:val="6B7280"/>
          <w:sz w:val="17"/>
        </w:rPr>
        <w:t xml:space="preserve">  |  P1  |  Manager</w:t>
      </w:r>
    </w:p>
    <w:p>
      <w:pPr>
        <w:keepNext/>
        <w:spacing w:after="40"/>
        <w:ind w:left="216"/>
      </w:pPr>
      <w:r>
        <w:rPr>
          <w:rFonts w:ascii="Calibri" w:hAnsi="Calibri"/>
          <w:b/>
          <w:color w:val="14213D"/>
          <w:sz w:val="18"/>
        </w:rPr>
        <w:t xml:space="preserve">Execute: </w:t>
      </w:r>
      <w:r>
        <w:rPr>
          <w:rFonts w:ascii="Calibri" w:hAnsi="Calibri"/>
          <w:color w:val="14213D"/>
          <w:sz w:val="18"/>
        </w:rPr>
        <w:t>Compare sales list/detail/dashboard across today/month, Branches, refunds and voids around Asia/Manila midnight.</w:t>
      </w:r>
    </w:p>
    <w:p>
      <w:pPr>
        <w:spacing w:after="120"/>
        <w:ind w:left="216"/>
      </w:pPr>
      <w:r>
        <w:rPr>
          <w:rFonts w:ascii="Calibri" w:hAnsi="Calibri"/>
          <w:b/>
          <w:color w:val="1F4D78"/>
          <w:sz w:val="18"/>
        </w:rPr>
        <w:t xml:space="preserve">Accept when: </w:t>
      </w:r>
      <w:r>
        <w:rPr>
          <w:rFonts w:ascii="Calibri" w:hAnsi="Calibri"/>
          <w:color w:val="14213D"/>
          <w:sz w:val="18"/>
        </w:rPr>
        <w:t>Transactions/count/average/net totals match independent calculation and exclude voided/suspended values correctly.</w:t>
      </w:r>
    </w:p>
    <w:p>
      <w:pPr>
        <w:keepNext/>
        <w:spacing w:before="140" w:after="40"/>
      </w:pPr>
      <w:r>
        <w:rPr>
          <w:rFonts w:ascii="Calibri" w:hAnsi="Calibri"/>
          <w:b/>
          <w:color w:val="2E74B5"/>
          <w:sz w:val="18"/>
        </w:rPr>
        <w:t>OPS-012</w:t>
      </w:r>
      <w:r>
        <w:rPr>
          <w:rFonts w:ascii="Calibri" w:hAnsi="Calibri"/>
          <w:b/>
          <w:color w:val="6B7280"/>
          <w:sz w:val="17"/>
        </w:rPr>
        <w:t xml:space="preserve">  |  P1  |  Viewer</w:t>
      </w:r>
    </w:p>
    <w:p>
      <w:pPr>
        <w:keepNext/>
        <w:spacing w:after="40"/>
        <w:ind w:left="216"/>
      </w:pPr>
      <w:r>
        <w:rPr>
          <w:rFonts w:ascii="Calibri" w:hAnsi="Calibri"/>
          <w:b/>
          <w:color w:val="14213D"/>
          <w:sz w:val="18"/>
        </w:rPr>
        <w:t xml:space="preserve">Execute: </w:t>
      </w:r>
      <w:r>
        <w:rPr>
          <w:rFonts w:ascii="Calibri" w:hAnsi="Calibri"/>
          <w:color w:val="14213D"/>
          <w:sz w:val="18"/>
        </w:rPr>
        <w:t>Read sales/catalog/inventory where permitted and attempt every create/adjust/refund/void action.</w:t>
      </w:r>
    </w:p>
    <w:p>
      <w:pPr>
        <w:spacing w:after="120"/>
        <w:ind w:left="216"/>
      </w:pPr>
      <w:r>
        <w:rPr>
          <w:rFonts w:ascii="Calibri" w:hAnsi="Calibri"/>
          <w:b/>
          <w:color w:val="1F4D78"/>
          <w:sz w:val="18"/>
        </w:rPr>
        <w:t xml:space="preserve">Accept when: </w:t>
      </w:r>
      <w:r>
        <w:rPr>
          <w:rFonts w:ascii="Calibri" w:hAnsi="Calibri"/>
          <w:color w:val="14213D"/>
          <w:sz w:val="18"/>
        </w:rPr>
        <w:t>Read-only experience is usable and every mutation is denied without side effects.</w:t>
      </w:r>
    </w:p>
    <w:p>
      <w:r>
        <w:br w:type="page"/>
      </w:r>
    </w:p>
    <w:p>
      <w:pPr>
        <w:pStyle w:val="Heading2"/>
      </w:pPr>
      <w:r>
        <w:t>10.6 CRM, loyalty, expenses, quotations, and invoices</w:t>
      </w:r>
    </w:p>
    <w:p>
      <w:pPr>
        <w:keepNext/>
        <w:spacing w:before="140" w:after="40"/>
      </w:pPr>
      <w:r>
        <w:rPr>
          <w:rFonts w:ascii="Calibri" w:hAnsi="Calibri"/>
          <w:b/>
          <w:color w:val="2E74B5"/>
          <w:sz w:val="18"/>
        </w:rPr>
        <w:t>FIN-001</w:t>
      </w:r>
      <w:r>
        <w:rPr>
          <w:rFonts w:ascii="Calibri" w:hAnsi="Calibri"/>
          <w:b/>
          <w:color w:val="6B7280"/>
          <w:sz w:val="17"/>
        </w:rPr>
        <w:t xml:space="preserve">  |  P0  |  CRM manager</w:t>
      </w:r>
    </w:p>
    <w:p>
      <w:pPr>
        <w:keepNext/>
        <w:spacing w:after="40"/>
        <w:ind w:left="216"/>
      </w:pPr>
      <w:r>
        <w:rPr>
          <w:rFonts w:ascii="Calibri" w:hAnsi="Calibri"/>
          <w:b/>
          <w:color w:val="14213D"/>
          <w:sz w:val="18"/>
        </w:rPr>
        <w:t xml:space="preserve">Execute: </w:t>
      </w:r>
      <w:r>
        <w:rPr>
          <w:rFonts w:ascii="Calibri" w:hAnsi="Calibri"/>
          <w:color w:val="14213D"/>
          <w:sz w:val="18"/>
        </w:rPr>
        <w:t>Create/edit customer with Branch, Philippine mobile, email, address, type, tags and notes; test invalid/duplicate-like data.</w:t>
      </w:r>
    </w:p>
    <w:p>
      <w:pPr>
        <w:spacing w:after="120"/>
        <w:ind w:left="216"/>
      </w:pPr>
      <w:r>
        <w:rPr>
          <w:rFonts w:ascii="Calibri" w:hAnsi="Calibri"/>
          <w:b/>
          <w:color w:val="1F4D78"/>
          <w:sz w:val="18"/>
        </w:rPr>
        <w:t xml:space="preserve">Accept when: </w:t>
      </w:r>
      <w:r>
        <w:rPr>
          <w:rFonts w:ascii="Calibri" w:hAnsi="Calibri"/>
          <w:color w:val="14213D"/>
          <w:sz w:val="18"/>
        </w:rPr>
        <w:t>Validated profile persists; related summary is accurate; forbidden fields/unknown keys rejected.</w:t>
      </w:r>
    </w:p>
    <w:p>
      <w:pPr>
        <w:keepNext/>
        <w:spacing w:before="140" w:after="40"/>
      </w:pPr>
      <w:r>
        <w:rPr>
          <w:rFonts w:ascii="Calibri" w:hAnsi="Calibri"/>
          <w:b/>
          <w:color w:val="2E74B5"/>
          <w:sz w:val="18"/>
        </w:rPr>
        <w:t>FIN-002</w:t>
      </w:r>
      <w:r>
        <w:rPr>
          <w:rFonts w:ascii="Calibri" w:hAnsi="Calibri"/>
          <w:b/>
          <w:color w:val="6B7280"/>
          <w:sz w:val="17"/>
        </w:rPr>
        <w:t xml:space="preserve">  |  P1  |  CRM manager</w:t>
      </w:r>
    </w:p>
    <w:p>
      <w:pPr>
        <w:keepNext/>
        <w:spacing w:after="40"/>
        <w:ind w:left="216"/>
      </w:pPr>
      <w:r>
        <w:rPr>
          <w:rFonts w:ascii="Calibri" w:hAnsi="Calibri"/>
          <w:b/>
          <w:color w:val="14213D"/>
          <w:sz w:val="18"/>
        </w:rPr>
        <w:t xml:space="preserve">Execute: </w:t>
      </w:r>
      <w:r>
        <w:rPr>
          <w:rFonts w:ascii="Calibri" w:hAnsi="Calibri"/>
          <w:color w:val="14213D"/>
          <w:sz w:val="18"/>
        </w:rPr>
        <w:t>Add immutable customer note and verify timeline with sale/quote/invoice/appointment history.</w:t>
      </w:r>
    </w:p>
    <w:p>
      <w:pPr>
        <w:spacing w:after="120"/>
        <w:ind w:left="216"/>
      </w:pPr>
      <w:r>
        <w:rPr>
          <w:rFonts w:ascii="Calibri" w:hAnsi="Calibri"/>
          <w:b/>
          <w:color w:val="1F4D78"/>
          <w:sz w:val="18"/>
        </w:rPr>
        <w:t xml:space="preserve">Accept when: </w:t>
      </w:r>
      <w:r>
        <w:rPr>
          <w:rFonts w:ascii="Calibri" w:hAnsi="Calibri"/>
          <w:color w:val="14213D"/>
          <w:sz w:val="18"/>
        </w:rPr>
        <w:t>Note author/time and related activities are correct and tenant/Branch scoped.</w:t>
      </w:r>
    </w:p>
    <w:p>
      <w:pPr>
        <w:keepNext/>
        <w:spacing w:before="140" w:after="40"/>
      </w:pPr>
      <w:r>
        <w:rPr>
          <w:rFonts w:ascii="Calibri" w:hAnsi="Calibri"/>
          <w:b/>
          <w:color w:val="2E74B5"/>
          <w:sz w:val="18"/>
        </w:rPr>
        <w:t>FIN-003</w:t>
      </w:r>
      <w:r>
        <w:rPr>
          <w:rFonts w:ascii="Calibri" w:hAnsi="Calibri"/>
          <w:b/>
          <w:color w:val="6B7280"/>
          <w:sz w:val="17"/>
        </w:rPr>
        <w:t xml:space="preserve">  |  P1  |  CRM manager</w:t>
      </w:r>
    </w:p>
    <w:p>
      <w:pPr>
        <w:keepNext/>
        <w:spacing w:after="40"/>
        <w:ind w:left="216"/>
      </w:pPr>
      <w:r>
        <w:rPr>
          <w:rFonts w:ascii="Calibri" w:hAnsi="Calibri"/>
          <w:b/>
          <w:color w:val="14213D"/>
          <w:sz w:val="18"/>
        </w:rPr>
        <w:t xml:space="preserve">Execute: </w:t>
      </w:r>
      <w:r>
        <w:rPr>
          <w:rFonts w:ascii="Calibri" w:hAnsi="Calibri"/>
          <w:color w:val="14213D"/>
          <w:sz w:val="18"/>
        </w:rPr>
        <w:t>Create segments using numeric, customer type, tag and days-since-purchase criteria; test boundaries.</w:t>
      </w:r>
    </w:p>
    <w:p>
      <w:pPr>
        <w:spacing w:after="120"/>
        <w:ind w:left="216"/>
      </w:pPr>
      <w:r>
        <w:rPr>
          <w:rFonts w:ascii="Calibri" w:hAnsi="Calibri"/>
          <w:b/>
          <w:color w:val="1F4D78"/>
          <w:sz w:val="18"/>
        </w:rPr>
        <w:t xml:space="preserve">Accept when: </w:t>
      </w:r>
      <w:r>
        <w:rPr>
          <w:rFonts w:ascii="Calibri" w:hAnsi="Calibri"/>
          <w:color w:val="14213D"/>
          <w:sz w:val="18"/>
        </w:rPr>
        <w:t>Membership matches definition and Asia/Manila/current date consistently; unsupported expression rejected.</w:t>
      </w:r>
    </w:p>
    <w:p>
      <w:pPr>
        <w:keepNext/>
        <w:spacing w:before="140" w:after="40"/>
      </w:pPr>
      <w:r>
        <w:rPr>
          <w:rFonts w:ascii="Calibri" w:hAnsi="Calibri"/>
          <w:b/>
          <w:color w:val="2E74B5"/>
          <w:sz w:val="18"/>
        </w:rPr>
        <w:t>FIN-004</w:t>
      </w:r>
      <w:r>
        <w:rPr>
          <w:rFonts w:ascii="Calibri" w:hAnsi="Calibri"/>
          <w:b/>
          <w:color w:val="6B7280"/>
          <w:sz w:val="17"/>
        </w:rPr>
        <w:t xml:space="preserve">  |  P0  |  Loyalty manager</w:t>
      </w:r>
    </w:p>
    <w:p>
      <w:pPr>
        <w:keepNext/>
        <w:spacing w:after="40"/>
        <w:ind w:left="216"/>
      </w:pPr>
      <w:r>
        <w:rPr>
          <w:rFonts w:ascii="Calibri" w:hAnsi="Calibri"/>
          <w:b/>
          <w:color w:val="14213D"/>
          <w:sz w:val="18"/>
        </w:rPr>
        <w:t xml:space="preserve">Execute: </w:t>
      </w:r>
      <w:r>
        <w:rPr>
          <w:rFonts w:ascii="Calibri" w:hAnsi="Calibri"/>
          <w:color w:val="14213D"/>
          <w:sz w:val="18"/>
        </w:rPr>
        <w:t>Configure earn/redeem/expiry rule; earn via sale, redeem valid points, attempt over-redemption and process expiry twice.</w:t>
      </w:r>
    </w:p>
    <w:p>
      <w:pPr>
        <w:spacing w:after="120"/>
        <w:ind w:left="216"/>
      </w:pPr>
      <w:r>
        <w:rPr>
          <w:rFonts w:ascii="Calibri" w:hAnsi="Calibri"/>
          <w:b/>
          <w:color w:val="1F4D78"/>
          <w:sz w:val="18"/>
        </w:rPr>
        <w:t xml:space="preserve">Accept when: </w:t>
      </w:r>
      <w:r>
        <w:rPr>
          <w:rFonts w:ascii="Calibri" w:hAnsi="Calibri"/>
          <w:color w:val="14213D"/>
          <w:sz w:val="18"/>
        </w:rPr>
        <w:t>Ledger and balance reconcile; negative/expired/duplicate redemption is blocked; expiry is idempotent.</w:t>
      </w:r>
    </w:p>
    <w:p>
      <w:pPr>
        <w:keepNext/>
        <w:spacing w:before="140" w:after="40"/>
      </w:pPr>
      <w:r>
        <w:rPr>
          <w:rFonts w:ascii="Calibri" w:hAnsi="Calibri"/>
          <w:b/>
          <w:color w:val="2E74B5"/>
          <w:sz w:val="18"/>
        </w:rPr>
        <w:t>FIN-005</w:t>
      </w:r>
      <w:r>
        <w:rPr>
          <w:rFonts w:ascii="Calibri" w:hAnsi="Calibri"/>
          <w:b/>
          <w:color w:val="6B7280"/>
          <w:sz w:val="17"/>
        </w:rPr>
        <w:t xml:space="preserve">  |  P0  |  Expense user</w:t>
      </w:r>
    </w:p>
    <w:p>
      <w:pPr>
        <w:keepNext/>
        <w:spacing w:after="40"/>
        <w:ind w:left="216"/>
      </w:pPr>
      <w:r>
        <w:rPr>
          <w:rFonts w:ascii="Calibri" w:hAnsi="Calibri"/>
          <w:b/>
          <w:color w:val="14213D"/>
          <w:sz w:val="18"/>
        </w:rPr>
        <w:t xml:space="preserve">Execute: </w:t>
      </w:r>
      <w:r>
        <w:rPr>
          <w:rFonts w:ascii="Calibri" w:hAnsi="Calibri"/>
          <w:color w:val="14213D"/>
          <w:sz w:val="18"/>
        </w:rPr>
        <w:t>Create expense with category, Branch, date, vendor, amount, tax/status and valid receipt.</w:t>
      </w:r>
    </w:p>
    <w:p>
      <w:pPr>
        <w:spacing w:after="120"/>
        <w:ind w:left="216"/>
      </w:pPr>
      <w:r>
        <w:rPr>
          <w:rFonts w:ascii="Calibri" w:hAnsi="Calibri"/>
          <w:b/>
          <w:color w:val="1F4D78"/>
          <w:sz w:val="18"/>
        </w:rPr>
        <w:t xml:space="preserve">Accept when: </w:t>
      </w:r>
      <w:r>
        <w:rPr>
          <w:rFonts w:ascii="Calibri" w:hAnsi="Calibri"/>
          <w:color w:val="14213D"/>
          <w:sz w:val="18"/>
        </w:rPr>
        <w:t>Expense and receipt persist atomically; summary includes only qualifying status/date/Branch.</w:t>
      </w:r>
    </w:p>
    <w:p>
      <w:pPr>
        <w:keepNext/>
        <w:spacing w:before="140" w:after="40"/>
      </w:pPr>
      <w:r>
        <w:rPr>
          <w:rFonts w:ascii="Calibri" w:hAnsi="Calibri"/>
          <w:b/>
          <w:color w:val="2E74B5"/>
          <w:sz w:val="18"/>
        </w:rPr>
        <w:t>FIN-006</w:t>
      </w:r>
      <w:r>
        <w:rPr>
          <w:rFonts w:ascii="Calibri" w:hAnsi="Calibri"/>
          <w:b/>
          <w:color w:val="6B7280"/>
          <w:sz w:val="17"/>
        </w:rPr>
        <w:t xml:space="preserve">  |  P1  |  Expense manager</w:t>
      </w:r>
    </w:p>
    <w:p>
      <w:pPr>
        <w:keepNext/>
        <w:spacing w:after="40"/>
        <w:ind w:left="216"/>
      </w:pPr>
      <w:r>
        <w:rPr>
          <w:rFonts w:ascii="Calibri" w:hAnsi="Calibri"/>
          <w:b/>
          <w:color w:val="14213D"/>
          <w:sz w:val="18"/>
        </w:rPr>
        <w:t xml:space="preserve">Execute: </w:t>
      </w:r>
      <w:r>
        <w:rPr>
          <w:rFonts w:ascii="Calibri" w:hAnsi="Calibri"/>
          <w:color w:val="14213D"/>
          <w:sz w:val="18"/>
        </w:rPr>
        <w:t>Create recurring expense, generate due record, regenerate same period and test inactive/invalid schedule.</w:t>
      </w:r>
    </w:p>
    <w:p>
      <w:pPr>
        <w:spacing w:after="120"/>
        <w:ind w:left="216"/>
      </w:pPr>
      <w:r>
        <w:rPr>
          <w:rFonts w:ascii="Calibri" w:hAnsi="Calibri"/>
          <w:b/>
          <w:color w:val="1F4D78"/>
          <w:sz w:val="18"/>
        </w:rPr>
        <w:t xml:space="preserve">Accept when: </w:t>
      </w:r>
      <w:r>
        <w:rPr>
          <w:rFonts w:ascii="Calibri" w:hAnsi="Calibri"/>
          <w:color w:val="14213D"/>
          <w:sz w:val="18"/>
        </w:rPr>
        <w:t>At most one intended occurrence is generated; next date/status update correctly; invalid schedule rejected.</w:t>
      </w:r>
    </w:p>
    <w:p>
      <w:pPr>
        <w:keepNext/>
        <w:spacing w:before="140" w:after="40"/>
      </w:pPr>
      <w:r>
        <w:rPr>
          <w:rFonts w:ascii="Calibri" w:hAnsi="Calibri"/>
          <w:b/>
          <w:color w:val="2E74B5"/>
          <w:sz w:val="18"/>
        </w:rPr>
        <w:t>FIN-007</w:t>
      </w:r>
      <w:r>
        <w:rPr>
          <w:rFonts w:ascii="Calibri" w:hAnsi="Calibri"/>
          <w:b/>
          <w:color w:val="6B7280"/>
          <w:sz w:val="17"/>
        </w:rPr>
        <w:t xml:space="preserve">  |  P0  |  Sales user</w:t>
      </w:r>
    </w:p>
    <w:p>
      <w:pPr>
        <w:keepNext/>
        <w:spacing w:after="40"/>
        <w:ind w:left="216"/>
      </w:pPr>
      <w:r>
        <w:rPr>
          <w:rFonts w:ascii="Calibri" w:hAnsi="Calibri"/>
          <w:b/>
          <w:color w:val="14213D"/>
          <w:sz w:val="18"/>
        </w:rPr>
        <w:t xml:space="preserve">Execute: </w:t>
      </w:r>
      <w:r>
        <w:rPr>
          <w:rFonts w:ascii="Calibri" w:hAnsi="Calibri"/>
          <w:color w:val="14213D"/>
          <w:sz w:val="18"/>
        </w:rPr>
        <w:t>Create/edit quotation with customer, validity, items, tax/discount/notes; send/share/copy and follow status lifecycle.</w:t>
      </w:r>
    </w:p>
    <w:p>
      <w:pPr>
        <w:spacing w:after="120"/>
        <w:ind w:left="216"/>
      </w:pPr>
      <w:r>
        <w:rPr>
          <w:rFonts w:ascii="Calibri" w:hAnsi="Calibri"/>
          <w:b/>
          <w:color w:val="1F4D78"/>
          <w:sz w:val="18"/>
        </w:rPr>
        <w:t xml:space="preserve">Accept when: </w:t>
      </w:r>
      <w:r>
        <w:rPr>
          <w:rFonts w:ascii="Calibri" w:hAnsi="Calibri"/>
          <w:color w:val="14213D"/>
          <w:sz w:val="18"/>
        </w:rPr>
        <w:t>Totals are exact; version/status/share access are correct; copy has new identity; history remains auditable.</w:t>
      </w:r>
    </w:p>
    <w:p>
      <w:pPr>
        <w:keepNext/>
        <w:spacing w:before="140" w:after="40"/>
      </w:pPr>
      <w:r>
        <w:rPr>
          <w:rFonts w:ascii="Calibri" w:hAnsi="Calibri"/>
          <w:b/>
          <w:color w:val="2E74B5"/>
          <w:sz w:val="18"/>
        </w:rPr>
        <w:t>FIN-008</w:t>
      </w:r>
      <w:r>
        <w:rPr>
          <w:rFonts w:ascii="Calibri" w:hAnsi="Calibri"/>
          <w:b/>
          <w:color w:val="6B7280"/>
          <w:sz w:val="17"/>
        </w:rPr>
        <w:t xml:space="preserve">  |  P0  |  Sales manager</w:t>
      </w:r>
    </w:p>
    <w:p>
      <w:pPr>
        <w:keepNext/>
        <w:spacing w:after="40"/>
        <w:ind w:left="216"/>
      </w:pPr>
      <w:r>
        <w:rPr>
          <w:rFonts w:ascii="Calibri" w:hAnsi="Calibri"/>
          <w:b/>
          <w:color w:val="14213D"/>
          <w:sz w:val="18"/>
        </w:rPr>
        <w:t xml:space="preserve">Execute: </w:t>
      </w:r>
      <w:r>
        <w:rPr>
          <w:rFonts w:ascii="Calibri" w:hAnsi="Calibri"/>
          <w:color w:val="14213D"/>
          <w:sz w:val="18"/>
        </w:rPr>
        <w:t>Convert quotation to sale and sales order where applicable; retry and convert invalid/expired state.</w:t>
      </w:r>
    </w:p>
    <w:p>
      <w:pPr>
        <w:spacing w:after="120"/>
        <w:ind w:left="216"/>
      </w:pPr>
      <w:r>
        <w:rPr>
          <w:rFonts w:ascii="Calibri" w:hAnsi="Calibri"/>
          <w:b/>
          <w:color w:val="1F4D78"/>
          <w:sz w:val="18"/>
        </w:rPr>
        <w:t xml:space="preserve">Accept when: </w:t>
      </w:r>
      <w:r>
        <w:rPr>
          <w:rFonts w:ascii="Calibri" w:hAnsi="Calibri"/>
          <w:color w:val="14213D"/>
          <w:sz w:val="18"/>
        </w:rPr>
        <w:t>Linked conversion happens once; lines/totals/customer references match; invalid transition rejected.</w:t>
      </w:r>
    </w:p>
    <w:p>
      <w:pPr>
        <w:keepNext/>
        <w:spacing w:before="140" w:after="40"/>
      </w:pPr>
      <w:r>
        <w:rPr>
          <w:rFonts w:ascii="Calibri" w:hAnsi="Calibri"/>
          <w:b/>
          <w:color w:val="2E74B5"/>
          <w:sz w:val="18"/>
        </w:rPr>
        <w:t>FIN-009</w:t>
      </w:r>
      <w:r>
        <w:rPr>
          <w:rFonts w:ascii="Calibri" w:hAnsi="Calibri"/>
          <w:b/>
          <w:color w:val="6B7280"/>
          <w:sz w:val="17"/>
        </w:rPr>
        <w:t xml:space="preserve">  |  P1  |  Authorized user</w:t>
      </w:r>
    </w:p>
    <w:p>
      <w:pPr>
        <w:keepNext/>
        <w:spacing w:after="40"/>
        <w:ind w:left="216"/>
      </w:pPr>
      <w:r>
        <w:rPr>
          <w:rFonts w:ascii="Calibri" w:hAnsi="Calibri"/>
          <w:b/>
          <w:color w:val="14213D"/>
          <w:sz w:val="18"/>
        </w:rPr>
        <w:t xml:space="preserve">Execute: </w:t>
      </w:r>
      <w:r>
        <w:rPr>
          <w:rFonts w:ascii="Calibri" w:hAnsi="Calibri"/>
          <w:color w:val="14213D"/>
          <w:sz w:val="18"/>
        </w:rPr>
        <w:t>Generate quotation PDF with long names, multiple pages, tax/discount and branding; test cross-tenant route.</w:t>
      </w:r>
    </w:p>
    <w:p>
      <w:pPr>
        <w:spacing w:after="120"/>
        <w:ind w:left="216"/>
      </w:pPr>
      <w:r>
        <w:rPr>
          <w:rFonts w:ascii="Calibri" w:hAnsi="Calibri"/>
          <w:b/>
          <w:color w:val="1F4D78"/>
          <w:sz w:val="18"/>
        </w:rPr>
        <w:t xml:space="preserve">Accept when: </w:t>
      </w:r>
      <w:r>
        <w:rPr>
          <w:rFonts w:ascii="Calibri" w:hAnsi="Calibri"/>
          <w:color w:val="14213D"/>
          <w:sz w:val="18"/>
        </w:rPr>
        <w:t>PDF is readable, complete, branded, correctly totaled/page-broken, and authorized.</w:t>
      </w:r>
    </w:p>
    <w:p>
      <w:pPr>
        <w:keepNext/>
        <w:spacing w:before="140" w:after="40"/>
      </w:pPr>
      <w:r>
        <w:rPr>
          <w:rFonts w:ascii="Calibri" w:hAnsi="Calibri"/>
          <w:b/>
          <w:color w:val="2E74B5"/>
          <w:sz w:val="18"/>
        </w:rPr>
        <w:t>FIN-010</w:t>
      </w:r>
      <w:r>
        <w:rPr>
          <w:rFonts w:ascii="Calibri" w:hAnsi="Calibri"/>
          <w:b/>
          <w:color w:val="6B7280"/>
          <w:sz w:val="17"/>
        </w:rPr>
        <w:t xml:space="preserve">  |  P0  |  Invoice manager</w:t>
      </w:r>
    </w:p>
    <w:p>
      <w:pPr>
        <w:keepNext/>
        <w:spacing w:after="40"/>
        <w:ind w:left="216"/>
      </w:pPr>
      <w:r>
        <w:rPr>
          <w:rFonts w:ascii="Calibri" w:hAnsi="Calibri"/>
          <w:b/>
          <w:color w:val="14213D"/>
          <w:sz w:val="18"/>
        </w:rPr>
        <w:t xml:space="preserve">Execute: </w:t>
      </w:r>
      <w:r>
        <w:rPr>
          <w:rFonts w:ascii="Calibri" w:hAnsi="Calibri"/>
          <w:color w:val="14213D"/>
          <w:sz w:val="18"/>
        </w:rPr>
        <w:t>Create invoice manually and from eligible sale; set due date and issue; retry source conversion.</w:t>
      </w:r>
    </w:p>
    <w:p>
      <w:pPr>
        <w:spacing w:after="120"/>
        <w:ind w:left="216"/>
      </w:pPr>
      <w:r>
        <w:rPr>
          <w:rFonts w:ascii="Calibri" w:hAnsi="Calibri"/>
          <w:b/>
          <w:color w:val="1F4D78"/>
          <w:sz w:val="18"/>
        </w:rPr>
        <w:t xml:space="preserve">Accept when: </w:t>
      </w:r>
      <w:r>
        <w:rPr>
          <w:rFonts w:ascii="Calibri" w:hAnsi="Calibri"/>
          <w:color w:val="14213D"/>
          <w:sz w:val="18"/>
        </w:rPr>
        <w:t>Invoice lines/totals/balance/source link are correct and one invoice per intended conversion.</w:t>
      </w:r>
    </w:p>
    <w:p>
      <w:pPr>
        <w:keepNext/>
        <w:spacing w:before="140" w:after="40"/>
      </w:pPr>
      <w:r>
        <w:rPr>
          <w:rFonts w:ascii="Calibri" w:hAnsi="Calibri"/>
          <w:b/>
          <w:color w:val="2E74B5"/>
          <w:sz w:val="18"/>
        </w:rPr>
        <w:t>FIN-011</w:t>
      </w:r>
      <w:r>
        <w:rPr>
          <w:rFonts w:ascii="Calibri" w:hAnsi="Calibri"/>
          <w:b/>
          <w:color w:val="6B7280"/>
          <w:sz w:val="17"/>
        </w:rPr>
        <w:t xml:space="preserve">  |  P0  |  Payment user</w:t>
      </w:r>
    </w:p>
    <w:p>
      <w:pPr>
        <w:keepNext/>
        <w:spacing w:after="40"/>
        <w:ind w:left="216"/>
      </w:pPr>
      <w:r>
        <w:rPr>
          <w:rFonts w:ascii="Calibri" w:hAnsi="Calibri"/>
          <w:b/>
          <w:color w:val="14213D"/>
          <w:sz w:val="18"/>
        </w:rPr>
        <w:t xml:space="preserve">Execute: </w:t>
      </w:r>
      <w:r>
        <w:rPr>
          <w:rFonts w:ascii="Calibri" w:hAnsi="Calibri"/>
          <w:color w:val="14213D"/>
          <w:sz w:val="18"/>
        </w:rPr>
        <w:t>Record partial, exact and final payments using methods/reference/date; attempt overpayment, negative and duplicate.</w:t>
      </w:r>
    </w:p>
    <w:p>
      <w:pPr>
        <w:spacing w:after="120"/>
        <w:ind w:left="216"/>
      </w:pPr>
      <w:r>
        <w:rPr>
          <w:rFonts w:ascii="Calibri" w:hAnsi="Calibri"/>
          <w:b/>
          <w:color w:val="1F4D78"/>
          <w:sz w:val="18"/>
        </w:rPr>
        <w:t xml:space="preserve">Accept when: </w:t>
      </w:r>
      <w:r>
        <w:rPr>
          <w:rFonts w:ascii="Calibri" w:hAnsi="Calibri"/>
          <w:color w:val="14213D"/>
          <w:sz w:val="18"/>
        </w:rPr>
        <w:t>Balance/status and receivables update exactly; invalid/duplicate payment has no side effect.</w:t>
      </w:r>
    </w:p>
    <w:p>
      <w:pPr>
        <w:keepNext/>
        <w:spacing w:before="140" w:after="40"/>
      </w:pPr>
      <w:r>
        <w:rPr>
          <w:rFonts w:ascii="Calibri" w:hAnsi="Calibri"/>
          <w:b/>
          <w:color w:val="2E74B5"/>
          <w:sz w:val="18"/>
        </w:rPr>
        <w:t>FIN-012</w:t>
      </w:r>
      <w:r>
        <w:rPr>
          <w:rFonts w:ascii="Calibri" w:hAnsi="Calibri"/>
          <w:b/>
          <w:color w:val="6B7280"/>
          <w:sz w:val="17"/>
        </w:rPr>
        <w:t xml:space="preserve">  |  P0  |  Invoice manager</w:t>
      </w:r>
    </w:p>
    <w:p>
      <w:pPr>
        <w:keepNext/>
        <w:spacing w:after="40"/>
        <w:ind w:left="216"/>
      </w:pPr>
      <w:r>
        <w:rPr>
          <w:rFonts w:ascii="Calibri" w:hAnsi="Calibri"/>
          <w:b/>
          <w:color w:val="14213D"/>
          <w:sz w:val="18"/>
        </w:rPr>
        <w:t xml:space="preserve">Execute: </w:t>
      </w:r>
      <w:r>
        <w:rPr>
          <w:rFonts w:ascii="Calibri" w:hAnsi="Calibri"/>
          <w:color w:val="14213D"/>
          <w:sz w:val="18"/>
        </w:rPr>
        <w:t>Cancel eligible invoice and attempt cancellation after payment/invalid state/unauthorized role.</w:t>
      </w:r>
    </w:p>
    <w:p>
      <w:pPr>
        <w:spacing w:after="120"/>
        <w:ind w:left="216"/>
      </w:pPr>
      <w:r>
        <w:rPr>
          <w:rFonts w:ascii="Calibri" w:hAnsi="Calibri"/>
          <w:b/>
          <w:color w:val="1F4D78"/>
          <w:sz w:val="18"/>
        </w:rPr>
        <w:t xml:space="preserve">Accept when: </w:t>
      </w:r>
      <w:r>
        <w:rPr>
          <w:rFonts w:ascii="Calibri" w:hAnsi="Calibri"/>
          <w:color w:val="14213D"/>
          <w:sz w:val="18"/>
        </w:rPr>
        <w:t>Business rules enforce; cancelled values leave dashboards correctly; payment history is preserved.</w:t>
      </w:r>
    </w:p>
    <w:p>
      <w:pPr>
        <w:keepNext/>
        <w:spacing w:before="140" w:after="40"/>
      </w:pPr>
      <w:r>
        <w:rPr>
          <w:rFonts w:ascii="Calibri" w:hAnsi="Calibri"/>
          <w:b/>
          <w:color w:val="2E74B5"/>
          <w:sz w:val="18"/>
        </w:rPr>
        <w:t>FIN-013</w:t>
      </w:r>
      <w:r>
        <w:rPr>
          <w:rFonts w:ascii="Calibri" w:hAnsi="Calibri"/>
          <w:b/>
          <w:color w:val="6B7280"/>
          <w:sz w:val="17"/>
        </w:rPr>
        <w:t xml:space="preserve">  |  P1  |  Manager</w:t>
      </w:r>
    </w:p>
    <w:p>
      <w:pPr>
        <w:keepNext/>
        <w:spacing w:after="40"/>
        <w:ind w:left="216"/>
      </w:pPr>
      <w:r>
        <w:rPr>
          <w:rFonts w:ascii="Calibri" w:hAnsi="Calibri"/>
          <w:b/>
          <w:color w:val="14213D"/>
          <w:sz w:val="18"/>
        </w:rPr>
        <w:t xml:space="preserve">Execute: </w:t>
      </w:r>
      <w:r>
        <w:rPr>
          <w:rFonts w:ascii="Calibri" w:hAnsi="Calibri"/>
          <w:color w:val="14213D"/>
          <w:sz w:val="18"/>
        </w:rPr>
        <w:t>Validate receivables total/overdue around due-date midnight, Branch scope and partial payment.</w:t>
      </w:r>
    </w:p>
    <w:p>
      <w:pPr>
        <w:spacing w:after="120"/>
        <w:ind w:left="216"/>
      </w:pPr>
      <w:r>
        <w:rPr>
          <w:rFonts w:ascii="Calibri" w:hAnsi="Calibri"/>
          <w:b/>
          <w:color w:val="1F4D78"/>
          <w:sz w:val="18"/>
        </w:rPr>
        <w:t xml:space="preserve">Accept when: </w:t>
      </w:r>
      <w:r>
        <w:rPr>
          <w:rFonts w:ascii="Calibri" w:hAnsi="Calibri"/>
          <w:color w:val="14213D"/>
          <w:sz w:val="18"/>
        </w:rPr>
        <w:t>PHP totals, open invoice count and overdue classification match independent Asia/Manila calculation.</w:t>
      </w:r>
    </w:p>
    <w:p>
      <w:r>
        <w:br w:type="page"/>
      </w:r>
    </w:p>
    <w:p>
      <w:pPr>
        <w:pStyle w:val="Heading2"/>
      </w:pPr>
      <w:r>
        <w:t>10.7 Purchasing, appointments, job orders, and delivery</w:t>
      </w:r>
    </w:p>
    <w:p>
      <w:pPr>
        <w:keepNext/>
        <w:spacing w:before="140" w:after="40"/>
      </w:pPr>
      <w:r>
        <w:rPr>
          <w:rFonts w:ascii="Calibri" w:hAnsi="Calibri"/>
          <w:b/>
          <w:color w:val="2E74B5"/>
          <w:sz w:val="18"/>
        </w:rPr>
        <w:t>FUL-001</w:t>
      </w:r>
      <w:r>
        <w:rPr>
          <w:rFonts w:ascii="Calibri" w:hAnsi="Calibri"/>
          <w:b/>
          <w:color w:val="6B7280"/>
          <w:sz w:val="17"/>
        </w:rPr>
        <w:t xml:space="preserve">  |  P0  |  Purchasing manager</w:t>
      </w:r>
    </w:p>
    <w:p>
      <w:pPr>
        <w:keepNext/>
        <w:spacing w:after="40"/>
        <w:ind w:left="216"/>
      </w:pPr>
      <w:r>
        <w:rPr>
          <w:rFonts w:ascii="Calibri" w:hAnsi="Calibri"/>
          <w:b/>
          <w:color w:val="14213D"/>
          <w:sz w:val="18"/>
        </w:rPr>
        <w:t xml:space="preserve">Execute: </w:t>
      </w:r>
      <w:r>
        <w:rPr>
          <w:rFonts w:ascii="Calibri" w:hAnsi="Calibri"/>
          <w:color w:val="14213D"/>
          <w:sz w:val="18"/>
        </w:rPr>
        <w:t>Create/edit supplier and review supplier history across purchase orders/invoices.</w:t>
      </w:r>
    </w:p>
    <w:p>
      <w:pPr>
        <w:spacing w:after="120"/>
        <w:ind w:left="216"/>
      </w:pPr>
      <w:r>
        <w:rPr>
          <w:rFonts w:ascii="Calibri" w:hAnsi="Calibri"/>
          <w:b/>
          <w:color w:val="1F4D78"/>
          <w:sz w:val="18"/>
        </w:rPr>
        <w:t xml:space="preserve">Accept when: </w:t>
      </w:r>
      <w:r>
        <w:rPr>
          <w:rFonts w:ascii="Calibri" w:hAnsi="Calibri"/>
          <w:color w:val="14213D"/>
          <w:sz w:val="18"/>
        </w:rPr>
        <w:t>Supplier identity and aggregated history are accurate, scoped and preserved through status changes.</w:t>
      </w:r>
    </w:p>
    <w:p>
      <w:pPr>
        <w:keepNext/>
        <w:spacing w:before="140" w:after="40"/>
      </w:pPr>
      <w:r>
        <w:rPr>
          <w:rFonts w:ascii="Calibri" w:hAnsi="Calibri"/>
          <w:b/>
          <w:color w:val="2E74B5"/>
          <w:sz w:val="18"/>
        </w:rPr>
        <w:t>FUL-002</w:t>
      </w:r>
      <w:r>
        <w:rPr>
          <w:rFonts w:ascii="Calibri" w:hAnsi="Calibri"/>
          <w:b/>
          <w:color w:val="6B7280"/>
          <w:sz w:val="17"/>
        </w:rPr>
        <w:t xml:space="preserve">  |  P1  |  Requester</w:t>
      </w:r>
    </w:p>
    <w:p>
      <w:pPr>
        <w:keepNext/>
        <w:spacing w:after="40"/>
        <w:ind w:left="216"/>
      </w:pPr>
      <w:r>
        <w:rPr>
          <w:rFonts w:ascii="Calibri" w:hAnsi="Calibri"/>
          <w:b/>
          <w:color w:val="14213D"/>
          <w:sz w:val="18"/>
        </w:rPr>
        <w:t xml:space="preserve">Execute: </w:t>
      </w:r>
      <w:r>
        <w:rPr>
          <w:rFonts w:ascii="Calibri" w:hAnsi="Calibri"/>
          <w:color w:val="14213D"/>
          <w:sz w:val="18"/>
        </w:rPr>
        <w:t>Create purchase request with items/need date/notes; test validation and limited-role visibility.</w:t>
      </w:r>
    </w:p>
    <w:p>
      <w:pPr>
        <w:spacing w:after="120"/>
        <w:ind w:left="216"/>
      </w:pPr>
      <w:r>
        <w:rPr>
          <w:rFonts w:ascii="Calibri" w:hAnsi="Calibri"/>
          <w:b/>
          <w:color w:val="1F4D78"/>
          <w:sz w:val="18"/>
        </w:rPr>
        <w:t xml:space="preserve">Accept when: </w:t>
      </w:r>
      <w:r>
        <w:rPr>
          <w:rFonts w:ascii="Calibri" w:hAnsi="Calibri"/>
          <w:color w:val="14213D"/>
          <w:sz w:val="18"/>
        </w:rPr>
        <w:t>Request persists with correct totals/status; capability and Branch scope enforced.</w:t>
      </w:r>
    </w:p>
    <w:p>
      <w:pPr>
        <w:keepNext/>
        <w:spacing w:before="140" w:after="40"/>
      </w:pPr>
      <w:r>
        <w:rPr>
          <w:rFonts w:ascii="Calibri" w:hAnsi="Calibri"/>
          <w:b/>
          <w:color w:val="2E74B5"/>
          <w:sz w:val="18"/>
        </w:rPr>
        <w:t>FUL-003</w:t>
      </w:r>
      <w:r>
        <w:rPr>
          <w:rFonts w:ascii="Calibri" w:hAnsi="Calibri"/>
          <w:b/>
          <w:color w:val="6B7280"/>
          <w:sz w:val="17"/>
        </w:rPr>
        <w:t xml:space="preserve">  |  P0  |  Purchasing manager</w:t>
      </w:r>
    </w:p>
    <w:p>
      <w:pPr>
        <w:keepNext/>
        <w:spacing w:after="40"/>
        <w:ind w:left="216"/>
      </w:pPr>
      <w:r>
        <w:rPr>
          <w:rFonts w:ascii="Calibri" w:hAnsi="Calibri"/>
          <w:b/>
          <w:color w:val="14213D"/>
          <w:sz w:val="18"/>
        </w:rPr>
        <w:t xml:space="preserve">Execute: </w:t>
      </w:r>
      <w:r>
        <w:rPr>
          <w:rFonts w:ascii="Calibri" w:hAnsi="Calibri"/>
          <w:color w:val="14213D"/>
          <w:sz w:val="18"/>
        </w:rPr>
        <w:t>Create PO from request/direct, generate PDF, partially receive, fully receive and retry receipt.</w:t>
      </w:r>
    </w:p>
    <w:p>
      <w:pPr>
        <w:spacing w:after="120"/>
        <w:ind w:left="216"/>
      </w:pPr>
      <w:r>
        <w:rPr>
          <w:rFonts w:ascii="Calibri" w:hAnsi="Calibri"/>
          <w:b/>
          <w:color w:val="1F4D78"/>
          <w:sz w:val="18"/>
        </w:rPr>
        <w:t xml:space="preserve">Accept when: </w:t>
      </w:r>
      <w:r>
        <w:rPr>
          <w:rFonts w:ascii="Calibri" w:hAnsi="Calibri"/>
          <w:color w:val="14213D"/>
          <w:sz w:val="18"/>
        </w:rPr>
        <w:t>PO totals/PDF/status/remaining and inventory movements reconcile exactly once.</w:t>
      </w:r>
    </w:p>
    <w:p>
      <w:pPr>
        <w:keepNext/>
        <w:spacing w:before="140" w:after="40"/>
      </w:pPr>
      <w:r>
        <w:rPr>
          <w:rFonts w:ascii="Calibri" w:hAnsi="Calibri"/>
          <w:b/>
          <w:color w:val="2E74B5"/>
          <w:sz w:val="18"/>
        </w:rPr>
        <w:t>FUL-004</w:t>
      </w:r>
      <w:r>
        <w:rPr>
          <w:rFonts w:ascii="Calibri" w:hAnsi="Calibri"/>
          <w:b/>
          <w:color w:val="6B7280"/>
          <w:sz w:val="17"/>
        </w:rPr>
        <w:t xml:space="preserve">  |  P0  |  Purchasing manager</w:t>
      </w:r>
    </w:p>
    <w:p>
      <w:pPr>
        <w:keepNext/>
        <w:spacing w:after="40"/>
        <w:ind w:left="216"/>
      </w:pPr>
      <w:r>
        <w:rPr>
          <w:rFonts w:ascii="Calibri" w:hAnsi="Calibri"/>
          <w:b/>
          <w:color w:val="14213D"/>
          <w:sz w:val="18"/>
        </w:rPr>
        <w:t xml:space="preserve">Execute: </w:t>
      </w:r>
      <w:r>
        <w:rPr>
          <w:rFonts w:ascii="Calibri" w:hAnsi="Calibri"/>
          <w:color w:val="14213D"/>
          <w:sz w:val="18"/>
        </w:rPr>
        <w:t>Save supplier invoice linked to PO and verify expense/payable behavior; try mismatched supplier/Business.</w:t>
      </w:r>
    </w:p>
    <w:p>
      <w:pPr>
        <w:spacing w:after="120"/>
        <w:ind w:left="216"/>
      </w:pPr>
      <w:r>
        <w:rPr>
          <w:rFonts w:ascii="Calibri" w:hAnsi="Calibri"/>
          <w:b/>
          <w:color w:val="1F4D78"/>
          <w:sz w:val="18"/>
        </w:rPr>
        <w:t xml:space="preserve">Accept when: </w:t>
      </w:r>
      <w:r>
        <w:rPr>
          <w:rFonts w:ascii="Calibri" w:hAnsi="Calibri"/>
          <w:color w:val="14213D"/>
          <w:sz w:val="18"/>
        </w:rPr>
        <w:t>Linkage and amounts are valid; cross-tenant or inconsistent relation is denied.</w:t>
      </w:r>
    </w:p>
    <w:p>
      <w:pPr>
        <w:keepNext/>
        <w:spacing w:before="140" w:after="40"/>
      </w:pPr>
      <w:r>
        <w:rPr>
          <w:rFonts w:ascii="Calibri" w:hAnsi="Calibri"/>
          <w:b/>
          <w:color w:val="2E74B5"/>
          <w:sz w:val="18"/>
        </w:rPr>
        <w:t>FUL-005</w:t>
      </w:r>
      <w:r>
        <w:rPr>
          <w:rFonts w:ascii="Calibri" w:hAnsi="Calibri"/>
          <w:b/>
          <w:color w:val="6B7280"/>
          <w:sz w:val="17"/>
        </w:rPr>
        <w:t xml:space="preserve">  |  P0  |  Scheduler</w:t>
      </w:r>
    </w:p>
    <w:p>
      <w:pPr>
        <w:keepNext/>
        <w:spacing w:after="40"/>
        <w:ind w:left="216"/>
      </w:pPr>
      <w:r>
        <w:rPr>
          <w:rFonts w:ascii="Calibri" w:hAnsi="Calibri"/>
          <w:b/>
          <w:color w:val="14213D"/>
          <w:sz w:val="18"/>
        </w:rPr>
        <w:t xml:space="preserve">Execute: </w:t>
      </w:r>
      <w:r>
        <w:rPr>
          <w:rFonts w:ascii="Calibri" w:hAnsi="Calibri"/>
          <w:color w:val="14213D"/>
          <w:sz w:val="18"/>
        </w:rPr>
        <w:t>Create appointment for Branch/customer/service/staff; test end-before-start, overlap, unavailable/inactive staff/service.</w:t>
      </w:r>
    </w:p>
    <w:p>
      <w:pPr>
        <w:spacing w:after="120"/>
        <w:ind w:left="216"/>
      </w:pPr>
      <w:r>
        <w:rPr>
          <w:rFonts w:ascii="Calibri" w:hAnsi="Calibri"/>
          <w:b/>
          <w:color w:val="1F4D78"/>
          <w:sz w:val="18"/>
        </w:rPr>
        <w:t xml:space="preserve">Accept when: </w:t>
      </w:r>
      <w:r>
        <w:rPr>
          <w:rFonts w:ascii="Calibri" w:hAnsi="Calibri"/>
          <w:color w:val="14213D"/>
          <w:sz w:val="18"/>
        </w:rPr>
        <w:t>Valid appointment appears in day/week/customer/staff views; invalid/conflicting booking is clearly rejected.</w:t>
      </w:r>
    </w:p>
    <w:p>
      <w:pPr>
        <w:keepNext/>
        <w:spacing w:before="140" w:after="40"/>
      </w:pPr>
      <w:r>
        <w:rPr>
          <w:rFonts w:ascii="Calibri" w:hAnsi="Calibri"/>
          <w:b/>
          <w:color w:val="2E74B5"/>
          <w:sz w:val="18"/>
        </w:rPr>
        <w:t>FUL-006</w:t>
      </w:r>
      <w:r>
        <w:rPr>
          <w:rFonts w:ascii="Calibri" w:hAnsi="Calibri"/>
          <w:b/>
          <w:color w:val="6B7280"/>
          <w:sz w:val="17"/>
        </w:rPr>
        <w:t xml:space="preserve">  |  P0  |  Scheduler/Staff</w:t>
      </w:r>
    </w:p>
    <w:p>
      <w:pPr>
        <w:keepNext/>
        <w:spacing w:after="40"/>
        <w:ind w:left="216"/>
      </w:pPr>
      <w:r>
        <w:rPr>
          <w:rFonts w:ascii="Calibri" w:hAnsi="Calibri"/>
          <w:b/>
          <w:color w:val="14213D"/>
          <w:sz w:val="18"/>
        </w:rPr>
        <w:t xml:space="preserve">Execute: </w:t>
      </w:r>
      <w:r>
        <w:rPr>
          <w:rFonts w:ascii="Calibri" w:hAnsi="Calibri"/>
          <w:color w:val="14213D"/>
          <w:sz w:val="18"/>
        </w:rPr>
        <w:t>Move appointment scheduled -&gt; confirmed -&gt; arrived -&gt; in progress -&gt; completed; test cancelled/no-show and illegal transitions.</w:t>
      </w:r>
    </w:p>
    <w:p>
      <w:pPr>
        <w:spacing w:after="120"/>
        <w:ind w:left="216"/>
      </w:pPr>
      <w:r>
        <w:rPr>
          <w:rFonts w:ascii="Calibri" w:hAnsi="Calibri"/>
          <w:b/>
          <w:color w:val="1F4D78"/>
          <w:sz w:val="18"/>
        </w:rPr>
        <w:t xml:space="preserve">Accept when: </w:t>
      </w:r>
      <w:r>
        <w:rPr>
          <w:rFonts w:ascii="Calibri" w:hAnsi="Calibri"/>
          <w:color w:val="14213D"/>
          <w:sz w:val="18"/>
        </w:rPr>
        <w:t>Allowed transition, timestamps/notes and downstream metrics are correct; illegal transition denied.</w:t>
      </w:r>
    </w:p>
    <w:p>
      <w:pPr>
        <w:keepNext/>
        <w:spacing w:before="140" w:after="40"/>
      </w:pPr>
      <w:r>
        <w:rPr>
          <w:rFonts w:ascii="Calibri" w:hAnsi="Calibri"/>
          <w:b/>
          <w:color w:val="2E74B5"/>
          <w:sz w:val="18"/>
        </w:rPr>
        <w:t>FUL-007</w:t>
      </w:r>
      <w:r>
        <w:rPr>
          <w:rFonts w:ascii="Calibri" w:hAnsi="Calibri"/>
          <w:b/>
          <w:color w:val="6B7280"/>
          <w:sz w:val="17"/>
        </w:rPr>
        <w:t xml:space="preserve">  |  P0  |  Job manager</w:t>
      </w:r>
    </w:p>
    <w:p>
      <w:pPr>
        <w:keepNext/>
        <w:spacing w:after="40"/>
        <w:ind w:left="216"/>
      </w:pPr>
      <w:r>
        <w:rPr>
          <w:rFonts w:ascii="Calibri" w:hAnsi="Calibri"/>
          <w:b/>
          <w:color w:val="14213D"/>
          <w:sz w:val="18"/>
        </w:rPr>
        <w:t xml:space="preserve">Execute: </w:t>
      </w:r>
      <w:r>
        <w:rPr>
          <w:rFonts w:ascii="Calibri" w:hAnsi="Calibri"/>
          <w:color w:val="14213D"/>
          <w:sz w:val="18"/>
        </w:rPr>
        <w:t>Create job order with customer/service/assignee/dates/pricing; customize job-order plural label.</w:t>
      </w:r>
    </w:p>
    <w:p>
      <w:pPr>
        <w:spacing w:after="120"/>
        <w:ind w:left="216"/>
      </w:pPr>
      <w:r>
        <w:rPr>
          <w:rFonts w:ascii="Calibri" w:hAnsi="Calibri"/>
          <w:b/>
          <w:color w:val="1F4D78"/>
          <w:sz w:val="18"/>
        </w:rPr>
        <w:t xml:space="preserve">Accept when: </w:t>
      </w:r>
      <w:r>
        <w:rPr>
          <w:rFonts w:ascii="Calibri" w:hAnsi="Calibri"/>
          <w:color w:val="14213D"/>
          <w:sz w:val="18"/>
        </w:rPr>
        <w:t>Record and navigation terminology are consistent; amounts, assignments and Branch scope persist.</w:t>
      </w:r>
    </w:p>
    <w:p>
      <w:pPr>
        <w:keepNext/>
        <w:spacing w:before="140" w:after="40"/>
      </w:pPr>
      <w:r>
        <w:rPr>
          <w:rFonts w:ascii="Calibri" w:hAnsi="Calibri"/>
          <w:b/>
          <w:color w:val="2E74B5"/>
          <w:sz w:val="18"/>
        </w:rPr>
        <w:t>FUL-008</w:t>
      </w:r>
      <w:r>
        <w:rPr>
          <w:rFonts w:ascii="Calibri" w:hAnsi="Calibri"/>
          <w:b/>
          <w:color w:val="6B7280"/>
          <w:sz w:val="17"/>
        </w:rPr>
        <w:t xml:space="preserve">  |  P0  |  Job staff</w:t>
      </w:r>
    </w:p>
    <w:p>
      <w:pPr>
        <w:keepNext/>
        <w:spacing w:after="40"/>
        <w:ind w:left="216"/>
      </w:pPr>
      <w:r>
        <w:rPr>
          <w:rFonts w:ascii="Calibri" w:hAnsi="Calibri"/>
          <w:b/>
          <w:color w:val="14213D"/>
          <w:sz w:val="18"/>
        </w:rPr>
        <w:t xml:space="preserve">Execute: </w:t>
      </w:r>
      <w:r>
        <w:rPr>
          <w:rFonts w:ascii="Calibri" w:hAnsi="Calibri"/>
          <w:color w:val="14213D"/>
          <w:sz w:val="18"/>
        </w:rPr>
        <w:t>Progress job statuses, consume materials and retry; attempt insufficient stock/wrong location/unauthorized role.</w:t>
      </w:r>
    </w:p>
    <w:p>
      <w:pPr>
        <w:spacing w:after="120"/>
        <w:ind w:left="216"/>
      </w:pPr>
      <w:r>
        <w:rPr>
          <w:rFonts w:ascii="Calibri" w:hAnsi="Calibri"/>
          <w:b/>
          <w:color w:val="1F4D78"/>
          <w:sz w:val="18"/>
        </w:rPr>
        <w:t xml:space="preserve">Accept when: </w:t>
      </w:r>
      <w:r>
        <w:rPr>
          <w:rFonts w:ascii="Calibri" w:hAnsi="Calibri"/>
          <w:color w:val="14213D"/>
          <w:sz w:val="18"/>
        </w:rPr>
        <w:t>Job and inventory change atomically once; invalid consumption leaves both unchanged.</w:t>
      </w:r>
    </w:p>
    <w:p>
      <w:pPr>
        <w:keepNext/>
        <w:spacing w:before="140" w:after="40"/>
      </w:pPr>
      <w:r>
        <w:rPr>
          <w:rFonts w:ascii="Calibri" w:hAnsi="Calibri"/>
          <w:b/>
          <w:color w:val="2E74B5"/>
          <w:sz w:val="18"/>
        </w:rPr>
        <w:t>FUL-009</w:t>
      </w:r>
      <w:r>
        <w:rPr>
          <w:rFonts w:ascii="Calibri" w:hAnsi="Calibri"/>
          <w:b/>
          <w:color w:val="6B7280"/>
          <w:sz w:val="17"/>
        </w:rPr>
        <w:t xml:space="preserve">  |  P1  |  Job staff</w:t>
      </w:r>
    </w:p>
    <w:p>
      <w:pPr>
        <w:keepNext/>
        <w:spacing w:after="40"/>
        <w:ind w:left="216"/>
      </w:pPr>
      <w:r>
        <w:rPr>
          <w:rFonts w:ascii="Calibri" w:hAnsi="Calibri"/>
          <w:b/>
          <w:color w:val="14213D"/>
          <w:sz w:val="18"/>
        </w:rPr>
        <w:t xml:space="preserve">Execute: </w:t>
      </w:r>
      <w:r>
        <w:rPr>
          <w:rFonts w:ascii="Calibri" w:hAnsi="Calibri"/>
          <w:color w:val="14213D"/>
          <w:sz w:val="18"/>
        </w:rPr>
        <w:t>Upload/download valid attachment; test forbidden type/size, same filename, cross-tenant ID and expired URL.</w:t>
      </w:r>
    </w:p>
    <w:p>
      <w:pPr>
        <w:spacing w:after="120"/>
        <w:ind w:left="216"/>
      </w:pPr>
      <w:r>
        <w:rPr>
          <w:rFonts w:ascii="Calibri" w:hAnsi="Calibri"/>
          <w:b/>
          <w:color w:val="1F4D78"/>
          <w:sz w:val="18"/>
        </w:rPr>
        <w:t xml:space="preserve">Accept when: </w:t>
      </w:r>
      <w:r>
        <w:rPr>
          <w:rFonts w:ascii="Calibri" w:hAnsi="Calibri"/>
          <w:color w:val="14213D"/>
          <w:sz w:val="18"/>
        </w:rPr>
        <w:t>File metadata/content are correct; unique storage path and tenant/expiry controls hold.</w:t>
      </w:r>
    </w:p>
    <w:p>
      <w:pPr>
        <w:keepNext/>
        <w:spacing w:before="140" w:after="40"/>
      </w:pPr>
      <w:r>
        <w:rPr>
          <w:rFonts w:ascii="Calibri" w:hAnsi="Calibri"/>
          <w:b/>
          <w:color w:val="2E74B5"/>
          <w:sz w:val="18"/>
        </w:rPr>
        <w:t>FUL-010</w:t>
      </w:r>
      <w:r>
        <w:rPr>
          <w:rFonts w:ascii="Calibri" w:hAnsi="Calibri"/>
          <w:b/>
          <w:color w:val="6B7280"/>
          <w:sz w:val="17"/>
        </w:rPr>
        <w:t xml:space="preserve">  |  P0  |  Dispatcher</w:t>
      </w:r>
    </w:p>
    <w:p>
      <w:pPr>
        <w:keepNext/>
        <w:spacing w:after="40"/>
        <w:ind w:left="216"/>
      </w:pPr>
      <w:r>
        <w:rPr>
          <w:rFonts w:ascii="Calibri" w:hAnsi="Calibri"/>
          <w:b/>
          <w:color w:val="14213D"/>
          <w:sz w:val="18"/>
        </w:rPr>
        <w:t xml:space="preserve">Execute: </w:t>
      </w:r>
      <w:r>
        <w:rPr>
          <w:rFonts w:ascii="Calibri" w:hAnsi="Calibri"/>
          <w:color w:val="14213D"/>
          <w:sz w:val="18"/>
        </w:rPr>
        <w:t>Create delivery linked/unlinked to transaction with schedule/address/contact; assign driver and vehicle.</w:t>
      </w:r>
    </w:p>
    <w:p>
      <w:pPr>
        <w:spacing w:after="120"/>
        <w:ind w:left="216"/>
      </w:pPr>
      <w:r>
        <w:rPr>
          <w:rFonts w:ascii="Calibri" w:hAnsi="Calibri"/>
          <w:b/>
          <w:color w:val="1F4D78"/>
          <w:sz w:val="18"/>
        </w:rPr>
        <w:t xml:space="preserve">Accept when: </w:t>
      </w:r>
      <w:r>
        <w:rPr>
          <w:rFonts w:ascii="Calibri" w:hAnsi="Calibri"/>
          <w:color w:val="14213D"/>
          <w:sz w:val="18"/>
        </w:rPr>
        <w:t>Delivery and relationship persist; only active/eligible actors and accessible Branches can be selected.</w:t>
      </w:r>
    </w:p>
    <w:p>
      <w:pPr>
        <w:keepNext/>
        <w:spacing w:before="140" w:after="40"/>
      </w:pPr>
      <w:r>
        <w:rPr>
          <w:rFonts w:ascii="Calibri" w:hAnsi="Calibri"/>
          <w:b/>
          <w:color w:val="2E74B5"/>
          <w:sz w:val="18"/>
        </w:rPr>
        <w:t>FUL-011</w:t>
      </w:r>
      <w:r>
        <w:rPr>
          <w:rFonts w:ascii="Calibri" w:hAnsi="Calibri"/>
          <w:b/>
          <w:color w:val="6B7280"/>
          <w:sz w:val="17"/>
        </w:rPr>
        <w:t xml:space="preserve">  |  P0  |  Driver/Dispatcher</w:t>
      </w:r>
    </w:p>
    <w:p>
      <w:pPr>
        <w:keepNext/>
        <w:spacing w:after="40"/>
        <w:ind w:left="216"/>
      </w:pPr>
      <w:r>
        <w:rPr>
          <w:rFonts w:ascii="Calibri" w:hAnsi="Calibri"/>
          <w:b/>
          <w:color w:val="14213D"/>
          <w:sz w:val="18"/>
        </w:rPr>
        <w:t xml:space="preserve">Execute: </w:t>
      </w:r>
      <w:r>
        <w:rPr>
          <w:rFonts w:ascii="Calibri" w:hAnsi="Calibri"/>
          <w:color w:val="14213D"/>
          <w:sz w:val="18"/>
        </w:rPr>
        <w:t>Progress scheduled -&gt; assigned -&gt; out_for_delivery -&gt; delivered; test failed/cancelled and illegal/repeated status.</w:t>
      </w:r>
    </w:p>
    <w:p>
      <w:pPr>
        <w:spacing w:after="120"/>
        <w:ind w:left="216"/>
      </w:pPr>
      <w:r>
        <w:rPr>
          <w:rFonts w:ascii="Calibri" w:hAnsi="Calibri"/>
          <w:b/>
          <w:color w:val="1F4D78"/>
          <w:sz w:val="18"/>
        </w:rPr>
        <w:t xml:space="preserve">Accept when: </w:t>
      </w:r>
      <w:r>
        <w:rPr>
          <w:rFonts w:ascii="Calibri" w:hAnsi="Calibri"/>
          <w:color w:val="14213D"/>
          <w:sz w:val="18"/>
        </w:rPr>
        <w:t>Allowed transitions and timestamps/notes audit correctly; terminal/repeated illegal actions are safe.</w:t>
      </w:r>
    </w:p>
    <w:p>
      <w:pPr>
        <w:keepNext/>
        <w:spacing w:before="140" w:after="40"/>
      </w:pPr>
      <w:r>
        <w:rPr>
          <w:rFonts w:ascii="Calibri" w:hAnsi="Calibri"/>
          <w:b/>
          <w:color w:val="2E74B5"/>
          <w:sz w:val="18"/>
        </w:rPr>
        <w:t>FUL-012</w:t>
      </w:r>
      <w:r>
        <w:rPr>
          <w:rFonts w:ascii="Calibri" w:hAnsi="Calibri"/>
          <w:b/>
          <w:color w:val="6B7280"/>
          <w:sz w:val="17"/>
        </w:rPr>
        <w:t xml:space="preserve">  |  P1  |  Driver</w:t>
      </w:r>
    </w:p>
    <w:p>
      <w:pPr>
        <w:keepNext/>
        <w:spacing w:after="40"/>
        <w:ind w:left="216"/>
      </w:pPr>
      <w:r>
        <w:rPr>
          <w:rFonts w:ascii="Calibri" w:hAnsi="Calibri"/>
          <w:b/>
          <w:color w:val="14213D"/>
          <w:sz w:val="18"/>
        </w:rPr>
        <w:t xml:space="preserve">Execute: </w:t>
      </w:r>
      <w:r>
        <w:rPr>
          <w:rFonts w:ascii="Calibri" w:hAnsi="Calibri"/>
          <w:color w:val="14213D"/>
          <w:sz w:val="18"/>
        </w:rPr>
        <w:t>Upload proof and retrieve it; test proof before allowed state, wrong type/size and cross-tenant access.</w:t>
      </w:r>
    </w:p>
    <w:p>
      <w:pPr>
        <w:spacing w:after="120"/>
        <w:ind w:left="216"/>
      </w:pPr>
      <w:r>
        <w:rPr>
          <w:rFonts w:ascii="Calibri" w:hAnsi="Calibri"/>
          <w:b/>
          <w:color w:val="1F4D78"/>
          <w:sz w:val="18"/>
        </w:rPr>
        <w:t xml:space="preserve">Accept when: </w:t>
      </w:r>
      <w:r>
        <w:rPr>
          <w:rFonts w:ascii="Calibri" w:hAnsi="Calibri"/>
          <w:color w:val="14213D"/>
          <w:sz w:val="18"/>
        </w:rPr>
        <w:t>Proof associates once with delivery and remains securely scoped; invalid upload has no orphaned object.</w:t>
      </w:r>
    </w:p>
    <w:p>
      <w:r>
        <w:br w:type="page"/>
      </w:r>
    </w:p>
    <w:p>
      <w:pPr>
        <w:pStyle w:val="Heading2"/>
      </w:pPr>
      <w:r>
        <w:t>10.8 Employees, attendance, approvals, notifications, and audit</w:t>
      </w:r>
    </w:p>
    <w:p>
      <w:pPr>
        <w:keepNext/>
        <w:spacing w:before="140" w:after="40"/>
      </w:pPr>
      <w:r>
        <w:rPr>
          <w:rFonts w:ascii="Calibri" w:hAnsi="Calibri"/>
          <w:b/>
          <w:color w:val="2E74B5"/>
          <w:sz w:val="18"/>
        </w:rPr>
        <w:t>ADM-001</w:t>
      </w:r>
      <w:r>
        <w:rPr>
          <w:rFonts w:ascii="Calibri" w:hAnsi="Calibri"/>
          <w:b/>
          <w:color w:val="6B7280"/>
          <w:sz w:val="17"/>
        </w:rPr>
        <w:t xml:space="preserve">  |  P0  |  HR manager</w:t>
      </w:r>
    </w:p>
    <w:p>
      <w:pPr>
        <w:keepNext/>
        <w:spacing w:after="40"/>
        <w:ind w:left="216"/>
      </w:pPr>
      <w:r>
        <w:rPr>
          <w:rFonts w:ascii="Calibri" w:hAnsi="Calibri"/>
          <w:b/>
          <w:color w:val="14213D"/>
          <w:sz w:val="18"/>
        </w:rPr>
        <w:t xml:space="preserve">Execute: </w:t>
      </w:r>
      <w:r>
        <w:rPr>
          <w:rFonts w:ascii="Calibri" w:hAnsi="Calibri"/>
          <w:color w:val="14213D"/>
          <w:sz w:val="18"/>
        </w:rPr>
        <w:t>Create/edit/activate/inactivate employee with Branch and work details; test duplicate/invalid identity data.</w:t>
      </w:r>
    </w:p>
    <w:p>
      <w:pPr>
        <w:spacing w:after="120"/>
        <w:ind w:left="216"/>
      </w:pPr>
      <w:r>
        <w:rPr>
          <w:rFonts w:ascii="Calibri" w:hAnsi="Calibri"/>
          <w:b/>
          <w:color w:val="1F4D78"/>
          <w:sz w:val="18"/>
        </w:rPr>
        <w:t xml:space="preserve">Accept when: </w:t>
      </w:r>
      <w:r>
        <w:rPr>
          <w:rFonts w:ascii="Calibri" w:hAnsi="Calibri"/>
          <w:color w:val="14213D"/>
          <w:sz w:val="18"/>
        </w:rPr>
        <w:t>Employee persists in correct scope; historical attendance/jobs remain; inactive employee cannot be newly assigned where restricted.</w:t>
      </w:r>
    </w:p>
    <w:p>
      <w:pPr>
        <w:keepNext/>
        <w:spacing w:before="140" w:after="40"/>
      </w:pPr>
      <w:r>
        <w:rPr>
          <w:rFonts w:ascii="Calibri" w:hAnsi="Calibri"/>
          <w:b/>
          <w:color w:val="2E74B5"/>
          <w:sz w:val="18"/>
        </w:rPr>
        <w:t>ADM-002</w:t>
      </w:r>
      <w:r>
        <w:rPr>
          <w:rFonts w:ascii="Calibri" w:hAnsi="Calibri"/>
          <w:b/>
          <w:color w:val="6B7280"/>
          <w:sz w:val="17"/>
        </w:rPr>
        <w:t xml:space="preserve">  |  P0  |  Employee</w:t>
      </w:r>
    </w:p>
    <w:p>
      <w:pPr>
        <w:keepNext/>
        <w:spacing w:after="40"/>
        <w:ind w:left="216"/>
      </w:pPr>
      <w:r>
        <w:rPr>
          <w:rFonts w:ascii="Calibri" w:hAnsi="Calibri"/>
          <w:b/>
          <w:color w:val="14213D"/>
          <w:sz w:val="18"/>
        </w:rPr>
        <w:t xml:space="preserve">Execute: </w:t>
      </w:r>
      <w:r>
        <w:rPr>
          <w:rFonts w:ascii="Calibri" w:hAnsi="Calibri"/>
          <w:color w:val="14213D"/>
          <w:sz w:val="18"/>
        </w:rPr>
        <w:t>Clock in/out and break start/end through daily clock; refresh/double-submit and try invalid sequence.</w:t>
      </w:r>
    </w:p>
    <w:p>
      <w:pPr>
        <w:spacing w:after="120"/>
        <w:ind w:left="216"/>
      </w:pPr>
      <w:r>
        <w:rPr>
          <w:rFonts w:ascii="Calibri" w:hAnsi="Calibri"/>
          <w:b/>
          <w:color w:val="1F4D78"/>
          <w:sz w:val="18"/>
        </w:rPr>
        <w:t xml:space="preserve">Accept when: </w:t>
      </w:r>
      <w:r>
        <w:rPr>
          <w:rFonts w:ascii="Calibri" w:hAnsi="Calibri"/>
          <w:color w:val="14213D"/>
          <w:sz w:val="18"/>
        </w:rPr>
        <w:t>One coherent session/event sequence with Asia/Manila timestamps; invalid/repeated event rejected.</w:t>
      </w:r>
    </w:p>
    <w:p>
      <w:pPr>
        <w:keepNext/>
        <w:spacing w:before="140" w:after="40"/>
      </w:pPr>
      <w:r>
        <w:rPr>
          <w:rFonts w:ascii="Calibri" w:hAnsi="Calibri"/>
          <w:b/>
          <w:color w:val="2E74B5"/>
          <w:sz w:val="18"/>
        </w:rPr>
        <w:t>ADM-003</w:t>
      </w:r>
      <w:r>
        <w:rPr>
          <w:rFonts w:ascii="Calibri" w:hAnsi="Calibri"/>
          <w:b/>
          <w:color w:val="6B7280"/>
          <w:sz w:val="17"/>
        </w:rPr>
        <w:t xml:space="preserve">  |  P1  |  Manager</w:t>
      </w:r>
    </w:p>
    <w:p>
      <w:pPr>
        <w:keepNext/>
        <w:spacing w:after="40"/>
        <w:ind w:left="216"/>
      </w:pPr>
      <w:r>
        <w:rPr>
          <w:rFonts w:ascii="Calibri" w:hAnsi="Calibri"/>
          <w:b/>
          <w:color w:val="14213D"/>
          <w:sz w:val="18"/>
        </w:rPr>
        <w:t xml:space="preserve">Execute: </w:t>
      </w:r>
      <w:r>
        <w:rPr>
          <w:rFonts w:ascii="Calibri" w:hAnsi="Calibri"/>
          <w:color w:val="14213D"/>
          <w:sz w:val="18"/>
        </w:rPr>
        <w:t>Review daily attendance and date-range timesheet across overnight/month-end shift and Branch filters.</w:t>
      </w:r>
    </w:p>
    <w:p>
      <w:pPr>
        <w:spacing w:after="120"/>
        <w:ind w:left="216"/>
      </w:pPr>
      <w:r>
        <w:rPr>
          <w:rFonts w:ascii="Calibri" w:hAnsi="Calibri"/>
          <w:b/>
          <w:color w:val="1F4D78"/>
          <w:sz w:val="18"/>
        </w:rPr>
        <w:t xml:space="preserve">Accept when: </w:t>
      </w:r>
      <w:r>
        <w:rPr>
          <w:rFonts w:ascii="Calibri" w:hAnsi="Calibri"/>
          <w:color w:val="14213D"/>
          <w:sz w:val="18"/>
        </w:rPr>
        <w:t>Hours/breaks/status totals are accurate and scoped; rounding policy is consistent.</w:t>
      </w:r>
    </w:p>
    <w:p>
      <w:pPr>
        <w:keepNext/>
        <w:spacing w:before="140" w:after="40"/>
      </w:pPr>
      <w:r>
        <w:rPr>
          <w:rFonts w:ascii="Calibri" w:hAnsi="Calibri"/>
          <w:b/>
          <w:color w:val="2E74B5"/>
          <w:sz w:val="18"/>
        </w:rPr>
        <w:t>ADM-004</w:t>
      </w:r>
      <w:r>
        <w:rPr>
          <w:rFonts w:ascii="Calibri" w:hAnsi="Calibri"/>
          <w:b/>
          <w:color w:val="6B7280"/>
          <w:sz w:val="17"/>
        </w:rPr>
        <w:t xml:space="preserve">  |  P1  |  Manager</w:t>
      </w:r>
    </w:p>
    <w:p>
      <w:pPr>
        <w:keepNext/>
        <w:spacing w:after="40"/>
        <w:ind w:left="216"/>
      </w:pPr>
      <w:r>
        <w:rPr>
          <w:rFonts w:ascii="Calibri" w:hAnsi="Calibri"/>
          <w:b/>
          <w:color w:val="14213D"/>
          <w:sz w:val="18"/>
        </w:rPr>
        <w:t xml:space="preserve">Execute: </w:t>
      </w:r>
      <w:r>
        <w:rPr>
          <w:rFonts w:ascii="Calibri" w:hAnsi="Calibri"/>
          <w:color w:val="14213D"/>
          <w:sz w:val="18"/>
        </w:rPr>
        <w:t>Correct/manage attendance where supported; ordinary employee attempts same operation.</w:t>
      </w:r>
    </w:p>
    <w:p>
      <w:pPr>
        <w:spacing w:after="120"/>
        <w:ind w:left="216"/>
      </w:pPr>
      <w:r>
        <w:rPr>
          <w:rFonts w:ascii="Calibri" w:hAnsi="Calibri"/>
          <w:b/>
          <w:color w:val="1F4D78"/>
          <w:sz w:val="18"/>
        </w:rPr>
        <w:t xml:space="preserve">Accept when: </w:t>
      </w:r>
      <w:r>
        <w:rPr>
          <w:rFonts w:ascii="Calibri" w:hAnsi="Calibri"/>
          <w:color w:val="14213D"/>
          <w:sz w:val="18"/>
        </w:rPr>
        <w:t>Authorized adjustment is audited and recalculates totals; employee is denied.</w:t>
      </w:r>
    </w:p>
    <w:p>
      <w:pPr>
        <w:keepNext/>
        <w:spacing w:before="140" w:after="40"/>
      </w:pPr>
      <w:r>
        <w:rPr>
          <w:rFonts w:ascii="Calibri" w:hAnsi="Calibri"/>
          <w:b/>
          <w:color w:val="2E74B5"/>
          <w:sz w:val="18"/>
        </w:rPr>
        <w:t>ADM-005</w:t>
      </w:r>
      <w:r>
        <w:rPr>
          <w:rFonts w:ascii="Calibri" w:hAnsi="Calibri"/>
          <w:b/>
          <w:color w:val="6B7280"/>
          <w:sz w:val="17"/>
        </w:rPr>
        <w:t xml:space="preserve">  |  P0  |  Requester</w:t>
      </w:r>
    </w:p>
    <w:p>
      <w:pPr>
        <w:keepNext/>
        <w:spacing w:after="40"/>
        <w:ind w:left="216"/>
      </w:pPr>
      <w:r>
        <w:rPr>
          <w:rFonts w:ascii="Calibri" w:hAnsi="Calibri"/>
          <w:b/>
          <w:color w:val="14213D"/>
          <w:sz w:val="18"/>
        </w:rPr>
        <w:t xml:space="preserve">Execute: </w:t>
      </w:r>
      <w:r>
        <w:rPr>
          <w:rFonts w:ascii="Calibri" w:hAnsi="Calibri"/>
          <w:color w:val="14213D"/>
          <w:sz w:val="18"/>
        </w:rPr>
        <w:t>Create approval by category/title/target/data and cancel while pending; test malformed target/unknown category.</w:t>
      </w:r>
    </w:p>
    <w:p>
      <w:pPr>
        <w:spacing w:after="120"/>
        <w:ind w:left="216"/>
      </w:pPr>
      <w:r>
        <w:rPr>
          <w:rFonts w:ascii="Calibri" w:hAnsi="Calibri"/>
          <w:b/>
          <w:color w:val="1F4D78"/>
          <w:sz w:val="18"/>
        </w:rPr>
        <w:t xml:space="preserve">Accept when: </w:t>
      </w:r>
      <w:r>
        <w:rPr>
          <w:rFonts w:ascii="Calibri" w:hAnsi="Calibri"/>
          <w:color w:val="14213D"/>
          <w:sz w:val="18"/>
        </w:rPr>
        <w:t>Request/steps created atomically; valid cancellation audits/notifies; invalid input rejected.</w:t>
      </w:r>
    </w:p>
    <w:p>
      <w:pPr>
        <w:keepNext/>
        <w:spacing w:before="140" w:after="40"/>
      </w:pPr>
      <w:r>
        <w:rPr>
          <w:rFonts w:ascii="Calibri" w:hAnsi="Calibri"/>
          <w:b/>
          <w:color w:val="2E74B5"/>
          <w:sz w:val="18"/>
        </w:rPr>
        <w:t>ADM-006</w:t>
      </w:r>
      <w:r>
        <w:rPr>
          <w:rFonts w:ascii="Calibri" w:hAnsi="Calibri"/>
          <w:b/>
          <w:color w:val="6B7280"/>
          <w:sz w:val="17"/>
        </w:rPr>
        <w:t xml:space="preserve">  |  P0  |  Approver</w:t>
      </w:r>
    </w:p>
    <w:p>
      <w:pPr>
        <w:keepNext/>
        <w:spacing w:after="40"/>
        <w:ind w:left="216"/>
      </w:pPr>
      <w:r>
        <w:rPr>
          <w:rFonts w:ascii="Calibri" w:hAnsi="Calibri"/>
          <w:b/>
          <w:color w:val="14213D"/>
          <w:sz w:val="18"/>
        </w:rPr>
        <w:t xml:space="preserve">Execute: </w:t>
      </w:r>
      <w:r>
        <w:rPr>
          <w:rFonts w:ascii="Calibri" w:hAnsi="Calibri"/>
          <w:color w:val="14213D"/>
          <w:sz w:val="18"/>
        </w:rPr>
        <w:t>Approve/reject current step, retry decision and have wrong/non-current approver attempt.</w:t>
      </w:r>
    </w:p>
    <w:p>
      <w:pPr>
        <w:spacing w:after="120"/>
        <w:ind w:left="216"/>
      </w:pPr>
      <w:r>
        <w:rPr>
          <w:rFonts w:ascii="Calibri" w:hAnsi="Calibri"/>
          <w:b/>
          <w:color w:val="1F4D78"/>
          <w:sz w:val="18"/>
        </w:rPr>
        <w:t xml:space="preserve">Accept when: </w:t>
      </w:r>
      <w:r>
        <w:rPr>
          <w:rFonts w:ascii="Calibri" w:hAnsi="Calibri"/>
          <w:color w:val="14213D"/>
          <w:sz w:val="18"/>
        </w:rPr>
        <w:t>Only eligible current approver acts once; overall status advances correctly; requestor is notified.</w:t>
      </w:r>
    </w:p>
    <w:p>
      <w:pPr>
        <w:keepNext/>
        <w:spacing w:before="140" w:after="40"/>
      </w:pPr>
      <w:r>
        <w:rPr>
          <w:rFonts w:ascii="Calibri" w:hAnsi="Calibri"/>
          <w:b/>
          <w:color w:val="2E74B5"/>
          <w:sz w:val="18"/>
        </w:rPr>
        <w:t>ADM-007</w:t>
      </w:r>
      <w:r>
        <w:rPr>
          <w:rFonts w:ascii="Calibri" w:hAnsi="Calibri"/>
          <w:b/>
          <w:color w:val="6B7280"/>
          <w:sz w:val="17"/>
        </w:rPr>
        <w:t xml:space="preserve">  |  P1  |  User</w:t>
      </w:r>
    </w:p>
    <w:p>
      <w:pPr>
        <w:keepNext/>
        <w:spacing w:after="40"/>
        <w:ind w:left="216"/>
      </w:pPr>
      <w:r>
        <w:rPr>
          <w:rFonts w:ascii="Calibri" w:hAnsi="Calibri"/>
          <w:b/>
          <w:color w:val="14213D"/>
          <w:sz w:val="18"/>
        </w:rPr>
        <w:t xml:space="preserve">Execute: </w:t>
      </w:r>
      <w:r>
        <w:rPr>
          <w:rFonts w:ascii="Calibri" w:hAnsi="Calibri"/>
          <w:color w:val="14213D"/>
          <w:sz w:val="18"/>
        </w:rPr>
        <w:t>Open notification, toggle read/unread, mark all read and compare header/dashboard unread badge.</w:t>
      </w:r>
    </w:p>
    <w:p>
      <w:pPr>
        <w:spacing w:after="120"/>
        <w:ind w:left="216"/>
      </w:pPr>
      <w:r>
        <w:rPr>
          <w:rFonts w:ascii="Calibri" w:hAnsi="Calibri"/>
          <w:b/>
          <w:color w:val="1F4D78"/>
          <w:sz w:val="18"/>
        </w:rPr>
        <w:t xml:space="preserve">Accept when: </w:t>
      </w:r>
      <w:r>
        <w:rPr>
          <w:rFonts w:ascii="Calibri" w:hAnsi="Calibri"/>
          <w:color w:val="14213D"/>
          <w:sz w:val="18"/>
        </w:rPr>
        <w:t>Counts and state update consistently, are Business-scoped, and repeated actions are safe.</w:t>
      </w:r>
    </w:p>
    <w:p>
      <w:pPr>
        <w:keepNext/>
        <w:spacing w:before="140" w:after="40"/>
      </w:pPr>
      <w:r>
        <w:rPr>
          <w:rFonts w:ascii="Calibri" w:hAnsi="Calibri"/>
          <w:b/>
          <w:color w:val="2E74B5"/>
          <w:sz w:val="18"/>
        </w:rPr>
        <w:t>ADM-008</w:t>
      </w:r>
      <w:r>
        <w:rPr>
          <w:rFonts w:ascii="Calibri" w:hAnsi="Calibri"/>
          <w:b/>
          <w:color w:val="6B7280"/>
          <w:sz w:val="17"/>
        </w:rPr>
        <w:t xml:space="preserve">  |  P1  |  User/Admin</w:t>
      </w:r>
    </w:p>
    <w:p>
      <w:pPr>
        <w:keepNext/>
        <w:spacing w:after="40"/>
        <w:ind w:left="216"/>
      </w:pPr>
      <w:r>
        <w:rPr>
          <w:rFonts w:ascii="Calibri" w:hAnsi="Calibri"/>
          <w:b/>
          <w:color w:val="14213D"/>
          <w:sz w:val="18"/>
        </w:rPr>
        <w:t xml:space="preserve">Execute: </w:t>
      </w:r>
      <w:r>
        <w:rPr>
          <w:rFonts w:ascii="Calibri" w:hAnsi="Calibri"/>
          <w:color w:val="14213D"/>
          <w:sz w:val="18"/>
        </w:rPr>
        <w:t>Configure notification preferences by event/channel; trigger event and test disabled channel.</w:t>
      </w:r>
    </w:p>
    <w:p>
      <w:pPr>
        <w:spacing w:after="120"/>
        <w:ind w:left="216"/>
      </w:pPr>
      <w:r>
        <w:rPr>
          <w:rFonts w:ascii="Calibri" w:hAnsi="Calibri"/>
          <w:b/>
          <w:color w:val="1F4D78"/>
          <w:sz w:val="18"/>
        </w:rPr>
        <w:t xml:space="preserve">Accept when: </w:t>
      </w:r>
      <w:r>
        <w:rPr>
          <w:rFonts w:ascii="Calibri" w:hAnsi="Calibri"/>
          <w:color w:val="14213D"/>
          <w:sz w:val="18"/>
        </w:rPr>
        <w:t>Dispatch honors authoritative preference and records delivery/skip without duplicate notification.</w:t>
      </w:r>
    </w:p>
    <w:p>
      <w:pPr>
        <w:keepNext/>
        <w:spacing w:before="140" w:after="40"/>
      </w:pPr>
      <w:r>
        <w:rPr>
          <w:rFonts w:ascii="Calibri" w:hAnsi="Calibri"/>
          <w:b/>
          <w:color w:val="2E74B5"/>
          <w:sz w:val="18"/>
        </w:rPr>
        <w:t>ADM-009</w:t>
      </w:r>
      <w:r>
        <w:rPr>
          <w:rFonts w:ascii="Calibri" w:hAnsi="Calibri"/>
          <w:b/>
          <w:color w:val="6B7280"/>
          <w:sz w:val="17"/>
        </w:rPr>
        <w:t xml:space="preserve">  |  P1  |  Notification admin</w:t>
      </w:r>
    </w:p>
    <w:p>
      <w:pPr>
        <w:keepNext/>
        <w:spacing w:after="40"/>
        <w:ind w:left="216"/>
      </w:pPr>
      <w:r>
        <w:rPr>
          <w:rFonts w:ascii="Calibri" w:hAnsi="Calibri"/>
          <w:b/>
          <w:color w:val="14213D"/>
          <w:sz w:val="18"/>
        </w:rPr>
        <w:t xml:space="preserve">Execute: </w:t>
      </w:r>
      <w:r>
        <w:rPr>
          <w:rFonts w:ascii="Calibri" w:hAnsi="Calibri"/>
          <w:color w:val="14213D"/>
          <w:sz w:val="18"/>
        </w:rPr>
        <w:t>Create/edit template with variables; test unknown variable, unsafe markup and overlong content.</w:t>
      </w:r>
    </w:p>
    <w:p>
      <w:pPr>
        <w:spacing w:after="120"/>
        <w:ind w:left="216"/>
      </w:pPr>
      <w:r>
        <w:rPr>
          <w:rFonts w:ascii="Calibri" w:hAnsi="Calibri"/>
          <w:b/>
          <w:color w:val="1F4D78"/>
          <w:sz w:val="18"/>
        </w:rPr>
        <w:t xml:space="preserve">Accept when: </w:t>
      </w:r>
      <w:r>
        <w:rPr>
          <w:rFonts w:ascii="Calibri" w:hAnsi="Calibri"/>
          <w:color w:val="14213D"/>
          <w:sz w:val="18"/>
        </w:rPr>
        <w:t>Only allow-listed data is rendered safely; invalid/unsafe template is rejected.</w:t>
      </w:r>
    </w:p>
    <w:p>
      <w:pPr>
        <w:keepNext/>
        <w:spacing w:before="140" w:after="40"/>
      </w:pPr>
      <w:r>
        <w:rPr>
          <w:rFonts w:ascii="Calibri" w:hAnsi="Calibri"/>
          <w:b/>
          <w:color w:val="2E74B5"/>
          <w:sz w:val="18"/>
        </w:rPr>
        <w:t>ADM-010</w:t>
      </w:r>
      <w:r>
        <w:rPr>
          <w:rFonts w:ascii="Calibri" w:hAnsi="Calibri"/>
          <w:b/>
          <w:color w:val="6B7280"/>
          <w:sz w:val="17"/>
        </w:rPr>
        <w:t xml:space="preserve">  |  P0  |  Auditor</w:t>
      </w:r>
    </w:p>
    <w:p>
      <w:pPr>
        <w:keepNext/>
        <w:spacing w:after="40"/>
        <w:ind w:left="216"/>
      </w:pPr>
      <w:r>
        <w:rPr>
          <w:rFonts w:ascii="Calibri" w:hAnsi="Calibri"/>
          <w:b/>
          <w:color w:val="14213D"/>
          <w:sz w:val="18"/>
        </w:rPr>
        <w:t xml:space="preserve">Execute: </w:t>
      </w:r>
      <w:r>
        <w:rPr>
          <w:rFonts w:ascii="Calibri" w:hAnsi="Calibri"/>
          <w:color w:val="14213D"/>
          <w:sz w:val="18"/>
        </w:rPr>
        <w:t>Filter audit by actor/action/entity/source/date; inspect critical create/update/status/AI/admin events.</w:t>
      </w:r>
    </w:p>
    <w:p>
      <w:pPr>
        <w:spacing w:after="120"/>
        <w:ind w:left="216"/>
      </w:pPr>
      <w:r>
        <w:rPr>
          <w:rFonts w:ascii="Calibri" w:hAnsi="Calibri"/>
          <w:b/>
          <w:color w:val="1F4D78"/>
          <w:sz w:val="18"/>
        </w:rPr>
        <w:t xml:space="preserve">Accept when: </w:t>
      </w:r>
      <w:r>
        <w:rPr>
          <w:rFonts w:ascii="Calibri" w:hAnsi="Calibri"/>
          <w:color w:val="14213D"/>
          <w:sz w:val="18"/>
        </w:rPr>
        <w:t>Events are immutable, correctly attributed, tenant-scoped and contain safe before/after metadata without secrets.</w:t>
      </w:r>
    </w:p>
    <w:p>
      <w:r>
        <w:br w:type="page"/>
      </w:r>
    </w:p>
    <w:p>
      <w:pPr>
        <w:pStyle w:val="Heading2"/>
      </w:pPr>
      <w:r>
        <w:t>10.9 Objects, forms, views, workflows, and configuration history</w:t>
      </w:r>
    </w:p>
    <w:p>
      <w:pPr>
        <w:keepNext/>
        <w:spacing w:before="140" w:after="40"/>
      </w:pPr>
      <w:r>
        <w:rPr>
          <w:rFonts w:ascii="Calibri" w:hAnsi="Calibri"/>
          <w:b/>
          <w:color w:val="2E74B5"/>
          <w:sz w:val="18"/>
        </w:rPr>
        <w:t>META-001</w:t>
      </w:r>
      <w:r>
        <w:rPr>
          <w:rFonts w:ascii="Calibri" w:hAnsi="Calibri"/>
          <w:b/>
          <w:color w:val="6B7280"/>
          <w:sz w:val="17"/>
        </w:rPr>
        <w:t xml:space="preserve">  |  P0  |  Metadata manager</w:t>
      </w:r>
    </w:p>
    <w:p>
      <w:pPr>
        <w:keepNext/>
        <w:spacing w:after="40"/>
        <w:ind w:left="216"/>
      </w:pPr>
      <w:r>
        <w:rPr>
          <w:rFonts w:ascii="Calibri" w:hAnsi="Calibri"/>
          <w:b/>
          <w:color w:val="14213D"/>
          <w:sz w:val="18"/>
        </w:rPr>
        <w:t xml:space="preserve">Execute: </w:t>
      </w:r>
      <w:r>
        <w:rPr>
          <w:rFonts w:ascii="Calibri" w:hAnsi="Calibri"/>
          <w:color w:val="14213D"/>
          <w:sz w:val="18"/>
        </w:rPr>
        <w:t>Create object with valid snake_case key/labels/display field; attempt duplicate/invalid/unknown property.</w:t>
      </w:r>
    </w:p>
    <w:p>
      <w:pPr>
        <w:spacing w:after="120"/>
        <w:ind w:left="216"/>
      </w:pPr>
      <w:r>
        <w:rPr>
          <w:rFonts w:ascii="Calibri" w:hAnsi="Calibri"/>
          <w:b/>
          <w:color w:val="1F4D78"/>
          <w:sz w:val="18"/>
        </w:rPr>
        <w:t xml:space="preserve">Accept when: </w:t>
      </w:r>
      <w:r>
        <w:rPr>
          <w:rFonts w:ascii="Calibri" w:hAnsi="Calibri"/>
          <w:color w:val="14213D"/>
          <w:sz w:val="18"/>
        </w:rPr>
        <w:t>Object metadata persists once; immutable key and strict schema rules enforce; navigation/list appears.</w:t>
      </w:r>
    </w:p>
    <w:p>
      <w:pPr>
        <w:keepNext/>
        <w:spacing w:before="140" w:after="40"/>
      </w:pPr>
      <w:r>
        <w:rPr>
          <w:rFonts w:ascii="Calibri" w:hAnsi="Calibri"/>
          <w:b/>
          <w:color w:val="2E74B5"/>
          <w:sz w:val="18"/>
        </w:rPr>
        <w:t>META-002</w:t>
      </w:r>
      <w:r>
        <w:rPr>
          <w:rFonts w:ascii="Calibri" w:hAnsi="Calibri"/>
          <w:b/>
          <w:color w:val="6B7280"/>
          <w:sz w:val="17"/>
        </w:rPr>
        <w:t xml:space="preserve">  |  P0  |  Metadata manager</w:t>
      </w:r>
    </w:p>
    <w:p>
      <w:pPr>
        <w:keepNext/>
        <w:spacing w:after="40"/>
        <w:ind w:left="216"/>
      </w:pPr>
      <w:r>
        <w:rPr>
          <w:rFonts w:ascii="Calibri" w:hAnsi="Calibri"/>
          <w:b/>
          <w:color w:val="14213D"/>
          <w:sz w:val="18"/>
        </w:rPr>
        <w:t xml:space="preserve">Execute: </w:t>
      </w:r>
      <w:r>
        <w:rPr>
          <w:rFonts w:ascii="Calibri" w:hAnsi="Calibri"/>
          <w:color w:val="14213D"/>
          <w:sz w:val="18"/>
        </w:rPr>
        <w:t>Add fields covering text, number, currency, boolean, date/time, email/phone/url, select/multiselect/status, user/Branch/relation/attachment.</w:t>
      </w:r>
    </w:p>
    <w:p>
      <w:pPr>
        <w:spacing w:after="120"/>
        <w:ind w:left="216"/>
      </w:pPr>
      <w:r>
        <w:rPr>
          <w:rFonts w:ascii="Calibri" w:hAnsi="Calibri"/>
          <w:b/>
          <w:color w:val="1F4D78"/>
          <w:sz w:val="18"/>
        </w:rPr>
        <w:t xml:space="preserve">Accept when: </w:t>
      </w:r>
      <w:r>
        <w:rPr>
          <w:rFonts w:ascii="Calibri" w:hAnsi="Calibri"/>
          <w:color w:val="14213D"/>
          <w:sz w:val="18"/>
        </w:rPr>
        <w:t>Each field type validates/render/saves correctly with options, bounds, defaults, visibility and read-only behavior.</w:t>
      </w:r>
    </w:p>
    <w:p>
      <w:pPr>
        <w:keepNext/>
        <w:spacing w:before="140" w:after="40"/>
      </w:pPr>
      <w:r>
        <w:rPr>
          <w:rFonts w:ascii="Calibri" w:hAnsi="Calibri"/>
          <w:b/>
          <w:color w:val="2E74B5"/>
          <w:sz w:val="18"/>
        </w:rPr>
        <w:t>META-003</w:t>
      </w:r>
      <w:r>
        <w:rPr>
          <w:rFonts w:ascii="Calibri" w:hAnsi="Calibri"/>
          <w:b/>
          <w:color w:val="6B7280"/>
          <w:sz w:val="17"/>
        </w:rPr>
        <w:t xml:space="preserve">  |  P0  |  Metadata manager</w:t>
      </w:r>
    </w:p>
    <w:p>
      <w:pPr>
        <w:keepNext/>
        <w:spacing w:after="40"/>
        <w:ind w:left="216"/>
      </w:pPr>
      <w:r>
        <w:rPr>
          <w:rFonts w:ascii="Calibri" w:hAnsi="Calibri"/>
          <w:b/>
          <w:color w:val="14213D"/>
          <w:sz w:val="18"/>
        </w:rPr>
        <w:t xml:space="preserve">Execute: </w:t>
      </w:r>
      <w:r>
        <w:rPr>
          <w:rFonts w:ascii="Calibri" w:hAnsi="Calibri"/>
          <w:color w:val="14213D"/>
          <w:sz w:val="18"/>
        </w:rPr>
        <w:t>Edit label/help/options, reorder, archive field and try changing immutable key/type incompatibly.</w:t>
      </w:r>
    </w:p>
    <w:p>
      <w:pPr>
        <w:spacing w:after="120"/>
        <w:ind w:left="216"/>
      </w:pPr>
      <w:r>
        <w:rPr>
          <w:rFonts w:ascii="Calibri" w:hAnsi="Calibri"/>
          <w:b/>
          <w:color w:val="1F4D78"/>
          <w:sz w:val="18"/>
        </w:rPr>
        <w:t xml:space="preserve">Accept when: </w:t>
      </w:r>
      <w:r>
        <w:rPr>
          <w:rFonts w:ascii="Calibri" w:hAnsi="Calibri"/>
          <w:color w:val="14213D"/>
          <w:sz w:val="18"/>
        </w:rPr>
        <w:t>Allowed metadata updates and order persist; archive hides new input but retains historical JSON values.</w:t>
      </w:r>
    </w:p>
    <w:p>
      <w:pPr>
        <w:keepNext/>
        <w:spacing w:before="140" w:after="40"/>
      </w:pPr>
      <w:r>
        <w:rPr>
          <w:rFonts w:ascii="Calibri" w:hAnsi="Calibri"/>
          <w:b/>
          <w:color w:val="2E74B5"/>
          <w:sz w:val="18"/>
        </w:rPr>
        <w:t>META-004</w:t>
      </w:r>
      <w:r>
        <w:rPr>
          <w:rFonts w:ascii="Calibri" w:hAnsi="Calibri"/>
          <w:b/>
          <w:color w:val="6B7280"/>
          <w:sz w:val="17"/>
        </w:rPr>
        <w:t xml:space="preserve">  |  P0  |  Record user</w:t>
      </w:r>
    </w:p>
    <w:p>
      <w:pPr>
        <w:keepNext/>
        <w:spacing w:after="40"/>
        <w:ind w:left="216"/>
      </w:pPr>
      <w:r>
        <w:rPr>
          <w:rFonts w:ascii="Calibri" w:hAnsi="Calibri"/>
          <w:b/>
          <w:color w:val="14213D"/>
          <w:sz w:val="18"/>
        </w:rPr>
        <w:t xml:space="preserve">Execute: </w:t>
      </w:r>
      <w:r>
        <w:rPr>
          <w:rFonts w:ascii="Calibri" w:hAnsi="Calibri"/>
          <w:color w:val="14213D"/>
          <w:sz w:val="18"/>
        </w:rPr>
        <w:t>Create/edit record with required/unique/default fields; test unknown, hidden/read-only injection and duplicate unique value.</w:t>
      </w:r>
    </w:p>
    <w:p>
      <w:pPr>
        <w:spacing w:after="120"/>
        <w:ind w:left="216"/>
      </w:pPr>
      <w:r>
        <w:rPr>
          <w:rFonts w:ascii="Calibri" w:hAnsi="Calibri"/>
          <w:b/>
          <w:color w:val="1F4D78"/>
          <w:sz w:val="18"/>
        </w:rPr>
        <w:t xml:space="preserve">Accept when: </w:t>
      </w:r>
      <w:r>
        <w:rPr>
          <w:rFonts w:ascii="Calibri" w:hAnsi="Calibri"/>
          <w:color w:val="14213D"/>
          <w:sz w:val="18"/>
        </w:rPr>
        <w:t>Server/database reload metadata, apply protected defaults and reject all forbidden/invalid values atomically.</w:t>
      </w:r>
    </w:p>
    <w:p>
      <w:pPr>
        <w:keepNext/>
        <w:spacing w:before="140" w:after="40"/>
      </w:pPr>
      <w:r>
        <w:rPr>
          <w:rFonts w:ascii="Calibri" w:hAnsi="Calibri"/>
          <w:b/>
          <w:color w:val="2E74B5"/>
          <w:sz w:val="18"/>
        </w:rPr>
        <w:t>META-005</w:t>
      </w:r>
      <w:r>
        <w:rPr>
          <w:rFonts w:ascii="Calibri" w:hAnsi="Calibri"/>
          <w:b/>
          <w:color w:val="6B7280"/>
          <w:sz w:val="17"/>
        </w:rPr>
        <w:t xml:space="preserve">  |  P0  |  Record user</w:t>
      </w:r>
    </w:p>
    <w:p>
      <w:pPr>
        <w:keepNext/>
        <w:spacing w:after="40"/>
        <w:ind w:left="216"/>
      </w:pPr>
      <w:r>
        <w:rPr>
          <w:rFonts w:ascii="Calibri" w:hAnsi="Calibri"/>
          <w:b/>
          <w:color w:val="14213D"/>
          <w:sz w:val="18"/>
        </w:rPr>
        <w:t xml:space="preserve">Execute: </w:t>
      </w:r>
      <w:r>
        <w:rPr>
          <w:rFonts w:ascii="Calibri" w:hAnsi="Calibri"/>
          <w:color w:val="14213D"/>
          <w:sz w:val="18"/>
        </w:rPr>
        <w:t>Set relation to valid record then Business B, archived target, wrong object and inaccessible Branch.</w:t>
      </w:r>
    </w:p>
    <w:p>
      <w:pPr>
        <w:spacing w:after="120"/>
        <w:ind w:left="216"/>
      </w:pPr>
      <w:r>
        <w:rPr>
          <w:rFonts w:ascii="Calibri" w:hAnsi="Calibri"/>
          <w:b/>
          <w:color w:val="1F4D78"/>
          <w:sz w:val="18"/>
        </w:rPr>
        <w:t xml:space="preserve">Accept when: </w:t>
      </w:r>
      <w:r>
        <w:rPr>
          <w:rFonts w:ascii="Calibri" w:hAnsi="Calibri"/>
          <w:color w:val="14213D"/>
          <w:sz w:val="18"/>
        </w:rPr>
        <w:t>Only active same-Business target of configured object and allowed Branch succeeds.</w:t>
      </w:r>
    </w:p>
    <w:p>
      <w:pPr>
        <w:keepNext/>
        <w:spacing w:before="140" w:after="40"/>
      </w:pPr>
      <w:r>
        <w:rPr>
          <w:rFonts w:ascii="Calibri" w:hAnsi="Calibri"/>
          <w:b/>
          <w:color w:val="2E74B5"/>
          <w:sz w:val="18"/>
        </w:rPr>
        <w:t>META-006</w:t>
      </w:r>
      <w:r>
        <w:rPr>
          <w:rFonts w:ascii="Calibri" w:hAnsi="Calibri"/>
          <w:b/>
          <w:color w:val="6B7280"/>
          <w:sz w:val="17"/>
        </w:rPr>
        <w:t xml:space="preserve">  |  P1  |  Record reader</w:t>
      </w:r>
    </w:p>
    <w:p>
      <w:pPr>
        <w:keepNext/>
        <w:spacing w:after="40"/>
        <w:ind w:left="216"/>
      </w:pPr>
      <w:r>
        <w:rPr>
          <w:rFonts w:ascii="Calibri" w:hAnsi="Calibri"/>
          <w:b/>
          <w:color w:val="14213D"/>
          <w:sz w:val="18"/>
        </w:rPr>
        <w:t xml:space="preserve">Execute: </w:t>
      </w:r>
      <w:r>
        <w:rPr>
          <w:rFonts w:ascii="Calibri" w:hAnsi="Calibri"/>
          <w:color w:val="14213D"/>
          <w:sz w:val="18"/>
        </w:rPr>
        <w:t>List/search/page through &gt;1 page while concurrent record is inserted; apply Branch filter.</w:t>
      </w:r>
    </w:p>
    <w:p>
      <w:pPr>
        <w:spacing w:after="120"/>
        <w:ind w:left="216"/>
      </w:pPr>
      <w:r>
        <w:rPr>
          <w:rFonts w:ascii="Calibri" w:hAnsi="Calibri"/>
          <w:b/>
          <w:color w:val="1F4D78"/>
          <w:sz w:val="18"/>
        </w:rPr>
        <w:t xml:space="preserve">Accept when: </w:t>
      </w:r>
      <w:r>
        <w:rPr>
          <w:rFonts w:ascii="Calibri" w:hAnsi="Calibri"/>
          <w:color w:val="14213D"/>
          <w:sz w:val="18"/>
        </w:rPr>
        <w:t>Keyset pagination has no duplicates/skips in stable order and respects Branch/record capability.</w:t>
      </w:r>
    </w:p>
    <w:p>
      <w:pPr>
        <w:keepNext/>
        <w:spacing w:before="140" w:after="40"/>
      </w:pPr>
      <w:r>
        <w:rPr>
          <w:rFonts w:ascii="Calibri" w:hAnsi="Calibri"/>
          <w:b/>
          <w:color w:val="2E74B5"/>
          <w:sz w:val="18"/>
        </w:rPr>
        <w:t>META-007</w:t>
      </w:r>
      <w:r>
        <w:rPr>
          <w:rFonts w:ascii="Calibri" w:hAnsi="Calibri"/>
          <w:b/>
          <w:color w:val="6B7280"/>
          <w:sz w:val="17"/>
        </w:rPr>
        <w:t xml:space="preserve">  |  P0  |  Form manager</w:t>
      </w:r>
    </w:p>
    <w:p>
      <w:pPr>
        <w:keepNext/>
        <w:spacing w:after="40"/>
        <w:ind w:left="216"/>
      </w:pPr>
      <w:r>
        <w:rPr>
          <w:rFonts w:ascii="Calibri" w:hAnsi="Calibri"/>
          <w:b/>
          <w:color w:val="14213D"/>
          <w:sz w:val="18"/>
        </w:rPr>
        <w:t xml:space="preserve">Execute: </w:t>
      </w:r>
      <w:r>
        <w:rPr>
          <w:rFonts w:ascii="Calibri" w:hAnsi="Calibri"/>
          <w:color w:val="14213D"/>
          <w:sz w:val="18"/>
        </w:rPr>
        <w:t>Create create/edit form, arrange one/two-column sections, required/read-only/default/width properties and live preview.</w:t>
      </w:r>
    </w:p>
    <w:p>
      <w:pPr>
        <w:spacing w:after="120"/>
        <w:ind w:left="216"/>
      </w:pPr>
      <w:r>
        <w:rPr>
          <w:rFonts w:ascii="Calibri" w:hAnsi="Calibri"/>
          <w:b/>
          <w:color w:val="1F4D78"/>
          <w:sz w:val="18"/>
        </w:rPr>
        <w:t xml:space="preserve">Accept when: </w:t>
      </w:r>
      <w:r>
        <w:rPr>
          <w:rFonts w:ascii="Calibri" w:hAnsi="Calibri"/>
          <w:color w:val="14213D"/>
          <w:sz w:val="18"/>
        </w:rPr>
        <w:t>Saved version increments; preview/runtime use same layout; create form includes required writable fields.</w:t>
      </w:r>
    </w:p>
    <w:p>
      <w:pPr>
        <w:keepNext/>
        <w:spacing w:before="140" w:after="40"/>
      </w:pPr>
      <w:r>
        <w:rPr>
          <w:rFonts w:ascii="Calibri" w:hAnsi="Calibri"/>
          <w:b/>
          <w:color w:val="2E74B5"/>
          <w:sz w:val="18"/>
        </w:rPr>
        <w:t>META-008</w:t>
      </w:r>
      <w:r>
        <w:rPr>
          <w:rFonts w:ascii="Calibri" w:hAnsi="Calibri"/>
          <w:b/>
          <w:color w:val="6B7280"/>
          <w:sz w:val="17"/>
        </w:rPr>
        <w:t xml:space="preserve">  |  P0  |  Form manager</w:t>
      </w:r>
    </w:p>
    <w:p>
      <w:pPr>
        <w:keepNext/>
        <w:spacing w:after="40"/>
        <w:ind w:left="216"/>
      </w:pPr>
      <w:r>
        <w:rPr>
          <w:rFonts w:ascii="Calibri" w:hAnsi="Calibri"/>
          <w:b/>
          <w:color w:val="14213D"/>
          <w:sz w:val="18"/>
        </w:rPr>
        <w:t xml:space="preserve">Execute: </w:t>
      </w:r>
      <w:r>
        <w:rPr>
          <w:rFonts w:ascii="Calibri" w:hAnsi="Calibri"/>
          <w:color w:val="14213D"/>
          <w:sz w:val="18"/>
        </w:rPr>
        <w:t>Add all/any conditional rules using equals/not_equals/is_empty/is_not_empty; reference later/missing field or executable string.</w:t>
      </w:r>
    </w:p>
    <w:p>
      <w:pPr>
        <w:spacing w:after="120"/>
        <w:ind w:left="216"/>
      </w:pPr>
      <w:r>
        <w:rPr>
          <w:rFonts w:ascii="Calibri" w:hAnsi="Calibri"/>
          <w:b/>
          <w:color w:val="1F4D78"/>
          <w:sz w:val="18"/>
        </w:rPr>
        <w:t xml:space="preserve">Accept when: </w:t>
      </w:r>
      <w:r>
        <w:rPr>
          <w:rFonts w:ascii="Calibri" w:hAnsi="Calibri"/>
          <w:color w:val="14213D"/>
          <w:sz w:val="18"/>
        </w:rPr>
        <w:t>Only prior fields and allow-listed AST accepted; browser/server condition evaluation agrees.</w:t>
      </w:r>
    </w:p>
    <w:p>
      <w:pPr>
        <w:keepNext/>
        <w:spacing w:before="140" w:after="40"/>
      </w:pPr>
      <w:r>
        <w:rPr>
          <w:rFonts w:ascii="Calibri" w:hAnsi="Calibri"/>
          <w:b/>
          <w:color w:val="2E74B5"/>
          <w:sz w:val="18"/>
        </w:rPr>
        <w:t>META-009</w:t>
      </w:r>
      <w:r>
        <w:rPr>
          <w:rFonts w:ascii="Calibri" w:hAnsi="Calibri"/>
          <w:b/>
          <w:color w:val="6B7280"/>
          <w:sz w:val="17"/>
        </w:rPr>
        <w:t xml:space="preserve">  |  P0  |  Form user</w:t>
      </w:r>
    </w:p>
    <w:p>
      <w:pPr>
        <w:keepNext/>
        <w:spacing w:after="40"/>
        <w:ind w:left="216"/>
      </w:pPr>
      <w:r>
        <w:rPr>
          <w:rFonts w:ascii="Calibri" w:hAnsi="Calibri"/>
          <w:b/>
          <w:color w:val="14213D"/>
          <w:sz w:val="18"/>
        </w:rPr>
        <w:t xml:space="preserve">Execute: </w:t>
      </w:r>
      <w:r>
        <w:rPr>
          <w:rFonts w:ascii="Calibri" w:hAnsi="Calibri"/>
          <w:color w:val="14213D"/>
          <w:sz w:val="18"/>
        </w:rPr>
        <w:t>Submit create/edit form with fields hidden/shown by conditions; craft hidden/read-only/unknown values.</w:t>
      </w:r>
    </w:p>
    <w:p>
      <w:pPr>
        <w:spacing w:after="120"/>
        <w:ind w:left="216"/>
      </w:pPr>
      <w:r>
        <w:rPr>
          <w:rFonts w:ascii="Calibri" w:hAnsi="Calibri"/>
          <w:b/>
          <w:color w:val="1F4D78"/>
          <w:sz w:val="18"/>
        </w:rPr>
        <w:t xml:space="preserve">Accept when: </w:t>
      </w:r>
      <w:r>
        <w:rPr>
          <w:rFonts w:ascii="Calibri" w:hAnsi="Calibri"/>
          <w:color w:val="14213D"/>
          <w:sz w:val="18"/>
        </w:rPr>
        <w:t>Only authoritative visible/writable values apply; edit merges omitted values; invalid injection rejected.</w:t>
      </w:r>
    </w:p>
    <w:p>
      <w:pPr>
        <w:keepNext/>
        <w:spacing w:before="140" w:after="40"/>
      </w:pPr>
      <w:r>
        <w:rPr>
          <w:rFonts w:ascii="Calibri" w:hAnsi="Calibri"/>
          <w:b/>
          <w:color w:val="2E74B5"/>
          <w:sz w:val="18"/>
        </w:rPr>
        <w:t>META-010</w:t>
      </w:r>
      <w:r>
        <w:rPr>
          <w:rFonts w:ascii="Calibri" w:hAnsi="Calibri"/>
          <w:b/>
          <w:color w:val="6B7280"/>
          <w:sz w:val="17"/>
        </w:rPr>
        <w:t xml:space="preserve">  |  P0  |  View manager</w:t>
      </w:r>
    </w:p>
    <w:p>
      <w:pPr>
        <w:keepNext/>
        <w:spacing w:after="40"/>
        <w:ind w:left="216"/>
      </w:pPr>
      <w:r>
        <w:rPr>
          <w:rFonts w:ascii="Calibri" w:hAnsi="Calibri"/>
          <w:b/>
          <w:color w:val="14213D"/>
          <w:sz w:val="18"/>
        </w:rPr>
        <w:t xml:space="preserve">Execute: </w:t>
      </w:r>
      <w:r>
        <w:rPr>
          <w:rFonts w:ascii="Calibri" w:hAnsi="Calibri"/>
          <w:color w:val="14213D"/>
          <w:sz w:val="18"/>
        </w:rPr>
        <w:t>Create table/cards/kanban shared view with columns, filters, sorts, grouping, search, page size and Branch filter.</w:t>
      </w:r>
    </w:p>
    <w:p>
      <w:pPr>
        <w:spacing w:after="120"/>
        <w:ind w:left="216"/>
      </w:pPr>
      <w:r>
        <w:rPr>
          <w:rFonts w:ascii="Calibri" w:hAnsi="Calibri"/>
          <w:b/>
          <w:color w:val="1F4D78"/>
          <w:sz w:val="18"/>
        </w:rPr>
        <w:t xml:space="preserve">Accept when: </w:t>
      </w:r>
      <w:r>
        <w:rPr>
          <w:rFonts w:ascii="Calibri" w:hAnsi="Calibri"/>
          <w:color w:val="14213D"/>
          <w:sz w:val="18"/>
        </w:rPr>
        <w:t>Runtime results and layout match definition across search/filter/sort/group/pagination; no arbitrary code accepted.</w:t>
      </w:r>
    </w:p>
    <w:p>
      <w:pPr>
        <w:keepNext/>
        <w:spacing w:before="140" w:after="40"/>
      </w:pPr>
      <w:r>
        <w:rPr>
          <w:rFonts w:ascii="Calibri" w:hAnsi="Calibri"/>
          <w:b/>
          <w:color w:val="2E74B5"/>
          <w:sz w:val="18"/>
        </w:rPr>
        <w:t>META-011</w:t>
      </w:r>
      <w:r>
        <w:rPr>
          <w:rFonts w:ascii="Calibri" w:hAnsi="Calibri"/>
          <w:b/>
          <w:color w:val="6B7280"/>
          <w:sz w:val="17"/>
        </w:rPr>
        <w:t xml:space="preserve">  |  P0  |  Users</w:t>
      </w:r>
    </w:p>
    <w:p>
      <w:pPr>
        <w:keepNext/>
        <w:spacing w:after="40"/>
        <w:ind w:left="216"/>
      </w:pPr>
      <w:r>
        <w:rPr>
          <w:rFonts w:ascii="Calibri" w:hAnsi="Calibri"/>
          <w:b/>
          <w:color w:val="14213D"/>
          <w:sz w:val="18"/>
        </w:rPr>
        <w:t xml:space="preserve">Execute: </w:t>
      </w:r>
      <w:r>
        <w:rPr>
          <w:rFonts w:ascii="Calibri" w:hAnsi="Calibri"/>
          <w:color w:val="14213D"/>
          <w:sz w:val="18"/>
        </w:rPr>
        <w:t>Create personal view then access as another member; create shared view as unauthorized role.</w:t>
      </w:r>
    </w:p>
    <w:p>
      <w:pPr>
        <w:spacing w:after="120"/>
        <w:ind w:left="216"/>
      </w:pPr>
      <w:r>
        <w:rPr>
          <w:rFonts w:ascii="Calibri" w:hAnsi="Calibri"/>
          <w:b/>
          <w:color w:val="1F4D78"/>
          <w:sz w:val="18"/>
        </w:rPr>
        <w:t xml:space="preserve">Accept when: </w:t>
      </w:r>
      <w:r>
        <w:rPr>
          <w:rFonts w:ascii="Calibri" w:hAnsi="Calibri"/>
          <w:color w:val="14213D"/>
          <w:sz w:val="18"/>
        </w:rPr>
        <w:t>Personal view is owner-only; shared view follows record read; only metadata manager can mutate shared definition.</w:t>
      </w:r>
    </w:p>
    <w:p>
      <w:pPr>
        <w:keepNext/>
        <w:spacing w:before="140" w:after="40"/>
      </w:pPr>
      <w:r>
        <w:rPr>
          <w:rFonts w:ascii="Calibri" w:hAnsi="Calibri"/>
          <w:b/>
          <w:color w:val="2E74B5"/>
          <w:sz w:val="18"/>
        </w:rPr>
        <w:t>META-012</w:t>
      </w:r>
      <w:r>
        <w:rPr>
          <w:rFonts w:ascii="Calibri" w:hAnsi="Calibri"/>
          <w:b/>
          <w:color w:val="6B7280"/>
          <w:sz w:val="17"/>
        </w:rPr>
        <w:t xml:space="preserve">  |  P0  |  Workflow manager</w:t>
      </w:r>
    </w:p>
    <w:p>
      <w:pPr>
        <w:keepNext/>
        <w:spacing w:after="40"/>
        <w:ind w:left="216"/>
      </w:pPr>
      <w:r>
        <w:rPr>
          <w:rFonts w:ascii="Calibri" w:hAnsi="Calibri"/>
          <w:b/>
          <w:color w:val="14213D"/>
          <w:sz w:val="18"/>
        </w:rPr>
        <w:t xml:space="preserve">Execute: </w:t>
      </w:r>
      <w:r>
        <w:rPr>
          <w:rFonts w:ascii="Calibri" w:hAnsi="Calibri"/>
          <w:color w:val="14213D"/>
          <w:sz w:val="18"/>
        </w:rPr>
        <w:t>Create draft manual/record/schedule workflow with conditions/actions/retry; enable/disable and test invalid/executable metadata.</w:t>
      </w:r>
    </w:p>
    <w:p>
      <w:pPr>
        <w:spacing w:after="120"/>
        <w:ind w:left="216"/>
      </w:pPr>
      <w:r>
        <w:rPr>
          <w:rFonts w:ascii="Calibri" w:hAnsi="Calibri"/>
          <w:b/>
          <w:color w:val="1F4D78"/>
          <w:sz w:val="18"/>
        </w:rPr>
        <w:t xml:space="preserve">Accept when: </w:t>
      </w:r>
      <w:r>
        <w:rPr>
          <w:rFonts w:ascii="Calibri" w:hAnsi="Calibri"/>
          <w:color w:val="14213D"/>
          <w:sz w:val="18"/>
        </w:rPr>
        <w:t>Versioned definition accepts only allow-listed graph; invalid code/SQL/expressions rejected.</w:t>
      </w:r>
    </w:p>
    <w:p>
      <w:pPr>
        <w:keepNext/>
        <w:spacing w:before="140" w:after="40"/>
      </w:pPr>
      <w:r>
        <w:rPr>
          <w:rFonts w:ascii="Calibri" w:hAnsi="Calibri"/>
          <w:b/>
          <w:color w:val="2E74B5"/>
          <w:sz w:val="18"/>
        </w:rPr>
        <w:t>META-013</w:t>
      </w:r>
      <w:r>
        <w:rPr>
          <w:rFonts w:ascii="Calibri" w:hAnsi="Calibri"/>
          <w:b/>
          <w:color w:val="6B7280"/>
          <w:sz w:val="17"/>
        </w:rPr>
        <w:t xml:space="preserve">  |  P0  |  Workflow user</w:t>
      </w:r>
    </w:p>
    <w:p>
      <w:pPr>
        <w:keepNext/>
        <w:spacing w:after="40"/>
        <w:ind w:left="216"/>
      </w:pPr>
      <w:r>
        <w:rPr>
          <w:rFonts w:ascii="Calibri" w:hAnsi="Calibri"/>
          <w:b/>
          <w:color w:val="14213D"/>
          <w:sz w:val="18"/>
        </w:rPr>
        <w:t xml:space="preserve">Execute: </w:t>
      </w:r>
      <w:r>
        <w:rPr>
          <w:rFonts w:ascii="Calibri" w:hAnsi="Calibri"/>
          <w:color w:val="14213D"/>
          <w:sz w:val="18"/>
        </w:rPr>
        <w:t>Run test mode then manual/live mode; trigger record.created/updated/status_changed and verify ordered steps.</w:t>
      </w:r>
    </w:p>
    <w:p>
      <w:pPr>
        <w:spacing w:after="120"/>
        <w:ind w:left="216"/>
      </w:pPr>
      <w:r>
        <w:rPr>
          <w:rFonts w:ascii="Calibri" w:hAnsi="Calibri"/>
          <w:b/>
          <w:color w:val="1F4D78"/>
          <w:sz w:val="18"/>
        </w:rPr>
        <w:t xml:space="preserve">Accept when: </w:t>
      </w:r>
      <w:r>
        <w:rPr>
          <w:rFonts w:ascii="Calibri" w:hAnsi="Calibri"/>
          <w:color w:val="14213D"/>
          <w:sz w:val="18"/>
        </w:rPr>
        <w:t>Test has no side effect; live execution creates one idempotent run; steps, artifacts and audit match graph.</w:t>
      </w:r>
    </w:p>
    <w:p>
      <w:pPr>
        <w:keepNext/>
        <w:spacing w:before="140" w:after="40"/>
      </w:pPr>
      <w:r>
        <w:rPr>
          <w:rFonts w:ascii="Calibri" w:hAnsi="Calibri"/>
          <w:b/>
          <w:color w:val="2E74B5"/>
          <w:sz w:val="18"/>
        </w:rPr>
        <w:t>META-014</w:t>
      </w:r>
      <w:r>
        <w:rPr>
          <w:rFonts w:ascii="Calibri" w:hAnsi="Calibri"/>
          <w:b/>
          <w:color w:val="6B7280"/>
          <w:sz w:val="17"/>
        </w:rPr>
        <w:t xml:space="preserve">  |  P0  |  Workflow manager</w:t>
      </w:r>
    </w:p>
    <w:p>
      <w:pPr>
        <w:keepNext/>
        <w:spacing w:after="40"/>
        <w:ind w:left="216"/>
      </w:pPr>
      <w:r>
        <w:rPr>
          <w:rFonts w:ascii="Calibri" w:hAnsi="Calibri"/>
          <w:b/>
          <w:color w:val="14213D"/>
          <w:sz w:val="18"/>
        </w:rPr>
        <w:t xml:space="preserve">Execute: </w:t>
      </w:r>
      <w:r>
        <w:rPr>
          <w:rFonts w:ascii="Calibri" w:hAnsi="Calibri"/>
          <w:color w:val="14213D"/>
          <w:sz w:val="18"/>
        </w:rPr>
        <w:t>Force retryable action failure, retry/due dispatcher, then terminal failure and duplicate dispatch.</w:t>
      </w:r>
    </w:p>
    <w:p>
      <w:pPr>
        <w:spacing w:after="120"/>
        <w:ind w:left="216"/>
      </w:pPr>
      <w:r>
        <w:rPr>
          <w:rFonts w:ascii="Calibri" w:hAnsi="Calibri"/>
          <w:b/>
          <w:color w:val="1F4D78"/>
          <w:sz w:val="18"/>
        </w:rPr>
        <w:t xml:space="preserve">Accept when: </w:t>
      </w:r>
      <w:r>
        <w:rPr>
          <w:rFonts w:ascii="Calibri" w:hAnsi="Calibri"/>
          <w:color w:val="14213D"/>
          <w:sz w:val="18"/>
        </w:rPr>
        <w:t>Successful steps do not replay; attempts/backoff/error are bounded and safe; duplicate trigger does not duplicate effects.</w:t>
      </w:r>
    </w:p>
    <w:p>
      <w:pPr>
        <w:keepNext/>
        <w:spacing w:before="140" w:after="40"/>
      </w:pPr>
      <w:r>
        <w:rPr>
          <w:rFonts w:ascii="Calibri" w:hAnsi="Calibri"/>
          <w:b/>
          <w:color w:val="2E74B5"/>
          <w:sz w:val="18"/>
        </w:rPr>
        <w:t>META-015</w:t>
      </w:r>
      <w:r>
        <w:rPr>
          <w:rFonts w:ascii="Calibri" w:hAnsi="Calibri"/>
          <w:b/>
          <w:color w:val="6B7280"/>
          <w:sz w:val="17"/>
        </w:rPr>
        <w:t xml:space="preserve">  |  P1  |  Owner/Admin</w:t>
      </w:r>
    </w:p>
    <w:p>
      <w:pPr>
        <w:keepNext/>
        <w:spacing w:after="40"/>
        <w:ind w:left="216"/>
      </w:pPr>
      <w:r>
        <w:rPr>
          <w:rFonts w:ascii="Calibri" w:hAnsi="Calibri"/>
          <w:b/>
          <w:color w:val="14213D"/>
          <w:sz w:val="18"/>
        </w:rPr>
        <w:t xml:space="preserve">Execute: </w:t>
      </w:r>
      <w:r>
        <w:rPr>
          <w:rFonts w:ascii="Calibri" w:hAnsi="Calibri"/>
          <w:color w:val="14213D"/>
          <w:sz w:val="18"/>
        </w:rPr>
        <w:t>Compare configuration versions, restore earlier version and retry/concurrently mutate.</w:t>
      </w:r>
    </w:p>
    <w:p>
      <w:pPr>
        <w:spacing w:after="120"/>
        <w:ind w:left="216"/>
      </w:pPr>
      <w:r>
        <w:rPr>
          <w:rFonts w:ascii="Calibri" w:hAnsi="Calibri"/>
          <w:b/>
          <w:color w:val="1F4D78"/>
          <w:sz w:val="18"/>
        </w:rPr>
        <w:t xml:space="preserve">Accept when: </w:t>
      </w:r>
      <w:r>
        <w:rPr>
          <w:rFonts w:ascii="Calibri" w:hAnsi="Calibri"/>
          <w:color w:val="14213D"/>
          <w:sz w:val="18"/>
        </w:rPr>
        <w:t>Preview/diff is accurate; revision check prevents lost update; restore creates auditable new version and preserves records.</w:t>
      </w:r>
    </w:p>
    <w:p>
      <w:r>
        <w:br w:type="page"/>
      </w:r>
    </w:p>
    <w:p>
      <w:pPr>
        <w:pStyle w:val="Heading2"/>
      </w:pPr>
      <w:r>
        <w:t>10.10 AI interview, System Builder, Advisor, assessments, and recommendations</w:t>
      </w:r>
    </w:p>
    <w:p>
      <w:pPr>
        <w:keepNext/>
        <w:spacing w:before="140" w:after="40"/>
      </w:pPr>
      <w:r>
        <w:rPr>
          <w:rFonts w:ascii="Calibri" w:hAnsi="Calibri"/>
          <w:b/>
          <w:color w:val="2E74B5"/>
          <w:sz w:val="18"/>
        </w:rPr>
        <w:t>AI-001</w:t>
      </w:r>
      <w:r>
        <w:rPr>
          <w:rFonts w:ascii="Calibri" w:hAnsi="Calibri"/>
          <w:b/>
          <w:color w:val="6B7280"/>
          <w:sz w:val="17"/>
        </w:rPr>
        <w:t xml:space="preserve">  |  P1  |  Owner</w:t>
      </w:r>
    </w:p>
    <w:p>
      <w:pPr>
        <w:keepNext/>
        <w:spacing w:after="40"/>
        <w:ind w:left="216"/>
      </w:pPr>
      <w:r>
        <w:rPr>
          <w:rFonts w:ascii="Calibri" w:hAnsi="Calibri"/>
          <w:b/>
          <w:color w:val="14213D"/>
          <w:sz w:val="18"/>
        </w:rPr>
        <w:t xml:space="preserve">Execute: </w:t>
      </w:r>
      <w:r>
        <w:rPr>
          <w:rFonts w:ascii="Calibri" w:hAnsi="Calibri"/>
          <w:color w:val="14213D"/>
          <w:sz w:val="18"/>
        </w:rPr>
        <w:t>Start Business Interview, answer valid questions, leave/reopen, and complete recommendations.</w:t>
      </w:r>
    </w:p>
    <w:p>
      <w:pPr>
        <w:spacing w:after="120"/>
        <w:ind w:left="216"/>
      </w:pPr>
      <w:r>
        <w:rPr>
          <w:rFonts w:ascii="Calibri" w:hAnsi="Calibri"/>
          <w:b/>
          <w:color w:val="1F4D78"/>
          <w:sz w:val="18"/>
        </w:rPr>
        <w:t xml:space="preserve">Accept when: </w:t>
      </w:r>
      <w:r>
        <w:rPr>
          <w:rFonts w:ascii="Calibri" w:hAnsi="Calibri"/>
          <w:color w:val="14213D"/>
          <w:sz w:val="18"/>
        </w:rPr>
        <w:t>Progress persists by Business; answers validate; recommendation is deterministic/auditable and no direct config mutation occurs.</w:t>
      </w:r>
    </w:p>
    <w:p>
      <w:pPr>
        <w:keepNext/>
        <w:spacing w:before="140" w:after="40"/>
      </w:pPr>
      <w:r>
        <w:rPr>
          <w:rFonts w:ascii="Calibri" w:hAnsi="Calibri"/>
          <w:b/>
          <w:color w:val="2E74B5"/>
          <w:sz w:val="18"/>
        </w:rPr>
        <w:t>AI-002</w:t>
      </w:r>
      <w:r>
        <w:rPr>
          <w:rFonts w:ascii="Calibri" w:hAnsi="Calibri"/>
          <w:b/>
          <w:color w:val="6B7280"/>
          <w:sz w:val="17"/>
        </w:rPr>
        <w:t xml:space="preserve">  |  P0  |  Owner/Admin</w:t>
      </w:r>
    </w:p>
    <w:p>
      <w:pPr>
        <w:keepNext/>
        <w:spacing w:after="40"/>
        <w:ind w:left="216"/>
      </w:pPr>
      <w:r>
        <w:rPr>
          <w:rFonts w:ascii="Calibri" w:hAnsi="Calibri"/>
          <w:b/>
          <w:color w:val="14213D"/>
          <w:sz w:val="18"/>
        </w:rPr>
        <w:t xml:space="preserve">Execute: </w:t>
      </w:r>
      <w:r>
        <w:rPr>
          <w:rFonts w:ascii="Calibri" w:hAnsi="Calibri"/>
          <w:color w:val="14213D"/>
          <w:sz w:val="18"/>
        </w:rPr>
        <w:t>Start System Builder, request an allowed configuration change, review generated operations and impact.</w:t>
      </w:r>
    </w:p>
    <w:p>
      <w:pPr>
        <w:spacing w:after="120"/>
        <w:ind w:left="216"/>
      </w:pPr>
      <w:r>
        <w:rPr>
          <w:rFonts w:ascii="Calibri" w:hAnsi="Calibri"/>
          <w:b/>
          <w:color w:val="1F4D78"/>
          <w:sz w:val="18"/>
        </w:rPr>
        <w:t xml:space="preserve">Accept when: </w:t>
      </w:r>
      <w:r>
        <w:rPr>
          <w:rFonts w:ascii="Calibri" w:hAnsi="Calibri"/>
          <w:color w:val="14213D"/>
          <w:sz w:val="18"/>
        </w:rPr>
        <w:t>Proposal contains only strict allow-listed operations, base/target revision, rationale and warnings; no production change yet.</w:t>
      </w:r>
    </w:p>
    <w:p>
      <w:pPr>
        <w:keepNext/>
        <w:spacing w:before="140" w:after="40"/>
      </w:pPr>
      <w:r>
        <w:rPr>
          <w:rFonts w:ascii="Calibri" w:hAnsi="Calibri"/>
          <w:b/>
          <w:color w:val="2E74B5"/>
          <w:sz w:val="18"/>
        </w:rPr>
        <w:t>AI-003</w:t>
      </w:r>
      <w:r>
        <w:rPr>
          <w:rFonts w:ascii="Calibri" w:hAnsi="Calibri"/>
          <w:b/>
          <w:color w:val="6B7280"/>
          <w:sz w:val="17"/>
        </w:rPr>
        <w:t xml:space="preserve">  |  P0  |  Security reviewer</w:t>
      </w:r>
    </w:p>
    <w:p>
      <w:pPr>
        <w:keepNext/>
        <w:spacing w:after="40"/>
        <w:ind w:left="216"/>
      </w:pPr>
      <w:r>
        <w:rPr>
          <w:rFonts w:ascii="Calibri" w:hAnsi="Calibri"/>
          <w:b/>
          <w:color w:val="14213D"/>
          <w:sz w:val="18"/>
        </w:rPr>
        <w:t xml:space="preserve">Execute: </w:t>
      </w:r>
      <w:r>
        <w:rPr>
          <w:rFonts w:ascii="Calibri" w:hAnsi="Calibri"/>
          <w:color w:val="14213D"/>
          <w:sz w:val="18"/>
        </w:rPr>
        <w:t>Prompt for SQL, JavaScript, source edits, credentials, schema DDL, arbitrary API call and unknown JSON properties.</w:t>
      </w:r>
    </w:p>
    <w:p>
      <w:pPr>
        <w:spacing w:after="120"/>
        <w:ind w:left="216"/>
      </w:pPr>
      <w:r>
        <w:rPr>
          <w:rFonts w:ascii="Calibri" w:hAnsi="Calibri"/>
          <w:b/>
          <w:color w:val="1F4D78"/>
          <w:sz w:val="18"/>
        </w:rPr>
        <w:t xml:space="preserve">Accept when: </w:t>
      </w:r>
      <w:r>
        <w:rPr>
          <w:rFonts w:ascii="Calibri" w:hAnsi="Calibri"/>
          <w:color w:val="14213D"/>
          <w:sz w:val="18"/>
        </w:rPr>
        <w:t>Request/output is rejected or safely reframed; no executable content reaches apply boundary or secrets/logs.</w:t>
      </w:r>
    </w:p>
    <w:p>
      <w:pPr>
        <w:keepNext/>
        <w:spacing w:before="140" w:after="40"/>
      </w:pPr>
      <w:r>
        <w:rPr>
          <w:rFonts w:ascii="Calibri" w:hAnsi="Calibri"/>
          <w:b/>
          <w:color w:val="2E74B5"/>
          <w:sz w:val="18"/>
        </w:rPr>
        <w:t>AI-004</w:t>
      </w:r>
      <w:r>
        <w:rPr>
          <w:rFonts w:ascii="Calibri" w:hAnsi="Calibri"/>
          <w:b/>
          <w:color w:val="6B7280"/>
          <w:sz w:val="17"/>
        </w:rPr>
        <w:t xml:space="preserve">  |  P0  |  Reviewer</w:t>
      </w:r>
    </w:p>
    <w:p>
      <w:pPr>
        <w:keepNext/>
        <w:spacing w:after="40"/>
        <w:ind w:left="216"/>
      </w:pPr>
      <w:r>
        <w:rPr>
          <w:rFonts w:ascii="Calibri" w:hAnsi="Calibri"/>
          <w:b/>
          <w:color w:val="14213D"/>
          <w:sz w:val="18"/>
        </w:rPr>
        <w:t xml:space="preserve">Execute: </w:t>
      </w:r>
      <w:r>
        <w:rPr>
          <w:rFonts w:ascii="Calibri" w:hAnsi="Calibri"/>
          <w:color w:val="14213D"/>
          <w:sz w:val="18"/>
        </w:rPr>
        <w:t>Approve/reject proposal, apply approved proposal, try apply without approval/wrong capability/stale revision/double submit.</w:t>
      </w:r>
    </w:p>
    <w:p>
      <w:pPr>
        <w:spacing w:after="120"/>
        <w:ind w:left="216"/>
      </w:pPr>
      <w:r>
        <w:rPr>
          <w:rFonts w:ascii="Calibri" w:hAnsi="Calibri"/>
          <w:b/>
          <w:color w:val="1F4D78"/>
          <w:sz w:val="18"/>
        </w:rPr>
        <w:t xml:space="preserve">Accept when: </w:t>
      </w:r>
      <w:r>
        <w:rPr>
          <w:rFonts w:ascii="Calibri" w:hAnsi="Calibri"/>
          <w:color w:val="14213D"/>
          <w:sz w:val="18"/>
        </w:rPr>
        <w:t>Only authorized human-approved current revision applies once; every state transition audits.</w:t>
      </w:r>
    </w:p>
    <w:p>
      <w:pPr>
        <w:keepNext/>
        <w:spacing w:before="140" w:after="40"/>
      </w:pPr>
      <w:r>
        <w:rPr>
          <w:rFonts w:ascii="Calibri" w:hAnsi="Calibri"/>
          <w:b/>
          <w:color w:val="2E74B5"/>
          <w:sz w:val="18"/>
        </w:rPr>
        <w:t>AI-005</w:t>
      </w:r>
      <w:r>
        <w:rPr>
          <w:rFonts w:ascii="Calibri" w:hAnsi="Calibri"/>
          <w:b/>
          <w:color w:val="6B7280"/>
          <w:sz w:val="17"/>
        </w:rPr>
        <w:t xml:space="preserve">  |  P0  |  Owner/Admin</w:t>
      </w:r>
    </w:p>
    <w:p>
      <w:pPr>
        <w:keepNext/>
        <w:spacing w:after="40"/>
        <w:ind w:left="216"/>
      </w:pPr>
      <w:r>
        <w:rPr>
          <w:rFonts w:ascii="Calibri" w:hAnsi="Calibri"/>
          <w:b/>
          <w:color w:val="14213D"/>
          <w:sz w:val="18"/>
        </w:rPr>
        <w:t xml:space="preserve">Execute: </w:t>
      </w:r>
      <w:r>
        <w:rPr>
          <w:rFonts w:ascii="Calibri" w:hAnsi="Calibri"/>
          <w:color w:val="14213D"/>
          <w:sz w:val="18"/>
        </w:rPr>
        <w:t>Verify applied fields/forms/views/workflows/labels/modules, then restore previous system version.</w:t>
      </w:r>
    </w:p>
    <w:p>
      <w:pPr>
        <w:spacing w:after="120"/>
        <w:ind w:left="216"/>
      </w:pPr>
      <w:r>
        <w:rPr>
          <w:rFonts w:ascii="Calibri" w:hAnsi="Calibri"/>
          <w:b/>
          <w:color w:val="1F4D78"/>
          <w:sz w:val="18"/>
        </w:rPr>
        <w:t xml:space="preserve">Accept when: </w:t>
      </w:r>
      <w:r>
        <w:rPr>
          <w:rFonts w:ascii="Calibri" w:hAnsi="Calibri"/>
          <w:color w:val="14213D"/>
          <w:sz w:val="18"/>
        </w:rPr>
        <w:t>Effective configuration matches reviewed diff; rollback returns prior config without deleting operational records.</w:t>
      </w:r>
    </w:p>
    <w:p>
      <w:pPr>
        <w:keepNext/>
        <w:spacing w:before="140" w:after="40"/>
      </w:pPr>
      <w:r>
        <w:rPr>
          <w:rFonts w:ascii="Calibri" w:hAnsi="Calibri"/>
          <w:b/>
          <w:color w:val="2E74B5"/>
          <w:sz w:val="18"/>
        </w:rPr>
        <w:t>AI-006</w:t>
      </w:r>
      <w:r>
        <w:rPr>
          <w:rFonts w:ascii="Calibri" w:hAnsi="Calibri"/>
          <w:b/>
          <w:color w:val="6B7280"/>
          <w:sz w:val="17"/>
        </w:rPr>
        <w:t xml:space="preserve">  |  P1  |  Developer-mode admin</w:t>
      </w:r>
    </w:p>
    <w:p>
      <w:pPr>
        <w:keepNext/>
        <w:spacing w:after="40"/>
        <w:ind w:left="216"/>
      </w:pPr>
      <w:r>
        <w:rPr>
          <w:rFonts w:ascii="Calibri" w:hAnsi="Calibri"/>
          <w:b/>
          <w:color w:val="14213D"/>
          <w:sz w:val="18"/>
        </w:rPr>
        <w:t xml:space="preserve">Execute: </w:t>
      </w:r>
      <w:r>
        <w:rPr>
          <w:rFonts w:ascii="Calibri" w:hAnsi="Calibri"/>
          <w:color w:val="14213D"/>
          <w:sz w:val="18"/>
        </w:rPr>
        <w:t>Open developer DSL only with developer=1, create/review proposal lifecycle and direct URL without flag.</w:t>
      </w:r>
    </w:p>
    <w:p>
      <w:pPr>
        <w:spacing w:after="120"/>
        <w:ind w:left="216"/>
      </w:pPr>
      <w:r>
        <w:rPr>
          <w:rFonts w:ascii="Calibri" w:hAnsi="Calibri"/>
          <w:b/>
          <w:color w:val="1F4D78"/>
          <w:sz w:val="18"/>
        </w:rPr>
        <w:t xml:space="preserve">Accept when: </w:t>
      </w:r>
      <w:r>
        <w:rPr>
          <w:rFonts w:ascii="Calibri" w:hAnsi="Calibri"/>
          <w:color w:val="14213D"/>
          <w:sz w:val="18"/>
        </w:rPr>
        <w:t>Normal users redirect to System Builder; review controls and safety boundary enforce identical authorization.</w:t>
      </w:r>
    </w:p>
    <w:p>
      <w:pPr>
        <w:keepNext/>
        <w:spacing w:before="140" w:after="40"/>
      </w:pPr>
      <w:r>
        <w:rPr>
          <w:rFonts w:ascii="Calibri" w:hAnsi="Calibri"/>
          <w:b/>
          <w:color w:val="2E74B5"/>
          <w:sz w:val="18"/>
        </w:rPr>
        <w:t>AI-007</w:t>
      </w:r>
      <w:r>
        <w:rPr>
          <w:rFonts w:ascii="Calibri" w:hAnsi="Calibri"/>
          <w:b/>
          <w:color w:val="6B7280"/>
          <w:sz w:val="17"/>
        </w:rPr>
        <w:t xml:space="preserve">  |  P0  |  Owner/Manager</w:t>
      </w:r>
    </w:p>
    <w:p>
      <w:pPr>
        <w:keepNext/>
        <w:spacing w:after="40"/>
        <w:ind w:left="216"/>
      </w:pPr>
      <w:r>
        <w:rPr>
          <w:rFonts w:ascii="Calibri" w:hAnsi="Calibri"/>
          <w:b/>
          <w:color w:val="14213D"/>
          <w:sz w:val="18"/>
        </w:rPr>
        <w:t xml:space="preserve">Execute: </w:t>
      </w:r>
      <w:r>
        <w:rPr>
          <w:rFonts w:ascii="Calibri" w:hAnsi="Calibri"/>
          <w:color w:val="14213D"/>
          <w:sz w:val="18"/>
        </w:rPr>
        <w:t>Start Advisor with accessible/all Branch scope; ask sales, reorder and slow-moving questions with sufficient data.</w:t>
      </w:r>
    </w:p>
    <w:p>
      <w:pPr>
        <w:spacing w:after="120"/>
        <w:ind w:left="216"/>
      </w:pPr>
      <w:r>
        <w:rPr>
          <w:rFonts w:ascii="Calibri" w:hAnsi="Calibri"/>
          <w:b/>
          <w:color w:val="1F4D78"/>
          <w:sz w:val="18"/>
        </w:rPr>
        <w:t xml:space="preserve">Accept when: </w:t>
      </w:r>
      <w:r>
        <w:rPr>
          <w:rFonts w:ascii="Calibri" w:hAnsi="Calibri"/>
          <w:color w:val="14213D"/>
          <w:sz w:val="18"/>
        </w:rPr>
        <w:t>Facts, metrics, observations and recommendations are separately labeled; evidence matches approved records and Branch scope.</w:t>
      </w:r>
    </w:p>
    <w:p>
      <w:pPr>
        <w:keepNext/>
        <w:spacing w:before="140" w:after="40"/>
      </w:pPr>
      <w:r>
        <w:rPr>
          <w:rFonts w:ascii="Calibri" w:hAnsi="Calibri"/>
          <w:b/>
          <w:color w:val="2E74B5"/>
          <w:sz w:val="18"/>
        </w:rPr>
        <w:t>AI-008</w:t>
      </w:r>
      <w:r>
        <w:rPr>
          <w:rFonts w:ascii="Calibri" w:hAnsi="Calibri"/>
          <w:b/>
          <w:color w:val="6B7280"/>
          <w:sz w:val="17"/>
        </w:rPr>
        <w:t xml:space="preserve">  |  P0  |  Branch-limited user</w:t>
      </w:r>
    </w:p>
    <w:p>
      <w:pPr>
        <w:keepNext/>
        <w:spacing w:after="40"/>
        <w:ind w:left="216"/>
      </w:pPr>
      <w:r>
        <w:rPr>
          <w:rFonts w:ascii="Calibri" w:hAnsi="Calibri"/>
          <w:b/>
          <w:color w:val="14213D"/>
          <w:sz w:val="18"/>
        </w:rPr>
        <w:t xml:space="preserve">Execute: </w:t>
      </w:r>
      <w:r>
        <w:rPr>
          <w:rFonts w:ascii="Calibri" w:hAnsi="Calibri"/>
          <w:color w:val="14213D"/>
          <w:sz w:val="18"/>
        </w:rPr>
        <w:t>Ask Advisor about denied Branch/Business B, personal data or unavailable metric.</w:t>
      </w:r>
    </w:p>
    <w:p>
      <w:pPr>
        <w:spacing w:after="120"/>
        <w:ind w:left="216"/>
      </w:pPr>
      <w:r>
        <w:rPr>
          <w:rFonts w:ascii="Calibri" w:hAnsi="Calibri"/>
          <w:b/>
          <w:color w:val="1F4D78"/>
          <w:sz w:val="18"/>
        </w:rPr>
        <w:t xml:space="preserve">Accept when: </w:t>
      </w:r>
      <w:r>
        <w:rPr>
          <w:rFonts w:ascii="Calibri" w:hAnsi="Calibri"/>
          <w:color w:val="14213D"/>
          <w:sz w:val="18"/>
        </w:rPr>
        <w:t>No hidden data/existence leaks; insufficient data is stated; follow-ups stay within permitted scope.</w:t>
      </w:r>
    </w:p>
    <w:p>
      <w:pPr>
        <w:keepNext/>
        <w:spacing w:before="140" w:after="40"/>
      </w:pPr>
      <w:r>
        <w:rPr>
          <w:rFonts w:ascii="Calibri" w:hAnsi="Calibri"/>
          <w:b/>
          <w:color w:val="2E74B5"/>
          <w:sz w:val="18"/>
        </w:rPr>
        <w:t>AI-009</w:t>
      </w:r>
      <w:r>
        <w:rPr>
          <w:rFonts w:ascii="Calibri" w:hAnsi="Calibri"/>
          <w:b/>
          <w:color w:val="6B7280"/>
          <w:sz w:val="17"/>
        </w:rPr>
        <w:t xml:space="preserve">  |  P1  |  Owner</w:t>
      </w:r>
    </w:p>
    <w:p>
      <w:pPr>
        <w:keepNext/>
        <w:spacing w:after="40"/>
        <w:ind w:left="216"/>
      </w:pPr>
      <w:r>
        <w:rPr>
          <w:rFonts w:ascii="Calibri" w:hAnsi="Calibri"/>
          <w:b/>
          <w:color w:val="14213D"/>
          <w:sz w:val="18"/>
        </w:rPr>
        <w:t xml:space="preserve">Execute: </w:t>
      </w:r>
      <w:r>
        <w:rPr>
          <w:rFonts w:ascii="Calibri" w:hAnsi="Calibri"/>
          <w:color w:val="14213D"/>
          <w:sz w:val="18"/>
        </w:rPr>
        <w:t>Save health assessment with boundary scores, revisit history/details and attempt invalid/missing answers.</w:t>
      </w:r>
    </w:p>
    <w:p>
      <w:pPr>
        <w:spacing w:after="120"/>
        <w:ind w:left="216"/>
      </w:pPr>
      <w:r>
        <w:rPr>
          <w:rFonts w:ascii="Calibri" w:hAnsi="Calibri"/>
          <w:b/>
          <w:color w:val="1F4D78"/>
          <w:sz w:val="18"/>
        </w:rPr>
        <w:t xml:space="preserve">Accept when: </w:t>
      </w:r>
      <w:r>
        <w:rPr>
          <w:rFonts w:ascii="Calibri" w:hAnsi="Calibri"/>
          <w:color w:val="14213D"/>
          <w:sz w:val="18"/>
        </w:rPr>
        <w:t>Score/category/recommendations are reproducible, versioned and Business-scoped; invalid assessment rejected.</w:t>
      </w:r>
    </w:p>
    <w:p>
      <w:pPr>
        <w:keepNext/>
        <w:spacing w:before="140" w:after="40"/>
      </w:pPr>
      <w:r>
        <w:rPr>
          <w:rFonts w:ascii="Calibri" w:hAnsi="Calibri"/>
          <w:b/>
          <w:color w:val="2E74B5"/>
          <w:sz w:val="18"/>
        </w:rPr>
        <w:t>AI-010</w:t>
      </w:r>
      <w:r>
        <w:rPr>
          <w:rFonts w:ascii="Calibri" w:hAnsi="Calibri"/>
          <w:b/>
          <w:color w:val="6B7280"/>
          <w:sz w:val="17"/>
        </w:rPr>
        <w:t xml:space="preserve">  |  P1  |  Owner/Manager</w:t>
      </w:r>
    </w:p>
    <w:p>
      <w:pPr>
        <w:keepNext/>
        <w:spacing w:after="40"/>
        <w:ind w:left="216"/>
      </w:pPr>
      <w:r>
        <w:rPr>
          <w:rFonts w:ascii="Calibri" w:hAnsi="Calibri"/>
          <w:b/>
          <w:color w:val="14213D"/>
          <w:sz w:val="18"/>
        </w:rPr>
        <w:t xml:space="preserve">Execute: </w:t>
      </w:r>
      <w:r>
        <w:rPr>
          <w:rFonts w:ascii="Calibri" w:hAnsi="Calibri"/>
          <w:color w:val="14213D"/>
          <w:sz w:val="18"/>
        </w:rPr>
        <w:t>Refresh recommendations from approved metrics; transition new -&gt; viewed/accepted/dismissed/applied where supported.</w:t>
      </w:r>
    </w:p>
    <w:p>
      <w:pPr>
        <w:spacing w:after="120"/>
        <w:ind w:left="216"/>
      </w:pPr>
      <w:r>
        <w:rPr>
          <w:rFonts w:ascii="Calibri" w:hAnsi="Calibri"/>
          <w:b/>
          <w:color w:val="1F4D78"/>
          <w:sz w:val="18"/>
        </w:rPr>
        <w:t xml:space="preserve">Accept when: </w:t>
      </w:r>
      <w:r>
        <w:rPr>
          <w:rFonts w:ascii="Calibri" w:hAnsi="Calibri"/>
          <w:color w:val="14213D"/>
          <w:sz w:val="18"/>
        </w:rPr>
        <w:t>Evidence and status history are accurate; repeated refresh/transition avoids duplicate/conflicting recommendations.</w:t>
      </w:r>
    </w:p>
    <w:p>
      <w:pPr>
        <w:keepNext/>
        <w:spacing w:before="140" w:after="40"/>
      </w:pPr>
      <w:r>
        <w:rPr>
          <w:rFonts w:ascii="Calibri" w:hAnsi="Calibri"/>
          <w:b/>
          <w:color w:val="2E74B5"/>
          <w:sz w:val="18"/>
        </w:rPr>
        <w:t>AI-011</w:t>
      </w:r>
      <w:r>
        <w:rPr>
          <w:rFonts w:ascii="Calibri" w:hAnsi="Calibri"/>
          <w:b/>
          <w:color w:val="6B7280"/>
          <w:sz w:val="17"/>
        </w:rPr>
        <w:t xml:space="preserve">  |  P0  |  Security reviewer</w:t>
      </w:r>
    </w:p>
    <w:p>
      <w:pPr>
        <w:keepNext/>
        <w:spacing w:after="40"/>
        <w:ind w:left="216"/>
      </w:pPr>
      <w:r>
        <w:rPr>
          <w:rFonts w:ascii="Calibri" w:hAnsi="Calibri"/>
          <w:b/>
          <w:color w:val="14213D"/>
          <w:sz w:val="18"/>
        </w:rPr>
        <w:t xml:space="preserve">Execute: </w:t>
      </w:r>
      <w:r>
        <w:rPr>
          <w:rFonts w:ascii="Calibri" w:hAnsi="Calibri"/>
          <w:color w:val="14213D"/>
          <w:sz w:val="18"/>
        </w:rPr>
        <w:t>Inspect AI prompts/responses, audit/log storage, error paths and provider failure/timeout.</w:t>
      </w:r>
    </w:p>
    <w:p>
      <w:pPr>
        <w:spacing w:after="120"/>
        <w:ind w:left="216"/>
      </w:pPr>
      <w:r>
        <w:rPr>
          <w:rFonts w:ascii="Calibri" w:hAnsi="Calibri"/>
          <w:b/>
          <w:color w:val="1F4D78"/>
          <w:sz w:val="18"/>
        </w:rPr>
        <w:t xml:space="preserve">Accept when: </w:t>
      </w:r>
      <w:r>
        <w:rPr>
          <w:rFonts w:ascii="Calibri" w:hAnsi="Calibri"/>
          <w:color w:val="14213D"/>
          <w:sz w:val="18"/>
        </w:rPr>
        <w:t>No credentials/unauthorized raw data; failure is recoverable, no partial apply, and user gets safe actionable message.</w:t>
      </w:r>
    </w:p>
    <w:p>
      <w:r>
        <w:br w:type="page"/>
      </w:r>
    </w:p>
    <w:p>
      <w:pPr>
        <w:pStyle w:val="Heading2"/>
      </w:pPr>
      <w:r>
        <w:t>10.11 Reports, files, PDFs, health, and recovery</w:t>
      </w:r>
    </w:p>
    <w:p>
      <w:pPr>
        <w:keepNext/>
        <w:spacing w:before="140" w:after="40"/>
      </w:pPr>
      <w:r>
        <w:rPr>
          <w:rFonts w:ascii="Calibri" w:hAnsi="Calibri"/>
          <w:b/>
          <w:color w:val="2E74B5"/>
          <w:sz w:val="18"/>
        </w:rPr>
        <w:t>INT-001</w:t>
      </w:r>
      <w:r>
        <w:rPr>
          <w:rFonts w:ascii="Calibri" w:hAnsi="Calibri"/>
          <w:b/>
          <w:color w:val="6B7280"/>
          <w:sz w:val="17"/>
        </w:rPr>
        <w:t xml:space="preserve">  |  P0  |  Authorized user</w:t>
      </w:r>
    </w:p>
    <w:p>
      <w:pPr>
        <w:keepNext/>
        <w:spacing w:after="40"/>
        <w:ind w:left="216"/>
      </w:pPr>
      <w:r>
        <w:rPr>
          <w:rFonts w:ascii="Calibri" w:hAnsi="Calibri"/>
          <w:b/>
          <w:color w:val="14213D"/>
          <w:sz w:val="18"/>
        </w:rPr>
        <w:t xml:space="preserve">Execute: </w:t>
      </w:r>
      <w:r>
        <w:rPr>
          <w:rFonts w:ascii="Calibri" w:hAnsi="Calibri"/>
          <w:color w:val="14213D"/>
          <w:sz w:val="18"/>
        </w:rPr>
        <w:t>Generate quotation and PO PDFs with 1, many and long lines; verify totals, branding, page breaks and download filename.</w:t>
      </w:r>
    </w:p>
    <w:p>
      <w:pPr>
        <w:spacing w:after="120"/>
        <w:ind w:left="216"/>
      </w:pPr>
      <w:r>
        <w:rPr>
          <w:rFonts w:ascii="Calibri" w:hAnsi="Calibri"/>
          <w:b/>
          <w:color w:val="1F4D78"/>
          <w:sz w:val="18"/>
        </w:rPr>
        <w:t xml:space="preserve">Accept when: </w:t>
      </w:r>
      <w:r>
        <w:rPr>
          <w:rFonts w:ascii="Calibri" w:hAnsi="Calibri"/>
          <w:color w:val="14213D"/>
          <w:sz w:val="18"/>
        </w:rPr>
        <w:t>Every page is readable; no clipping/missing glyphs; data/totals match source and document is tenant protected.</w:t>
      </w:r>
    </w:p>
    <w:p>
      <w:pPr>
        <w:keepNext/>
        <w:spacing w:before="140" w:after="40"/>
      </w:pPr>
      <w:r>
        <w:rPr>
          <w:rFonts w:ascii="Calibri" w:hAnsi="Calibri"/>
          <w:b/>
          <w:color w:val="2E74B5"/>
          <w:sz w:val="18"/>
        </w:rPr>
        <w:t>INT-002</w:t>
      </w:r>
      <w:r>
        <w:rPr>
          <w:rFonts w:ascii="Calibri" w:hAnsi="Calibri"/>
          <w:b/>
          <w:color w:val="6B7280"/>
          <w:sz w:val="17"/>
        </w:rPr>
        <w:t xml:space="preserve">  |  P0  |  Authorized user</w:t>
      </w:r>
    </w:p>
    <w:p>
      <w:pPr>
        <w:keepNext/>
        <w:spacing w:after="40"/>
        <w:ind w:left="216"/>
      </w:pPr>
      <w:r>
        <w:rPr>
          <w:rFonts w:ascii="Calibri" w:hAnsi="Calibri"/>
          <w:b/>
          <w:color w:val="14213D"/>
          <w:sz w:val="18"/>
        </w:rPr>
        <w:t xml:space="preserve">Execute: </w:t>
      </w:r>
      <w:r>
        <w:rPr>
          <w:rFonts w:ascii="Calibri" w:hAnsi="Calibri"/>
          <w:color w:val="14213D"/>
          <w:sz w:val="18"/>
        </w:rPr>
        <w:t>Upload expense receipt, job attachment, delivery proof and business logo at allowed type/size limits.</w:t>
      </w:r>
    </w:p>
    <w:p>
      <w:pPr>
        <w:spacing w:after="120"/>
        <w:ind w:left="216"/>
      </w:pPr>
      <w:r>
        <w:rPr>
          <w:rFonts w:ascii="Calibri" w:hAnsi="Calibri"/>
          <w:b/>
          <w:color w:val="1F4D78"/>
          <w:sz w:val="18"/>
        </w:rPr>
        <w:t xml:space="preserve">Accept when: </w:t>
      </w:r>
      <w:r>
        <w:rPr>
          <w:rFonts w:ascii="Calibri" w:hAnsi="Calibri"/>
          <w:color w:val="14213D"/>
          <w:sz w:val="18"/>
        </w:rPr>
        <w:t>Content and metadata persist atomically under tenant-prefixed key; valid signed retrieval works.</w:t>
      </w:r>
    </w:p>
    <w:p>
      <w:pPr>
        <w:keepNext/>
        <w:spacing w:before="140" w:after="40"/>
      </w:pPr>
      <w:r>
        <w:rPr>
          <w:rFonts w:ascii="Calibri" w:hAnsi="Calibri"/>
          <w:b/>
          <w:color w:val="2E74B5"/>
          <w:sz w:val="18"/>
        </w:rPr>
        <w:t>INT-003</w:t>
      </w:r>
      <w:r>
        <w:rPr>
          <w:rFonts w:ascii="Calibri" w:hAnsi="Calibri"/>
          <w:b/>
          <w:color w:val="6B7280"/>
          <w:sz w:val="17"/>
        </w:rPr>
        <w:t xml:space="preserve">  |  P0  |  Security reviewer</w:t>
      </w:r>
    </w:p>
    <w:p>
      <w:pPr>
        <w:keepNext/>
        <w:spacing w:after="40"/>
        <w:ind w:left="216"/>
      </w:pPr>
      <w:r>
        <w:rPr>
          <w:rFonts w:ascii="Calibri" w:hAnsi="Calibri"/>
          <w:b/>
          <w:color w:val="14213D"/>
          <w:sz w:val="18"/>
        </w:rPr>
        <w:t xml:space="preserve">Execute: </w:t>
      </w:r>
      <w:r>
        <w:rPr>
          <w:rFonts w:ascii="Calibri" w:hAnsi="Calibri"/>
          <w:color w:val="14213D"/>
          <w:sz w:val="18"/>
        </w:rPr>
        <w:t>Upload executable/disguised/oversized file, path-like filename and cross-tenant key; enumerate signed URLs.</w:t>
      </w:r>
    </w:p>
    <w:p>
      <w:pPr>
        <w:spacing w:after="120"/>
        <w:ind w:left="216"/>
      </w:pPr>
      <w:r>
        <w:rPr>
          <w:rFonts w:ascii="Calibri" w:hAnsi="Calibri"/>
          <w:b/>
          <w:color w:val="1F4D78"/>
          <w:sz w:val="18"/>
        </w:rPr>
        <w:t xml:space="preserve">Accept when: </w:t>
      </w:r>
      <w:r>
        <w:rPr>
          <w:rFonts w:ascii="Calibri" w:hAnsi="Calibri"/>
          <w:color w:val="14213D"/>
          <w:sz w:val="18"/>
        </w:rPr>
        <w:t>Validation/policy denies unsafe input and enumeration; no orphaned object or secret URL leakage.</w:t>
      </w:r>
    </w:p>
    <w:p>
      <w:pPr>
        <w:keepNext/>
        <w:spacing w:before="140" w:after="40"/>
      </w:pPr>
      <w:r>
        <w:rPr>
          <w:rFonts w:ascii="Calibri" w:hAnsi="Calibri"/>
          <w:b/>
          <w:color w:val="2E74B5"/>
          <w:sz w:val="18"/>
        </w:rPr>
        <w:t>INT-004</w:t>
      </w:r>
      <w:r>
        <w:rPr>
          <w:rFonts w:ascii="Calibri" w:hAnsi="Calibri"/>
          <w:b/>
          <w:color w:val="6B7280"/>
          <w:sz w:val="17"/>
        </w:rPr>
        <w:t xml:space="preserve">  |  P1  |  Ops</w:t>
      </w:r>
    </w:p>
    <w:p>
      <w:pPr>
        <w:keepNext/>
        <w:spacing w:after="40"/>
        <w:ind w:left="216"/>
      </w:pPr>
      <w:r>
        <w:rPr>
          <w:rFonts w:ascii="Calibri" w:hAnsi="Calibri"/>
          <w:b/>
          <w:color w:val="14213D"/>
          <w:sz w:val="18"/>
        </w:rPr>
        <w:t xml:space="preserve">Execute: </w:t>
      </w:r>
      <w:r>
        <w:rPr>
          <w:rFonts w:ascii="Calibri" w:hAnsi="Calibri"/>
          <w:color w:val="14213D"/>
          <w:sz w:val="18"/>
        </w:rPr>
        <w:t>Check /api/health during healthy and intentionally unavailable dependency states.</w:t>
      </w:r>
    </w:p>
    <w:p>
      <w:pPr>
        <w:spacing w:after="120"/>
        <w:ind w:left="216"/>
      </w:pPr>
      <w:r>
        <w:rPr>
          <w:rFonts w:ascii="Calibri" w:hAnsi="Calibri"/>
          <w:b/>
          <w:color w:val="1F4D78"/>
          <w:sz w:val="18"/>
        </w:rPr>
        <w:t xml:space="preserve">Accept when: </w:t>
      </w:r>
      <w:r>
        <w:rPr>
          <w:rFonts w:ascii="Calibri" w:hAnsi="Calibri"/>
          <w:color w:val="14213D"/>
          <w:sz w:val="18"/>
        </w:rPr>
        <w:t>Status supports monitoring, is fast, contains request ID and no sensitive configuration.</w:t>
      </w:r>
    </w:p>
    <w:p>
      <w:pPr>
        <w:keepNext/>
        <w:spacing w:before="140" w:after="40"/>
      </w:pPr>
      <w:r>
        <w:rPr>
          <w:rFonts w:ascii="Calibri" w:hAnsi="Calibri"/>
          <w:b/>
          <w:color w:val="2E74B5"/>
          <w:sz w:val="18"/>
        </w:rPr>
        <w:t>INT-005</w:t>
      </w:r>
      <w:r>
        <w:rPr>
          <w:rFonts w:ascii="Calibri" w:hAnsi="Calibri"/>
          <w:b/>
          <w:color w:val="6B7280"/>
          <w:sz w:val="17"/>
        </w:rPr>
        <w:t xml:space="preserve">  |  P0  |  Ops</w:t>
      </w:r>
    </w:p>
    <w:p>
      <w:pPr>
        <w:keepNext/>
        <w:spacing w:after="40"/>
        <w:ind w:left="216"/>
      </w:pPr>
      <w:r>
        <w:rPr>
          <w:rFonts w:ascii="Calibri" w:hAnsi="Calibri"/>
          <w:b/>
          <w:color w:val="14213D"/>
          <w:sz w:val="18"/>
        </w:rPr>
        <w:t xml:space="preserve">Execute: </w:t>
      </w:r>
      <w:r>
        <w:rPr>
          <w:rFonts w:ascii="Calibri" w:hAnsi="Calibri"/>
          <w:color w:val="14213D"/>
          <w:sz w:val="18"/>
        </w:rPr>
        <w:t>Simulate Server Action/database/provider timeout after submit; refresh and retry.</w:t>
      </w:r>
    </w:p>
    <w:p>
      <w:pPr>
        <w:spacing w:after="120"/>
        <w:ind w:left="216"/>
      </w:pPr>
      <w:r>
        <w:rPr>
          <w:rFonts w:ascii="Calibri" w:hAnsi="Calibri"/>
          <w:b/>
          <w:color w:val="1F4D78"/>
          <w:sz w:val="18"/>
        </w:rPr>
        <w:t xml:space="preserve">Accept when: </w:t>
      </w:r>
      <w:r>
        <w:rPr>
          <w:rFonts w:ascii="Calibri" w:hAnsi="Calibri"/>
          <w:color w:val="14213D"/>
          <w:sz w:val="18"/>
        </w:rPr>
        <w:t>User sees recoverable message; atomicity/idempotency prevent ambiguous duplicate or partial business outcome.</w:t>
      </w:r>
    </w:p>
    <w:p>
      <w:pPr>
        <w:keepNext/>
        <w:spacing w:before="140" w:after="40"/>
      </w:pPr>
      <w:r>
        <w:rPr>
          <w:rFonts w:ascii="Calibri" w:hAnsi="Calibri"/>
          <w:b/>
          <w:color w:val="2E74B5"/>
          <w:sz w:val="18"/>
        </w:rPr>
        <w:t>INT-006</w:t>
      </w:r>
      <w:r>
        <w:rPr>
          <w:rFonts w:ascii="Calibri" w:hAnsi="Calibri"/>
          <w:b/>
          <w:color w:val="6B7280"/>
          <w:sz w:val="17"/>
        </w:rPr>
        <w:t xml:space="preserve">  |  P0  |  Ops</w:t>
      </w:r>
    </w:p>
    <w:p>
      <w:pPr>
        <w:keepNext/>
        <w:spacing w:after="40"/>
        <w:ind w:left="216"/>
      </w:pPr>
      <w:r>
        <w:rPr>
          <w:rFonts w:ascii="Calibri" w:hAnsi="Calibri"/>
          <w:b/>
          <w:color w:val="14213D"/>
          <w:sz w:val="18"/>
        </w:rPr>
        <w:t xml:space="preserve">Execute: </w:t>
      </w:r>
      <w:r>
        <w:rPr>
          <w:rFonts w:ascii="Calibri" w:hAnsi="Calibri"/>
          <w:color w:val="14213D"/>
          <w:sz w:val="18"/>
        </w:rPr>
        <w:t>Restore UAT database snapshot/config version and verify representative records/files/links/audit.</w:t>
      </w:r>
    </w:p>
    <w:p>
      <w:pPr>
        <w:spacing w:after="120"/>
        <w:ind w:left="216"/>
      </w:pPr>
      <w:r>
        <w:rPr>
          <w:rFonts w:ascii="Calibri" w:hAnsi="Calibri"/>
          <w:b/>
          <w:color w:val="1F4D78"/>
          <w:sz w:val="18"/>
        </w:rPr>
        <w:t xml:space="preserve">Accept when: </w:t>
      </w:r>
      <w:r>
        <w:rPr>
          <w:rFonts w:ascii="Calibri" w:hAnsi="Calibri"/>
          <w:color w:val="14213D"/>
          <w:sz w:val="18"/>
        </w:rPr>
        <w:t>Documented recovery returns consistent state within target time and no cross-tenant ownership changes.</w:t>
      </w:r>
    </w:p>
    <w:p>
      <w:pPr>
        <w:pStyle w:val="Heading1"/>
      </w:pPr>
      <w:r>
        <w:t>11. Non-functional acceptance</w:t>
      </w:r>
    </w:p>
    <w:tbl>
      <w:tblPr>
        <w:tblStyle w:val="TableGrid"/>
        <w:tblW w:type="dxa" w:w="9360"/>
        <w:tblLayout w:type="fixed"/>
        <w:tblLook w:firstColumn="1" w:firstRow="1" w:lastColumn="0" w:lastRow="0" w:noHBand="0" w:noVBand="1" w:val="04A0"/>
        <w:tblInd w:w="120" w:type="dxa"/>
      </w:tblPr>
      <w:tblGrid>
        <w:gridCol w:w="1300"/>
        <w:gridCol w:w="600"/>
        <w:gridCol w:w="3900"/>
        <w:gridCol w:w="3560"/>
      </w:tblGrid>
      <w:tr>
        <w:trPr>
          <w:tblHeader w:val="true"/>
          <w:cantSplit/>
        </w:trPr>
        <w:tc>
          <w:tcPr>
            <w:tcW w:type="dxa" w:w="1300"/>
            <w:tcMar>
              <w:top w:w="80" w:type="dxa"/>
              <w:start w:w="120" w:type="dxa"/>
              <w:bottom w:w="80" w:type="dxa"/>
              <w:end w:w="120" w:type="dxa"/>
            </w:tcMar>
            <w:shd w:fill="E8EEF5"/>
            <w:vAlign w:val="center"/>
          </w:tcPr>
          <w:p>
            <w:pPr>
              <w:keepNext/>
              <w:spacing w:after="0"/>
            </w:pPr>
            <w:r>
              <w:rPr>
                <w:rFonts w:ascii="Calibri" w:hAnsi="Calibri"/>
                <w:b/>
                <w:color w:val="14213D"/>
                <w:sz w:val="18"/>
              </w:rPr>
              <w:t>Check</w:t>
            </w:r>
          </w:p>
        </w:tc>
        <w:tc>
          <w:tcPr>
            <w:tcW w:type="dxa" w:w="600"/>
            <w:tcMar>
              <w:top w:w="80" w:type="dxa"/>
              <w:start w:w="120" w:type="dxa"/>
              <w:bottom w:w="80" w:type="dxa"/>
              <w:end w:w="120" w:type="dxa"/>
            </w:tcMar>
            <w:shd w:fill="E8EEF5"/>
            <w:vAlign w:val="center"/>
          </w:tcPr>
          <w:p>
            <w:pPr>
              <w:keepNext/>
              <w:spacing w:after="0"/>
            </w:pPr>
            <w:r>
              <w:rPr>
                <w:rFonts w:ascii="Calibri" w:hAnsi="Calibri"/>
                <w:b/>
                <w:color w:val="14213D"/>
                <w:sz w:val="18"/>
              </w:rPr>
              <w:t>Pri.</w:t>
            </w:r>
          </w:p>
        </w:tc>
        <w:tc>
          <w:tcPr>
            <w:tcW w:type="dxa" w:w="3900"/>
            <w:tcMar>
              <w:top w:w="80" w:type="dxa"/>
              <w:start w:w="120" w:type="dxa"/>
              <w:bottom w:w="80" w:type="dxa"/>
              <w:end w:w="120" w:type="dxa"/>
            </w:tcMar>
            <w:shd w:fill="E8EEF5"/>
            <w:vAlign w:val="center"/>
          </w:tcPr>
          <w:p>
            <w:pPr>
              <w:keepNext/>
              <w:spacing w:after="0"/>
            </w:pPr>
            <w:r>
              <w:rPr>
                <w:rFonts w:ascii="Calibri" w:hAnsi="Calibri"/>
                <w:b/>
                <w:color w:val="14213D"/>
                <w:sz w:val="18"/>
              </w:rPr>
              <w:t>Method</w:t>
            </w:r>
          </w:p>
        </w:tc>
        <w:tc>
          <w:tcPr>
            <w:tcW w:type="dxa" w:w="3560"/>
            <w:tcMar>
              <w:top w:w="80" w:type="dxa"/>
              <w:start w:w="120" w:type="dxa"/>
              <w:bottom w:w="80" w:type="dxa"/>
              <w:end w:w="120" w:type="dxa"/>
            </w:tcMar>
            <w:shd w:fill="E8EEF5"/>
            <w:vAlign w:val="center"/>
          </w:tcPr>
          <w:p>
            <w:pPr>
              <w:keepNext/>
              <w:spacing w:after="0"/>
            </w:pPr>
            <w:r>
              <w:rPr>
                <w:rFonts w:ascii="Calibri" w:hAnsi="Calibri"/>
                <w:b/>
                <w:color w:val="14213D"/>
                <w:sz w:val="18"/>
              </w:rPr>
              <w:t>Acceptance threshold</w:t>
            </w:r>
          </w:p>
        </w:tc>
      </w:tr>
      <w:tr>
        <w:trPr>
          <w:cantSplit/>
        </w:trPr>
        <w:tc>
          <w:tcPr>
            <w:tcW w:type="dxa" w:w="1300"/>
            <w:vAlign w:val="center"/>
          </w:tcPr>
          <w:p>
            <w:pPr>
              <w:spacing w:after="0"/>
            </w:pPr>
            <w:r>
              <w:rPr>
                <w:rFonts w:ascii="Calibri" w:hAnsi="Calibri"/>
                <w:color w:val="14213D"/>
                <w:sz w:val="16"/>
              </w:rPr>
              <w:t>NFR-01 Accessibility</w:t>
            </w:r>
          </w:p>
        </w:tc>
        <w:tc>
          <w:tcPr>
            <w:tcW w:type="dxa" w:w="600"/>
            <w:vAlign w:val="center"/>
          </w:tcPr>
          <w:p>
            <w:pPr>
              <w:spacing w:after="0"/>
            </w:pPr>
            <w:r>
              <w:rPr>
                <w:rFonts w:ascii="Calibri" w:hAnsi="Calibri"/>
                <w:color w:val="14213D"/>
                <w:sz w:val="16"/>
              </w:rPr>
              <w:t>P0</w:t>
            </w:r>
          </w:p>
        </w:tc>
        <w:tc>
          <w:tcPr>
            <w:tcW w:type="dxa" w:w="3900"/>
            <w:vAlign w:val="center"/>
          </w:tcPr>
          <w:p>
            <w:pPr>
              <w:spacing w:after="0"/>
            </w:pPr>
            <w:r>
              <w:rPr>
                <w:rFonts w:ascii="Calibri" w:hAnsi="Calibri"/>
                <w:color w:val="14213D"/>
                <w:sz w:val="16"/>
              </w:rPr>
              <w:t>Keyboard-only completion for login, create Business, POS, form designer/runtime, approval and core navigation; visible focus; logical order; no trap except modal; Escape closes menu.</w:t>
            </w:r>
          </w:p>
        </w:tc>
        <w:tc>
          <w:tcPr>
            <w:tcW w:type="dxa" w:w="3560"/>
            <w:vAlign w:val="center"/>
          </w:tcPr>
          <w:p>
            <w:pPr>
              <w:spacing w:after="0"/>
            </w:pPr>
            <w:r>
              <w:rPr>
                <w:rFonts w:ascii="Calibri" w:hAnsi="Calibri"/>
                <w:color w:val="14213D"/>
                <w:sz w:val="16"/>
              </w:rPr>
              <w:t>No critical WCAG 2.2 A/AA blocker; accessible names, labels, errors, headings, landmarks and contrast meet agreed audit.</w:t>
            </w:r>
          </w:p>
        </w:tc>
      </w:tr>
      <w:tr>
        <w:trPr>
          <w:cantSplit/>
        </w:trPr>
        <w:tc>
          <w:tcPr>
            <w:tcW w:type="dxa" w:w="1300"/>
            <w:vAlign w:val="center"/>
          </w:tcPr>
          <w:p>
            <w:pPr>
              <w:spacing w:after="0"/>
            </w:pPr>
            <w:r>
              <w:rPr>
                <w:rFonts w:ascii="Calibri" w:hAnsi="Calibri"/>
                <w:color w:val="14213D"/>
                <w:sz w:val="16"/>
              </w:rPr>
              <w:t>NFR-02 Screen reader</w:t>
            </w:r>
          </w:p>
        </w:tc>
        <w:tc>
          <w:tcPr>
            <w:tcW w:type="dxa" w:w="600"/>
            <w:vAlign w:val="center"/>
          </w:tcPr>
          <w:p>
            <w:pPr>
              <w:spacing w:after="0"/>
            </w:pPr>
            <w:r>
              <w:rPr>
                <w:rFonts w:ascii="Calibri" w:hAnsi="Calibri"/>
                <w:color w:val="14213D"/>
                <w:sz w:val="16"/>
              </w:rPr>
              <w:t>P1</w:t>
            </w:r>
          </w:p>
        </w:tc>
        <w:tc>
          <w:tcPr>
            <w:tcW w:type="dxa" w:w="3900"/>
            <w:vAlign w:val="center"/>
          </w:tcPr>
          <w:p>
            <w:pPr>
              <w:spacing w:after="0"/>
            </w:pPr>
            <w:r>
              <w:rPr>
                <w:rFonts w:ascii="Calibri" w:hAnsi="Calibri"/>
                <w:color w:val="14213D"/>
                <w:sz w:val="16"/>
              </w:rPr>
              <w:t>NVDA/Chrome or equivalent on auth, dashboard, data table, dynamic form, status badge, modal and validation summary.</w:t>
            </w:r>
          </w:p>
        </w:tc>
        <w:tc>
          <w:tcPr>
            <w:tcW w:type="dxa" w:w="3560"/>
            <w:vAlign w:val="center"/>
          </w:tcPr>
          <w:p>
            <w:pPr>
              <w:spacing w:after="0"/>
            </w:pPr>
            <w:r>
              <w:rPr>
                <w:rFonts w:ascii="Calibri" w:hAnsi="Calibri"/>
                <w:color w:val="14213D"/>
                <w:sz w:val="16"/>
              </w:rPr>
              <w:t>Meaning, state, errors and updates are announced without visual-only dependency.</w:t>
            </w:r>
          </w:p>
        </w:tc>
      </w:tr>
      <w:tr>
        <w:trPr>
          <w:cantSplit/>
        </w:trPr>
        <w:tc>
          <w:tcPr>
            <w:tcW w:type="dxa" w:w="1300"/>
            <w:vAlign w:val="center"/>
          </w:tcPr>
          <w:p>
            <w:pPr>
              <w:spacing w:after="0"/>
            </w:pPr>
            <w:r>
              <w:rPr>
                <w:rFonts w:ascii="Calibri" w:hAnsi="Calibri"/>
                <w:color w:val="14213D"/>
                <w:sz w:val="16"/>
              </w:rPr>
              <w:t>NFR-03 Responsive</w:t>
            </w:r>
          </w:p>
        </w:tc>
        <w:tc>
          <w:tcPr>
            <w:tcW w:type="dxa" w:w="600"/>
            <w:vAlign w:val="center"/>
          </w:tcPr>
          <w:p>
            <w:pPr>
              <w:spacing w:after="0"/>
            </w:pPr>
            <w:r>
              <w:rPr>
                <w:rFonts w:ascii="Calibri" w:hAnsi="Calibri"/>
                <w:color w:val="14213D"/>
                <w:sz w:val="16"/>
              </w:rPr>
              <w:t>P0</w:t>
            </w:r>
          </w:p>
        </w:tc>
        <w:tc>
          <w:tcPr>
            <w:tcW w:type="dxa" w:w="3900"/>
            <w:vAlign w:val="center"/>
          </w:tcPr>
          <w:p>
            <w:pPr>
              <w:spacing w:after="0"/>
            </w:pPr>
            <w:r>
              <w:rPr>
                <w:rFonts w:ascii="Calibri" w:hAnsi="Calibri"/>
                <w:color w:val="14213D"/>
                <w:sz w:val="16"/>
              </w:rPr>
              <w:t>Execute P0 journeys at 360/390 px and desktop; inspect 768/1024/1440 px layouts, orientation and browser zoom 200%.</w:t>
            </w:r>
          </w:p>
        </w:tc>
        <w:tc>
          <w:tcPr>
            <w:tcW w:type="dxa" w:w="3560"/>
            <w:vAlign w:val="center"/>
          </w:tcPr>
          <w:p>
            <w:pPr>
              <w:spacing w:after="0"/>
            </w:pPr>
            <w:r>
              <w:rPr>
                <w:rFonts w:ascii="Calibri" w:hAnsi="Calibri"/>
                <w:color w:val="14213D"/>
                <w:sz w:val="16"/>
              </w:rPr>
              <w:t>No clipped controls/data, horizontal page scroll, unreachable actions or obscuring mobile nav.</w:t>
            </w:r>
          </w:p>
        </w:tc>
      </w:tr>
      <w:tr>
        <w:trPr>
          <w:cantSplit/>
        </w:trPr>
        <w:tc>
          <w:tcPr>
            <w:tcW w:type="dxa" w:w="1300"/>
            <w:vAlign w:val="center"/>
          </w:tcPr>
          <w:p>
            <w:pPr>
              <w:spacing w:after="0"/>
            </w:pPr>
            <w:r>
              <w:rPr>
                <w:rFonts w:ascii="Calibri" w:hAnsi="Calibri"/>
                <w:color w:val="14213D"/>
                <w:sz w:val="16"/>
              </w:rPr>
              <w:t>NFR-04 Browser</w:t>
            </w:r>
          </w:p>
        </w:tc>
        <w:tc>
          <w:tcPr>
            <w:tcW w:type="dxa" w:w="600"/>
            <w:vAlign w:val="center"/>
          </w:tcPr>
          <w:p>
            <w:pPr>
              <w:spacing w:after="0"/>
            </w:pPr>
            <w:r>
              <w:rPr>
                <w:rFonts w:ascii="Calibri" w:hAnsi="Calibri"/>
                <w:color w:val="14213D"/>
                <w:sz w:val="16"/>
              </w:rPr>
              <w:t>P1</w:t>
            </w:r>
          </w:p>
        </w:tc>
        <w:tc>
          <w:tcPr>
            <w:tcW w:type="dxa" w:w="3900"/>
            <w:vAlign w:val="center"/>
          </w:tcPr>
          <w:p>
            <w:pPr>
              <w:spacing w:after="0"/>
            </w:pPr>
            <w:r>
              <w:rPr>
                <w:rFonts w:ascii="Calibri" w:hAnsi="Calibri"/>
                <w:color w:val="14213D"/>
                <w:sz w:val="16"/>
              </w:rPr>
              <w:t>Current Chrome, Edge, Safari/iOS and Chrome/Android on critical journeys and file/PDF downloads.</w:t>
            </w:r>
          </w:p>
        </w:tc>
        <w:tc>
          <w:tcPr>
            <w:tcW w:type="dxa" w:w="3560"/>
            <w:vAlign w:val="center"/>
          </w:tcPr>
          <w:p>
            <w:pPr>
              <w:spacing w:after="0"/>
            </w:pPr>
            <w:r>
              <w:rPr>
                <w:rFonts w:ascii="Calibri" w:hAnsi="Calibri"/>
                <w:color w:val="14213D"/>
                <w:sz w:val="16"/>
              </w:rPr>
              <w:t>No browser-specific functional failure; deviations are documented and accepted.</w:t>
            </w:r>
          </w:p>
        </w:tc>
      </w:tr>
      <w:tr>
        <w:trPr>
          <w:cantSplit/>
        </w:trPr>
        <w:tc>
          <w:tcPr>
            <w:tcW w:type="dxa" w:w="1300"/>
            <w:vAlign w:val="center"/>
          </w:tcPr>
          <w:p>
            <w:pPr>
              <w:spacing w:after="0"/>
            </w:pPr>
            <w:r>
              <w:rPr>
                <w:rFonts w:ascii="Calibri" w:hAnsi="Calibri"/>
                <w:color w:val="14213D"/>
                <w:sz w:val="16"/>
              </w:rPr>
              <w:t>NFR-05 Performance</w:t>
            </w:r>
          </w:p>
        </w:tc>
        <w:tc>
          <w:tcPr>
            <w:tcW w:type="dxa" w:w="600"/>
            <w:vAlign w:val="center"/>
          </w:tcPr>
          <w:p>
            <w:pPr>
              <w:spacing w:after="0"/>
            </w:pPr>
            <w:r>
              <w:rPr>
                <w:rFonts w:ascii="Calibri" w:hAnsi="Calibri"/>
                <w:color w:val="14213D"/>
                <w:sz w:val="16"/>
              </w:rPr>
              <w:t>P1</w:t>
            </w:r>
          </w:p>
        </w:tc>
        <w:tc>
          <w:tcPr>
            <w:tcW w:type="dxa" w:w="3900"/>
            <w:vAlign w:val="center"/>
          </w:tcPr>
          <w:p>
            <w:pPr>
              <w:spacing w:after="0"/>
            </w:pPr>
            <w:r>
              <w:rPr>
                <w:rFonts w:ascii="Calibri" w:hAnsi="Calibri"/>
                <w:color w:val="14213D"/>
                <w:sz w:val="16"/>
              </w:rPr>
              <w:t>Warm page navigation &lt;=2 s p75, ordinary mutation feedback &lt;=3 s p75, search/filter &lt;=2 s, dashboard &lt;=3 s using realistic UAT data and network.</w:t>
            </w:r>
          </w:p>
        </w:tc>
        <w:tc>
          <w:tcPr>
            <w:tcW w:type="dxa" w:w="3560"/>
            <w:vAlign w:val="center"/>
          </w:tcPr>
          <w:p>
            <w:pPr>
              <w:spacing w:after="0"/>
            </w:pPr>
            <w:r>
              <w:rPr>
                <w:rFonts w:ascii="Calibri" w:hAnsi="Calibri"/>
                <w:color w:val="14213D"/>
                <w:sz w:val="16"/>
              </w:rPr>
              <w:t>Targets met or approved baseline/SLO replaces them; no unbounded query or client freeze.</w:t>
            </w:r>
          </w:p>
        </w:tc>
      </w:tr>
      <w:tr>
        <w:trPr>
          <w:cantSplit/>
        </w:trPr>
        <w:tc>
          <w:tcPr>
            <w:tcW w:type="dxa" w:w="1300"/>
            <w:vAlign w:val="center"/>
          </w:tcPr>
          <w:p>
            <w:pPr>
              <w:spacing w:after="0"/>
            </w:pPr>
            <w:r>
              <w:rPr>
                <w:rFonts w:ascii="Calibri" w:hAnsi="Calibri"/>
                <w:color w:val="14213D"/>
                <w:sz w:val="16"/>
              </w:rPr>
              <w:t>NFR-06 Concurrency</w:t>
            </w:r>
          </w:p>
        </w:tc>
        <w:tc>
          <w:tcPr>
            <w:tcW w:type="dxa" w:w="600"/>
            <w:vAlign w:val="center"/>
          </w:tcPr>
          <w:p>
            <w:pPr>
              <w:spacing w:after="0"/>
            </w:pPr>
            <w:r>
              <w:rPr>
                <w:rFonts w:ascii="Calibri" w:hAnsi="Calibri"/>
                <w:color w:val="14213D"/>
                <w:sz w:val="16"/>
              </w:rPr>
              <w:t>P0</w:t>
            </w:r>
          </w:p>
        </w:tc>
        <w:tc>
          <w:tcPr>
            <w:tcW w:type="dxa" w:w="3900"/>
            <w:vAlign w:val="center"/>
          </w:tcPr>
          <w:p>
            <w:pPr>
              <w:spacing w:after="0"/>
            </w:pPr>
            <w:r>
              <w:rPr>
                <w:rFonts w:ascii="Calibri" w:hAnsi="Calibri"/>
                <w:color w:val="14213D"/>
                <w:sz w:val="16"/>
              </w:rPr>
              <w:t>Two users edit same configuration/stock/approval/payment/workflow state and submit nearly simultaneously.</w:t>
            </w:r>
          </w:p>
        </w:tc>
        <w:tc>
          <w:tcPr>
            <w:tcW w:type="dxa" w:w="3560"/>
            <w:vAlign w:val="center"/>
          </w:tcPr>
          <w:p>
            <w:pPr>
              <w:spacing w:after="0"/>
            </w:pPr>
            <w:r>
              <w:rPr>
                <w:rFonts w:ascii="Calibri" w:hAnsi="Calibri"/>
                <w:color w:val="14213D"/>
                <w:sz w:val="16"/>
              </w:rPr>
              <w:t>Optimistic revision/transaction/lock prevents lost update, duplicate money/stock or inconsistent graph.</w:t>
            </w:r>
          </w:p>
        </w:tc>
      </w:tr>
      <w:tr>
        <w:trPr>
          <w:cantSplit/>
        </w:trPr>
        <w:tc>
          <w:tcPr>
            <w:tcW w:type="dxa" w:w="1300"/>
            <w:vAlign w:val="center"/>
          </w:tcPr>
          <w:p>
            <w:pPr>
              <w:spacing w:after="0"/>
            </w:pPr>
            <w:r>
              <w:rPr>
                <w:rFonts w:ascii="Calibri" w:hAnsi="Calibri"/>
                <w:color w:val="14213D"/>
                <w:sz w:val="16"/>
              </w:rPr>
              <w:t>NFR-07 Security</w:t>
            </w:r>
          </w:p>
        </w:tc>
        <w:tc>
          <w:tcPr>
            <w:tcW w:type="dxa" w:w="600"/>
            <w:vAlign w:val="center"/>
          </w:tcPr>
          <w:p>
            <w:pPr>
              <w:spacing w:after="0"/>
            </w:pPr>
            <w:r>
              <w:rPr>
                <w:rFonts w:ascii="Calibri" w:hAnsi="Calibri"/>
                <w:color w:val="14213D"/>
                <w:sz w:val="16"/>
              </w:rPr>
              <w:t>P0</w:t>
            </w:r>
          </w:p>
        </w:tc>
        <w:tc>
          <w:tcPr>
            <w:tcW w:type="dxa" w:w="3900"/>
            <w:vAlign w:val="center"/>
          </w:tcPr>
          <w:p>
            <w:pPr>
              <w:spacing w:after="0"/>
            </w:pPr>
            <w:r>
              <w:rPr>
                <w:rFonts w:ascii="Calibri" w:hAnsi="Calibri"/>
                <w:color w:val="14213D"/>
                <w:sz w:val="16"/>
              </w:rPr>
              <w:t>OWASP-oriented checks: authorization, IDOR, CSRF posture, injection strings, XSS, upload, session, secure headers, secret exposure and rate/abuse controls.</w:t>
            </w:r>
          </w:p>
        </w:tc>
        <w:tc>
          <w:tcPr>
            <w:tcW w:type="dxa" w:w="3560"/>
            <w:vAlign w:val="center"/>
          </w:tcPr>
          <w:p>
            <w:pPr>
              <w:spacing w:after="0"/>
            </w:pPr>
            <w:r>
              <w:rPr>
                <w:rFonts w:ascii="Calibri" w:hAnsi="Calibri"/>
                <w:color w:val="14213D"/>
                <w:sz w:val="16"/>
              </w:rPr>
              <w:t>No exploitable critical/high issue; all protected operations server-authorized and tenant-isolated.</w:t>
            </w:r>
          </w:p>
        </w:tc>
      </w:tr>
      <w:tr>
        <w:trPr>
          <w:cantSplit/>
        </w:trPr>
        <w:tc>
          <w:tcPr>
            <w:tcW w:type="dxa" w:w="1300"/>
            <w:vAlign w:val="center"/>
          </w:tcPr>
          <w:p>
            <w:pPr>
              <w:spacing w:after="0"/>
            </w:pPr>
            <w:r>
              <w:rPr>
                <w:rFonts w:ascii="Calibri" w:hAnsi="Calibri"/>
                <w:color w:val="14213D"/>
                <w:sz w:val="16"/>
              </w:rPr>
              <w:t>NFR-08 Privacy</w:t>
            </w:r>
          </w:p>
        </w:tc>
        <w:tc>
          <w:tcPr>
            <w:tcW w:type="dxa" w:w="600"/>
            <w:vAlign w:val="center"/>
          </w:tcPr>
          <w:p>
            <w:pPr>
              <w:spacing w:after="0"/>
            </w:pPr>
            <w:r>
              <w:rPr>
                <w:rFonts w:ascii="Calibri" w:hAnsi="Calibri"/>
                <w:color w:val="14213D"/>
                <w:sz w:val="16"/>
              </w:rPr>
              <w:t>P0</w:t>
            </w:r>
          </w:p>
        </w:tc>
        <w:tc>
          <w:tcPr>
            <w:tcW w:type="dxa" w:w="3900"/>
            <w:vAlign w:val="center"/>
          </w:tcPr>
          <w:p>
            <w:pPr>
              <w:spacing w:after="0"/>
            </w:pPr>
            <w:r>
              <w:rPr>
                <w:rFonts w:ascii="Calibri" w:hAnsi="Calibri"/>
                <w:color w:val="14213D"/>
                <w:sz w:val="16"/>
              </w:rPr>
              <w:t>Review personal data minimization, display/log/audit exposure, signed files, support access, retention/export/delete policy readiness.</w:t>
            </w:r>
          </w:p>
        </w:tc>
        <w:tc>
          <w:tcPr>
            <w:tcW w:type="dxa" w:w="3560"/>
            <w:vAlign w:val="center"/>
          </w:tcPr>
          <w:p>
            <w:pPr>
              <w:spacing w:after="0"/>
            </w:pPr>
            <w:r>
              <w:rPr>
                <w:rFonts w:ascii="Calibri" w:hAnsi="Calibri"/>
                <w:color w:val="14213D"/>
                <w:sz w:val="16"/>
              </w:rPr>
              <w:t>Processing matches approved policy; no personal data in logs/URLs; gaps have owner and go-live decision.</w:t>
            </w:r>
          </w:p>
        </w:tc>
      </w:tr>
      <w:tr>
        <w:trPr>
          <w:cantSplit/>
        </w:trPr>
        <w:tc>
          <w:tcPr>
            <w:tcW w:type="dxa" w:w="1300"/>
            <w:vAlign w:val="center"/>
          </w:tcPr>
          <w:p>
            <w:pPr>
              <w:spacing w:after="0"/>
            </w:pPr>
            <w:r>
              <w:rPr>
                <w:rFonts w:ascii="Calibri" w:hAnsi="Calibri"/>
                <w:color w:val="14213D"/>
                <w:sz w:val="16"/>
              </w:rPr>
              <w:t>NFR-09 Localization</w:t>
            </w:r>
          </w:p>
        </w:tc>
        <w:tc>
          <w:tcPr>
            <w:tcW w:type="dxa" w:w="600"/>
            <w:vAlign w:val="center"/>
          </w:tcPr>
          <w:p>
            <w:pPr>
              <w:spacing w:after="0"/>
            </w:pPr>
            <w:r>
              <w:rPr>
                <w:rFonts w:ascii="Calibri" w:hAnsi="Calibri"/>
                <w:color w:val="14213D"/>
                <w:sz w:val="16"/>
              </w:rPr>
              <w:t>P1</w:t>
            </w:r>
          </w:p>
        </w:tc>
        <w:tc>
          <w:tcPr>
            <w:tcW w:type="dxa" w:w="3900"/>
            <w:vAlign w:val="center"/>
          </w:tcPr>
          <w:p>
            <w:pPr>
              <w:spacing w:after="0"/>
            </w:pPr>
            <w:r>
              <w:rPr>
                <w:rFonts w:ascii="Calibri" w:hAnsi="Calibri"/>
                <w:color w:val="14213D"/>
                <w:sz w:val="16"/>
              </w:rPr>
              <w:t>Philippine names/addresses/mobile, PHP rounding, en-PH and fil-PH profile, Asia/Manila date/day boundaries, long translations/copy.</w:t>
            </w:r>
          </w:p>
        </w:tc>
        <w:tc>
          <w:tcPr>
            <w:tcW w:type="dxa" w:w="3560"/>
            <w:vAlign w:val="center"/>
          </w:tcPr>
          <w:p>
            <w:pPr>
              <w:spacing w:after="0"/>
            </w:pPr>
            <w:r>
              <w:rPr>
                <w:rFonts w:ascii="Calibri" w:hAnsi="Calibri"/>
                <w:color w:val="14213D"/>
                <w:sz w:val="16"/>
              </w:rPr>
              <w:t>Values and day-based metrics are unambiguous and consistent; no UTC/date drift or mojibake.</w:t>
            </w:r>
          </w:p>
        </w:tc>
      </w:tr>
      <w:tr>
        <w:trPr>
          <w:cantSplit/>
        </w:trPr>
        <w:tc>
          <w:tcPr>
            <w:tcW w:type="dxa" w:w="1300"/>
            <w:vAlign w:val="center"/>
          </w:tcPr>
          <w:p>
            <w:pPr>
              <w:spacing w:after="0"/>
            </w:pPr>
            <w:r>
              <w:rPr>
                <w:rFonts w:ascii="Calibri" w:hAnsi="Calibri"/>
                <w:color w:val="14213D"/>
                <w:sz w:val="16"/>
              </w:rPr>
              <w:t>NFR-10 PWA/resilience</w:t>
            </w:r>
          </w:p>
        </w:tc>
        <w:tc>
          <w:tcPr>
            <w:tcW w:type="dxa" w:w="600"/>
            <w:vAlign w:val="center"/>
          </w:tcPr>
          <w:p>
            <w:pPr>
              <w:spacing w:after="0"/>
            </w:pPr>
            <w:r>
              <w:rPr>
                <w:rFonts w:ascii="Calibri" w:hAnsi="Calibri"/>
                <w:color w:val="14213D"/>
                <w:sz w:val="16"/>
              </w:rPr>
              <w:t>P1</w:t>
            </w:r>
          </w:p>
        </w:tc>
        <w:tc>
          <w:tcPr>
            <w:tcW w:type="dxa" w:w="3900"/>
            <w:vAlign w:val="center"/>
          </w:tcPr>
          <w:p>
            <w:pPr>
              <w:spacing w:after="0"/>
            </w:pPr>
            <w:r>
              <w:rPr>
                <w:rFonts w:ascii="Calibri" w:hAnsi="Calibri"/>
                <w:color w:val="14213D"/>
                <w:sz w:val="16"/>
              </w:rPr>
              <w:t>Install manifest/icons on supported browser; launch standalone; lose network during read and mutation; reconnect.</w:t>
            </w:r>
          </w:p>
        </w:tc>
        <w:tc>
          <w:tcPr>
            <w:tcW w:type="dxa" w:w="3560"/>
            <w:vAlign w:val="center"/>
          </w:tcPr>
          <w:p>
            <w:pPr>
              <w:spacing w:after="0"/>
            </w:pPr>
            <w:r>
              <w:rPr>
                <w:rFonts w:ascii="Calibri" w:hAnsi="Calibri"/>
                <w:color w:val="14213D"/>
                <w:sz w:val="16"/>
              </w:rPr>
              <w:t>Install metadata is valid; offline state is honest; no claim of queued mutation; retry is safe.</w:t>
            </w:r>
          </w:p>
        </w:tc>
      </w:tr>
      <w:tr>
        <w:trPr>
          <w:cantSplit/>
        </w:trPr>
        <w:tc>
          <w:tcPr>
            <w:tcW w:type="dxa" w:w="1300"/>
            <w:vAlign w:val="center"/>
          </w:tcPr>
          <w:p>
            <w:pPr>
              <w:spacing w:after="0"/>
            </w:pPr>
            <w:r>
              <w:rPr>
                <w:rFonts w:ascii="Calibri" w:hAnsi="Calibri"/>
                <w:color w:val="14213D"/>
                <w:sz w:val="16"/>
              </w:rPr>
              <w:t>NFR-11 Auditability</w:t>
            </w:r>
          </w:p>
        </w:tc>
        <w:tc>
          <w:tcPr>
            <w:tcW w:type="dxa" w:w="600"/>
            <w:vAlign w:val="center"/>
          </w:tcPr>
          <w:p>
            <w:pPr>
              <w:spacing w:after="0"/>
            </w:pPr>
            <w:r>
              <w:rPr>
                <w:rFonts w:ascii="Calibri" w:hAnsi="Calibri"/>
                <w:color w:val="14213D"/>
                <w:sz w:val="16"/>
              </w:rPr>
              <w:t>P0</w:t>
            </w:r>
          </w:p>
        </w:tc>
        <w:tc>
          <w:tcPr>
            <w:tcW w:type="dxa" w:w="3900"/>
            <w:vAlign w:val="center"/>
          </w:tcPr>
          <w:p>
            <w:pPr>
              <w:spacing w:after="0"/>
            </w:pPr>
            <w:r>
              <w:rPr>
                <w:rFonts w:ascii="Calibri" w:hAnsi="Calibri"/>
                <w:color w:val="14213D"/>
                <w:sz w:val="16"/>
              </w:rPr>
              <w:t>Trace one P0 journey from UI to record, ledger/status, notification, audit and request/log ID.</w:t>
            </w:r>
          </w:p>
        </w:tc>
        <w:tc>
          <w:tcPr>
            <w:tcW w:type="dxa" w:w="3560"/>
            <w:vAlign w:val="center"/>
          </w:tcPr>
          <w:p>
            <w:pPr>
              <w:spacing w:after="0"/>
            </w:pPr>
            <w:r>
              <w:rPr>
                <w:rFonts w:ascii="Calibri" w:hAnsi="Calibri"/>
                <w:color w:val="14213D"/>
                <w:sz w:val="16"/>
              </w:rPr>
              <w:t>Support can reconstruct actor, Business, Branch, time, action and outcome without secret/raw-body exposure.</w:t>
            </w:r>
          </w:p>
        </w:tc>
      </w:tr>
      <w:tr>
        <w:trPr>
          <w:cantSplit/>
        </w:trPr>
        <w:tc>
          <w:tcPr>
            <w:tcW w:type="dxa" w:w="1300"/>
            <w:vAlign w:val="center"/>
          </w:tcPr>
          <w:p>
            <w:pPr>
              <w:spacing w:after="0"/>
            </w:pPr>
            <w:r>
              <w:rPr>
                <w:rFonts w:ascii="Calibri" w:hAnsi="Calibri"/>
                <w:color w:val="14213D"/>
                <w:sz w:val="16"/>
              </w:rPr>
              <w:t>NFR-12 Data integrity</w:t>
            </w:r>
          </w:p>
        </w:tc>
        <w:tc>
          <w:tcPr>
            <w:tcW w:type="dxa" w:w="600"/>
            <w:vAlign w:val="center"/>
          </w:tcPr>
          <w:p>
            <w:pPr>
              <w:spacing w:after="0"/>
            </w:pPr>
            <w:r>
              <w:rPr>
                <w:rFonts w:ascii="Calibri" w:hAnsi="Calibri"/>
                <w:color w:val="14213D"/>
                <w:sz w:val="16"/>
              </w:rPr>
              <w:t>P0</w:t>
            </w:r>
          </w:p>
        </w:tc>
        <w:tc>
          <w:tcPr>
            <w:tcW w:type="dxa" w:w="3900"/>
            <w:vAlign w:val="center"/>
          </w:tcPr>
          <w:p>
            <w:pPr>
              <w:spacing w:after="0"/>
            </w:pPr>
            <w:r>
              <w:rPr>
                <w:rFonts w:ascii="Calibri" w:hAnsi="Calibri"/>
                <w:color w:val="14213D"/>
                <w:sz w:val="16"/>
              </w:rPr>
              <w:t>Reconcile sales, returns, payments, receivables, expenses, stock movements, loyalty and trial metrics independently.</w:t>
            </w:r>
          </w:p>
        </w:tc>
        <w:tc>
          <w:tcPr>
            <w:tcW w:type="dxa" w:w="3560"/>
            <w:vAlign w:val="center"/>
          </w:tcPr>
          <w:p>
            <w:pPr>
              <w:spacing w:after="0"/>
            </w:pPr>
            <w:r>
              <w:rPr>
                <w:rFonts w:ascii="Calibri" w:hAnsi="Calibri"/>
                <w:color w:val="14213D"/>
                <w:sz w:val="16"/>
              </w:rPr>
              <w:t>All totals balance at documented precision and every side effect occurs once.</w:t>
            </w:r>
          </w:p>
        </w:tc>
      </w:tr>
    </w:tbl>
    <w:p>
      <w:pPr>
        <w:spacing w:after="0"/>
      </w:pPr>
    </w:p>
    <w:p>
      <w:pPr>
        <w:pStyle w:val="Heading1"/>
      </w:pPr>
      <w:r>
        <w:t>12. Traceability and coverage</w:t>
      </w:r>
    </w:p>
    <w:tbl>
      <w:tblPr>
        <w:tblStyle w:val="TableGrid"/>
        <w:tblW w:type="dxa" w:w="9360"/>
        <w:tblLayout w:type="fixed"/>
        <w:tblLook w:firstColumn="1" w:firstRow="1" w:lastColumn="0" w:lastRow="0" w:noHBand="0" w:noVBand="1" w:val="04A0"/>
        <w:tblInd w:w="120" w:type="dxa"/>
      </w:tblPr>
      <w:tblGrid>
        <w:gridCol w:w="2900"/>
        <w:gridCol w:w="6460"/>
      </w:tblGrid>
      <w:tr>
        <w:trPr>
          <w:tblHeader w:val="true"/>
          <w:cantSplit/>
        </w:trPr>
        <w:tc>
          <w:tcPr>
            <w:tcW w:type="dxa" w:w="2900"/>
            <w:tcMar>
              <w:top w:w="80" w:type="dxa"/>
              <w:start w:w="120" w:type="dxa"/>
              <w:bottom w:w="80" w:type="dxa"/>
              <w:end w:w="120" w:type="dxa"/>
            </w:tcMar>
            <w:shd w:fill="E8EEF5"/>
            <w:vAlign w:val="center"/>
          </w:tcPr>
          <w:p>
            <w:pPr>
              <w:keepNext/>
              <w:spacing w:after="0"/>
            </w:pPr>
            <w:r>
              <w:rPr>
                <w:rFonts w:ascii="Calibri" w:hAnsi="Calibri"/>
                <w:b/>
                <w:color w:val="14213D"/>
                <w:sz w:val="18"/>
              </w:rPr>
              <w:t>Capability / risk</w:t>
            </w:r>
          </w:p>
        </w:tc>
        <w:tc>
          <w:tcPr>
            <w:tcW w:type="dxa" w:w="6460"/>
            <w:tcMar>
              <w:top w:w="80" w:type="dxa"/>
              <w:start w:w="120" w:type="dxa"/>
              <w:bottom w:w="80" w:type="dxa"/>
              <w:end w:w="120" w:type="dxa"/>
            </w:tcMar>
            <w:shd w:fill="E8EEF5"/>
            <w:vAlign w:val="center"/>
          </w:tcPr>
          <w:p>
            <w:pPr>
              <w:keepNext/>
              <w:spacing w:after="0"/>
            </w:pPr>
            <w:r>
              <w:rPr>
                <w:rFonts w:ascii="Calibri" w:hAnsi="Calibri"/>
                <w:b/>
                <w:color w:val="14213D"/>
                <w:sz w:val="18"/>
              </w:rPr>
              <w:t>Primary coverage</w:t>
            </w:r>
          </w:p>
        </w:tc>
      </w:tr>
      <w:tr>
        <w:trPr>
          <w:cantSplit/>
        </w:trPr>
        <w:tc>
          <w:tcPr>
            <w:tcW w:type="dxa" w:w="2900"/>
            <w:vAlign w:val="center"/>
          </w:tcPr>
          <w:p>
            <w:pPr>
              <w:spacing w:after="0"/>
            </w:pPr>
            <w:r>
              <w:rPr>
                <w:rFonts w:ascii="Calibri" w:hAnsi="Calibri"/>
                <w:color w:val="14213D"/>
                <w:sz w:val="18"/>
              </w:rPr>
              <w:t>Identity and account</w:t>
            </w:r>
          </w:p>
        </w:tc>
        <w:tc>
          <w:tcPr>
            <w:tcW w:type="dxa" w:w="6460"/>
            <w:vAlign w:val="center"/>
          </w:tcPr>
          <w:p>
            <w:pPr>
              <w:spacing w:after="0"/>
            </w:pPr>
            <w:r>
              <w:rPr>
                <w:rFonts w:ascii="Calibri" w:hAnsi="Calibri"/>
                <w:color w:val="14213D"/>
                <w:sz w:val="18"/>
              </w:rPr>
              <w:t>AUTH-001 to AUTH-008; E2E-01; NFR-07/08</w:t>
            </w:r>
          </w:p>
        </w:tc>
      </w:tr>
      <w:tr>
        <w:trPr>
          <w:cantSplit/>
        </w:trPr>
        <w:tc>
          <w:tcPr>
            <w:tcW w:type="dxa" w:w="2900"/>
            <w:vAlign w:val="center"/>
          </w:tcPr>
          <w:p>
            <w:pPr>
              <w:spacing w:after="0"/>
            </w:pPr>
            <w:r>
              <w:rPr>
                <w:rFonts w:ascii="Calibri" w:hAnsi="Calibri"/>
                <w:color w:val="14213D"/>
                <w:sz w:val="18"/>
              </w:rPr>
              <w:t>Tenant, Branch and capability security</w:t>
            </w:r>
          </w:p>
        </w:tc>
        <w:tc>
          <w:tcPr>
            <w:tcW w:type="dxa" w:w="6460"/>
            <w:vAlign w:val="center"/>
          </w:tcPr>
          <w:p>
            <w:pPr>
              <w:spacing w:after="0"/>
            </w:pPr>
            <w:r>
              <w:rPr>
                <w:rFonts w:ascii="Calibri" w:hAnsi="Calibri"/>
                <w:color w:val="14213D"/>
                <w:sz w:val="18"/>
              </w:rPr>
              <w:t>SEC-001 to SEC-010; E2E-07/11; every domain negative case</w:t>
            </w:r>
          </w:p>
        </w:tc>
      </w:tr>
      <w:tr>
        <w:trPr>
          <w:cantSplit/>
        </w:trPr>
        <w:tc>
          <w:tcPr>
            <w:tcW w:type="dxa" w:w="2900"/>
            <w:vAlign w:val="center"/>
          </w:tcPr>
          <w:p>
            <w:pPr>
              <w:spacing w:after="0"/>
            </w:pPr>
            <w:r>
              <w:rPr>
                <w:rFonts w:ascii="Calibri" w:hAnsi="Calibri"/>
                <w:color w:val="14213D"/>
                <w:sz w:val="18"/>
              </w:rPr>
              <w:t>Business onboarding/configuration</w:t>
            </w:r>
          </w:p>
        </w:tc>
        <w:tc>
          <w:tcPr>
            <w:tcW w:type="dxa" w:w="6460"/>
            <w:vAlign w:val="center"/>
          </w:tcPr>
          <w:p>
            <w:pPr>
              <w:spacing w:after="0"/>
            </w:pPr>
            <w:r>
              <w:rPr>
                <w:rFonts w:ascii="Calibri" w:hAnsi="Calibri"/>
                <w:color w:val="14213D"/>
                <w:sz w:val="18"/>
              </w:rPr>
              <w:t>BUS-001 to BUS-008; CFG-001 to CFG-010; E2E-01/12</w:t>
            </w:r>
          </w:p>
        </w:tc>
      </w:tr>
      <w:tr>
        <w:trPr>
          <w:cantSplit/>
        </w:trPr>
        <w:tc>
          <w:tcPr>
            <w:tcW w:type="dxa" w:w="2900"/>
            <w:vAlign w:val="center"/>
          </w:tcPr>
          <w:p>
            <w:pPr>
              <w:spacing w:after="0"/>
            </w:pPr>
            <w:r>
              <w:rPr>
                <w:rFonts w:ascii="Calibri" w:hAnsi="Calibri"/>
                <w:color w:val="14213D"/>
                <w:sz w:val="18"/>
              </w:rPr>
              <w:t>Order-to-cash and stock</w:t>
            </w:r>
          </w:p>
        </w:tc>
        <w:tc>
          <w:tcPr>
            <w:tcW w:type="dxa" w:w="6460"/>
            <w:vAlign w:val="center"/>
          </w:tcPr>
          <w:p>
            <w:pPr>
              <w:spacing w:after="0"/>
            </w:pPr>
            <w:r>
              <w:rPr>
                <w:rFonts w:ascii="Calibri" w:hAnsi="Calibri"/>
                <w:color w:val="14213D"/>
                <w:sz w:val="18"/>
              </w:rPr>
              <w:t>OPS-001 to OPS-012; FIN-007 to FIN-013; E2E-02/03</w:t>
            </w:r>
          </w:p>
        </w:tc>
      </w:tr>
      <w:tr>
        <w:trPr>
          <w:cantSplit/>
        </w:trPr>
        <w:tc>
          <w:tcPr>
            <w:tcW w:type="dxa" w:w="2900"/>
            <w:vAlign w:val="center"/>
          </w:tcPr>
          <w:p>
            <w:pPr>
              <w:spacing w:after="0"/>
            </w:pPr>
            <w:r>
              <w:rPr>
                <w:rFonts w:ascii="Calibri" w:hAnsi="Calibri"/>
                <w:color w:val="14213D"/>
                <w:sz w:val="18"/>
              </w:rPr>
              <w:t>Procurement and fulfillment</w:t>
            </w:r>
          </w:p>
        </w:tc>
        <w:tc>
          <w:tcPr>
            <w:tcW w:type="dxa" w:w="6460"/>
            <w:vAlign w:val="center"/>
          </w:tcPr>
          <w:p>
            <w:pPr>
              <w:spacing w:after="0"/>
            </w:pPr>
            <w:r>
              <w:rPr>
                <w:rFonts w:ascii="Calibri" w:hAnsi="Calibri"/>
                <w:color w:val="14213D"/>
                <w:sz w:val="18"/>
              </w:rPr>
              <w:t>FUL-001 to FUL-012; E2E-04/05/06</w:t>
            </w:r>
          </w:p>
        </w:tc>
      </w:tr>
      <w:tr>
        <w:trPr>
          <w:cantSplit/>
        </w:trPr>
        <w:tc>
          <w:tcPr>
            <w:tcW w:type="dxa" w:w="2900"/>
            <w:vAlign w:val="center"/>
          </w:tcPr>
          <w:p>
            <w:pPr>
              <w:spacing w:after="0"/>
            </w:pPr>
            <w:r>
              <w:rPr>
                <w:rFonts w:ascii="Calibri" w:hAnsi="Calibri"/>
                <w:color w:val="14213D"/>
                <w:sz w:val="18"/>
              </w:rPr>
              <w:t>People and governance</w:t>
            </w:r>
          </w:p>
        </w:tc>
        <w:tc>
          <w:tcPr>
            <w:tcW w:type="dxa" w:w="6460"/>
            <w:vAlign w:val="center"/>
          </w:tcPr>
          <w:p>
            <w:pPr>
              <w:spacing w:after="0"/>
            </w:pPr>
            <w:r>
              <w:rPr>
                <w:rFonts w:ascii="Calibri" w:hAnsi="Calibri"/>
                <w:color w:val="14213D"/>
                <w:sz w:val="18"/>
              </w:rPr>
              <w:t>ADM-001 to ADM-010; E2E-07/08</w:t>
            </w:r>
          </w:p>
        </w:tc>
      </w:tr>
      <w:tr>
        <w:trPr>
          <w:cantSplit/>
        </w:trPr>
        <w:tc>
          <w:tcPr>
            <w:tcW w:type="dxa" w:w="2900"/>
            <w:vAlign w:val="center"/>
          </w:tcPr>
          <w:p>
            <w:pPr>
              <w:spacing w:after="0"/>
            </w:pPr>
            <w:r>
              <w:rPr>
                <w:rFonts w:ascii="Calibri" w:hAnsi="Calibri"/>
                <w:color w:val="14213D"/>
                <w:sz w:val="18"/>
              </w:rPr>
              <w:t>Low-code platform</w:t>
            </w:r>
          </w:p>
        </w:tc>
        <w:tc>
          <w:tcPr>
            <w:tcW w:type="dxa" w:w="6460"/>
            <w:vAlign w:val="center"/>
          </w:tcPr>
          <w:p>
            <w:pPr>
              <w:spacing w:after="0"/>
            </w:pPr>
            <w:r>
              <w:rPr>
                <w:rFonts w:ascii="Calibri" w:hAnsi="Calibri"/>
                <w:color w:val="14213D"/>
                <w:sz w:val="18"/>
              </w:rPr>
              <w:t>META-001 to META-015; E2E-09</w:t>
            </w:r>
          </w:p>
        </w:tc>
      </w:tr>
      <w:tr>
        <w:trPr>
          <w:cantSplit/>
        </w:trPr>
        <w:tc>
          <w:tcPr>
            <w:tcW w:type="dxa" w:w="2900"/>
            <w:vAlign w:val="center"/>
          </w:tcPr>
          <w:p>
            <w:pPr>
              <w:spacing w:after="0"/>
            </w:pPr>
            <w:r>
              <w:rPr>
                <w:rFonts w:ascii="Calibri" w:hAnsi="Calibri"/>
                <w:color w:val="14213D"/>
                <w:sz w:val="18"/>
              </w:rPr>
              <w:t>AI safety and value</w:t>
            </w:r>
          </w:p>
        </w:tc>
        <w:tc>
          <w:tcPr>
            <w:tcW w:type="dxa" w:w="6460"/>
            <w:vAlign w:val="center"/>
          </w:tcPr>
          <w:p>
            <w:pPr>
              <w:spacing w:after="0"/>
            </w:pPr>
            <w:r>
              <w:rPr>
                <w:rFonts w:ascii="Calibri" w:hAnsi="Calibri"/>
                <w:color w:val="14213D"/>
                <w:sz w:val="18"/>
              </w:rPr>
              <w:t>AI-001 to AI-011; E2E-10; NFR-08/11</w:t>
            </w:r>
          </w:p>
        </w:tc>
      </w:tr>
      <w:tr>
        <w:trPr>
          <w:cantSplit/>
        </w:trPr>
        <w:tc>
          <w:tcPr>
            <w:tcW w:type="dxa" w:w="2900"/>
            <w:vAlign w:val="center"/>
          </w:tcPr>
          <w:p>
            <w:pPr>
              <w:spacing w:after="0"/>
            </w:pPr>
            <w:r>
              <w:rPr>
                <w:rFonts w:ascii="Calibri" w:hAnsi="Calibri"/>
                <w:color w:val="14213D"/>
                <w:sz w:val="18"/>
              </w:rPr>
              <w:t>Files, recovery and operational readiness</w:t>
            </w:r>
          </w:p>
        </w:tc>
        <w:tc>
          <w:tcPr>
            <w:tcW w:type="dxa" w:w="6460"/>
            <w:vAlign w:val="center"/>
          </w:tcPr>
          <w:p>
            <w:pPr>
              <w:spacing w:after="0"/>
            </w:pPr>
            <w:r>
              <w:rPr>
                <w:rFonts w:ascii="Calibri" w:hAnsi="Calibri"/>
                <w:color w:val="14213D"/>
                <w:sz w:val="18"/>
              </w:rPr>
              <w:t>INT-001 to INT-006; NFR-03/05/06/10/11/12</w:t>
            </w:r>
          </w:p>
        </w:tc>
      </w:tr>
    </w:tbl>
    <w:p>
      <w:pPr>
        <w:spacing w:after="0"/>
      </w:pPr>
    </w:p>
    <w:p>
      <w:pPr>
        <w:pStyle w:val="Heading2"/>
      </w:pPr>
      <w:r>
        <w:t>Coverage metrics</w:t>
      </w:r>
    </w:p>
    <w:p>
      <w:r>
        <w:t>Track planned/executed/pass/fail/blocked/waived by priority, domain, persona, Business, Branch, browser/device, and build. Trace every defect to cases and every case to one or more capability/risk rows above. Report separate security-negative and financial/stock reconciliation completion rates.</w:t>
      </w:r>
    </w:p>
    <w:tbl>
      <w:tblPr>
        <w:tblW w:type="dxa" w:w="9360"/>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EEF5"/>
          </w:tcPr>
          <w:p>
            <w:r>
              <w:rPr>
                <w:rFonts w:ascii="Calibri" w:hAnsi="Calibri"/>
                <w:b/>
                <w:color w:val="1F4D78"/>
              </w:rPr>
              <w:t xml:space="preserve">Minimum regression pack: </w:t>
            </w:r>
            <w:r>
              <w:rPr>
                <w:rFonts w:ascii="Calibri" w:hAnsi="Calibri"/>
                <w:color w:val="1F4D78"/>
              </w:rPr>
              <w:t>E2E-01, E2E-02, E2E-03, E2E-04, E2E-07, E2E-08, E2E-09, E2E-10, E2E-11, AUTH-004/005/007, SEC-002 to SEC-007, OPS-005/008/010, FIN-011/013, META-004/009/013/014, AI-003/004/007/008, INT-002/003/005 and all NFR P0 checks.</w:t>
            </w:r>
          </w:p>
        </w:tc>
      </w:tr>
    </w:tbl>
    <w:p>
      <w:pPr>
        <w:spacing w:after="0"/>
      </w:pPr>
    </w:p>
    <w:p>
      <w:pPr>
        <w:pStyle w:val="Heading1"/>
      </w:pPr>
      <w:r>
        <w:t>13. Sign-off</w:t>
      </w:r>
    </w:p>
    <w:p>
      <w:pPr>
        <w:pStyle w:val="Heading2"/>
      </w:pPr>
      <w:r>
        <w:t>UAT completion summary</w:t>
      </w:r>
    </w:p>
    <w:tbl>
      <w:tblPr>
        <w:tblStyle w:val="TableGrid"/>
        <w:tblW w:type="dxa" w:w="9360"/>
        <w:tblLayout w:type="fixed"/>
        <w:tblLook w:firstColumn="1" w:firstRow="1" w:lastColumn="0" w:lastRow="0" w:noHBand="0" w:noVBand="1" w:val="04A0"/>
        <w:tblInd w:w="120" w:type="dxa"/>
      </w:tblPr>
      <w:tblGrid>
        <w:gridCol w:w="3600"/>
        <w:gridCol w:w="5760"/>
      </w:tblGrid>
      <w:tr>
        <w:trPr>
          <w:tblHeader w:val="true"/>
          <w:cantSplit/>
        </w:trPr>
        <w:tc>
          <w:tcPr>
            <w:tcW w:type="dxa" w:w="3600"/>
            <w:tcMar>
              <w:top w:w="80" w:type="dxa"/>
              <w:start w:w="120" w:type="dxa"/>
              <w:bottom w:w="80" w:type="dxa"/>
              <w:end w:w="120" w:type="dxa"/>
            </w:tcMar>
            <w:shd w:fill="E8EEF5"/>
            <w:vAlign w:val="center"/>
          </w:tcPr>
          <w:p>
            <w:pPr>
              <w:keepNext/>
              <w:spacing w:after="0"/>
            </w:pPr>
            <w:r>
              <w:rPr>
                <w:rFonts w:ascii="Calibri" w:hAnsi="Calibri"/>
                <w:b/>
                <w:color w:val="14213D"/>
                <w:sz w:val="18"/>
              </w:rPr>
              <w:t>Metric</w:t>
            </w:r>
          </w:p>
        </w:tc>
        <w:tc>
          <w:tcPr>
            <w:tcW w:type="dxa" w:w="5760"/>
            <w:tcMar>
              <w:top w:w="80" w:type="dxa"/>
              <w:start w:w="120" w:type="dxa"/>
              <w:bottom w:w="80" w:type="dxa"/>
              <w:end w:w="120" w:type="dxa"/>
            </w:tcMar>
            <w:shd w:fill="E8EEF5"/>
            <w:vAlign w:val="center"/>
          </w:tcPr>
          <w:p>
            <w:pPr>
              <w:keepNext/>
              <w:spacing w:after="0"/>
            </w:pPr>
            <w:r>
              <w:rPr>
                <w:rFonts w:ascii="Calibri" w:hAnsi="Calibri"/>
                <w:b/>
                <w:color w:val="14213D"/>
                <w:sz w:val="18"/>
              </w:rPr>
              <w:t>Result</w:t>
            </w:r>
          </w:p>
        </w:tc>
      </w:tr>
      <w:tr>
        <w:trPr>
          <w:cantSplit/>
        </w:trPr>
        <w:tc>
          <w:tcPr>
            <w:tcW w:type="dxa" w:w="3600"/>
            <w:vAlign w:val="center"/>
          </w:tcPr>
          <w:p>
            <w:pPr>
              <w:spacing w:after="0"/>
            </w:pPr>
            <w:r>
              <w:rPr>
                <w:rFonts w:ascii="Calibri" w:hAnsi="Calibri"/>
                <w:color w:val="14213D"/>
                <w:sz w:val="18"/>
              </w:rPr>
              <w:t>Release candidate / build</w:t>
            </w:r>
          </w:p>
        </w:tc>
        <w:tc>
          <w:tcPr>
            <w:tcW w:type="dxa" w:w="5760"/>
            <w:vAlign w:val="center"/>
          </w:tcPr>
          <w:p>
            <w:pPr>
              <w:spacing w:after="0"/>
            </w:pPr>
            <w:r>
              <w:rPr>
                <w:rFonts w:ascii="Calibri" w:hAnsi="Calibri"/>
                <w:color w:val="14213D"/>
                <w:sz w:val="18"/>
              </w:rPr>
            </w:r>
          </w:p>
        </w:tc>
      </w:tr>
      <w:tr>
        <w:trPr>
          <w:cantSplit/>
        </w:trPr>
        <w:tc>
          <w:tcPr>
            <w:tcW w:type="dxa" w:w="3600"/>
            <w:vAlign w:val="center"/>
          </w:tcPr>
          <w:p>
            <w:pPr>
              <w:spacing w:after="0"/>
            </w:pPr>
            <w:r>
              <w:rPr>
                <w:rFonts w:ascii="Calibri" w:hAnsi="Calibri"/>
                <w:color w:val="14213D"/>
                <w:sz w:val="18"/>
              </w:rPr>
              <w:t>UAT dates and environment</w:t>
            </w:r>
          </w:p>
        </w:tc>
        <w:tc>
          <w:tcPr>
            <w:tcW w:type="dxa" w:w="5760"/>
            <w:vAlign w:val="center"/>
          </w:tcPr>
          <w:p>
            <w:pPr>
              <w:spacing w:after="0"/>
            </w:pPr>
            <w:r>
              <w:rPr>
                <w:rFonts w:ascii="Calibri" w:hAnsi="Calibri"/>
                <w:color w:val="14213D"/>
                <w:sz w:val="18"/>
              </w:rPr>
            </w:r>
          </w:p>
        </w:tc>
      </w:tr>
      <w:tr>
        <w:trPr>
          <w:cantSplit/>
        </w:trPr>
        <w:tc>
          <w:tcPr>
            <w:tcW w:type="dxa" w:w="3600"/>
            <w:vAlign w:val="center"/>
          </w:tcPr>
          <w:p>
            <w:pPr>
              <w:spacing w:after="0"/>
            </w:pPr>
            <w:r>
              <w:rPr>
                <w:rFonts w:ascii="Calibri" w:hAnsi="Calibri"/>
                <w:color w:val="14213D"/>
                <w:sz w:val="18"/>
              </w:rPr>
              <w:t>Planned / executed / passed / failed / blocked / waived</w:t>
            </w:r>
          </w:p>
        </w:tc>
        <w:tc>
          <w:tcPr>
            <w:tcW w:type="dxa" w:w="5760"/>
            <w:vAlign w:val="center"/>
          </w:tcPr>
          <w:p>
            <w:pPr>
              <w:spacing w:after="0"/>
            </w:pPr>
            <w:r>
              <w:rPr>
                <w:rFonts w:ascii="Calibri" w:hAnsi="Calibri"/>
                <w:color w:val="14213D"/>
                <w:sz w:val="18"/>
              </w:rPr>
            </w:r>
          </w:p>
        </w:tc>
      </w:tr>
      <w:tr>
        <w:trPr>
          <w:cantSplit/>
        </w:trPr>
        <w:tc>
          <w:tcPr>
            <w:tcW w:type="dxa" w:w="3600"/>
            <w:vAlign w:val="center"/>
          </w:tcPr>
          <w:p>
            <w:pPr>
              <w:spacing w:after="0"/>
            </w:pPr>
            <w:r>
              <w:rPr>
                <w:rFonts w:ascii="Calibri" w:hAnsi="Calibri"/>
                <w:color w:val="14213D"/>
                <w:sz w:val="18"/>
              </w:rPr>
              <w:t>P0 pass rate</w:t>
            </w:r>
          </w:p>
        </w:tc>
        <w:tc>
          <w:tcPr>
            <w:tcW w:type="dxa" w:w="5760"/>
            <w:vAlign w:val="center"/>
          </w:tcPr>
          <w:p>
            <w:pPr>
              <w:spacing w:after="0"/>
            </w:pPr>
            <w:r>
              <w:rPr>
                <w:rFonts w:ascii="Calibri" w:hAnsi="Calibri"/>
                <w:color w:val="14213D"/>
                <w:sz w:val="18"/>
              </w:rPr>
            </w:r>
          </w:p>
        </w:tc>
      </w:tr>
      <w:tr>
        <w:trPr>
          <w:cantSplit/>
        </w:trPr>
        <w:tc>
          <w:tcPr>
            <w:tcW w:type="dxa" w:w="3600"/>
            <w:vAlign w:val="center"/>
          </w:tcPr>
          <w:p>
            <w:pPr>
              <w:spacing w:after="0"/>
            </w:pPr>
            <w:r>
              <w:rPr>
                <w:rFonts w:ascii="Calibri" w:hAnsi="Calibri"/>
                <w:color w:val="14213D"/>
                <w:sz w:val="18"/>
              </w:rPr>
              <w:t>P1 pass rate</w:t>
            </w:r>
          </w:p>
        </w:tc>
        <w:tc>
          <w:tcPr>
            <w:tcW w:type="dxa" w:w="5760"/>
            <w:vAlign w:val="center"/>
          </w:tcPr>
          <w:p>
            <w:pPr>
              <w:spacing w:after="0"/>
            </w:pPr>
            <w:r>
              <w:rPr>
                <w:rFonts w:ascii="Calibri" w:hAnsi="Calibri"/>
                <w:color w:val="14213D"/>
                <w:sz w:val="18"/>
              </w:rPr>
            </w:r>
          </w:p>
        </w:tc>
      </w:tr>
      <w:tr>
        <w:trPr>
          <w:cantSplit/>
        </w:trPr>
        <w:tc>
          <w:tcPr>
            <w:tcW w:type="dxa" w:w="3600"/>
            <w:vAlign w:val="center"/>
          </w:tcPr>
          <w:p>
            <w:pPr>
              <w:spacing w:after="0"/>
            </w:pPr>
            <w:r>
              <w:rPr>
                <w:rFonts w:ascii="Calibri" w:hAnsi="Calibri"/>
                <w:color w:val="14213D"/>
                <w:sz w:val="18"/>
              </w:rPr>
              <w:t>Open defects by severity</w:t>
            </w:r>
          </w:p>
        </w:tc>
        <w:tc>
          <w:tcPr>
            <w:tcW w:type="dxa" w:w="5760"/>
            <w:vAlign w:val="center"/>
          </w:tcPr>
          <w:p>
            <w:pPr>
              <w:spacing w:after="0"/>
            </w:pPr>
            <w:r>
              <w:rPr>
                <w:rFonts w:ascii="Calibri" w:hAnsi="Calibri"/>
                <w:color w:val="14213D"/>
                <w:sz w:val="18"/>
              </w:rPr>
            </w:r>
          </w:p>
        </w:tc>
      </w:tr>
      <w:tr>
        <w:trPr>
          <w:cantSplit/>
        </w:trPr>
        <w:tc>
          <w:tcPr>
            <w:tcW w:type="dxa" w:w="3600"/>
            <w:vAlign w:val="center"/>
          </w:tcPr>
          <w:p>
            <w:pPr>
              <w:spacing w:after="0"/>
            </w:pPr>
            <w:r>
              <w:rPr>
                <w:rFonts w:ascii="Calibri" w:hAnsi="Calibri"/>
                <w:color w:val="14213D"/>
                <w:sz w:val="18"/>
              </w:rPr>
              <w:t>Regression result</w:t>
            </w:r>
          </w:p>
        </w:tc>
        <w:tc>
          <w:tcPr>
            <w:tcW w:type="dxa" w:w="5760"/>
            <w:vAlign w:val="center"/>
          </w:tcPr>
          <w:p>
            <w:pPr>
              <w:spacing w:after="0"/>
            </w:pPr>
            <w:r>
              <w:rPr>
                <w:rFonts w:ascii="Calibri" w:hAnsi="Calibri"/>
                <w:color w:val="14213D"/>
                <w:sz w:val="18"/>
              </w:rPr>
            </w:r>
          </w:p>
        </w:tc>
      </w:tr>
      <w:tr>
        <w:trPr>
          <w:cantSplit/>
        </w:trPr>
        <w:tc>
          <w:tcPr>
            <w:tcW w:type="dxa" w:w="3600"/>
            <w:vAlign w:val="center"/>
          </w:tcPr>
          <w:p>
            <w:pPr>
              <w:spacing w:after="0"/>
            </w:pPr>
            <w:r>
              <w:rPr>
                <w:rFonts w:ascii="Calibri" w:hAnsi="Calibri"/>
                <w:color w:val="14213D"/>
                <w:sz w:val="18"/>
              </w:rPr>
              <w:t>Residual risks and conditions</w:t>
            </w:r>
          </w:p>
        </w:tc>
        <w:tc>
          <w:tcPr>
            <w:tcW w:type="dxa" w:w="5760"/>
            <w:vAlign w:val="center"/>
          </w:tcPr>
          <w:p>
            <w:pPr>
              <w:spacing w:after="0"/>
            </w:pPr>
            <w:r>
              <w:rPr>
                <w:rFonts w:ascii="Calibri" w:hAnsi="Calibri"/>
                <w:color w:val="14213D"/>
                <w:sz w:val="18"/>
              </w:rPr>
            </w:r>
          </w:p>
        </w:tc>
      </w:tr>
      <w:tr>
        <w:trPr>
          <w:cantSplit/>
        </w:trPr>
        <w:tc>
          <w:tcPr>
            <w:tcW w:type="dxa" w:w="3600"/>
            <w:vAlign w:val="center"/>
          </w:tcPr>
          <w:p>
            <w:pPr>
              <w:spacing w:after="0"/>
            </w:pPr>
            <w:r>
              <w:rPr>
                <w:rFonts w:ascii="Calibri" w:hAnsi="Calibri"/>
                <w:color w:val="14213D"/>
                <w:sz w:val="18"/>
              </w:rPr>
              <w:t>Recommended decision</w:t>
            </w:r>
          </w:p>
        </w:tc>
        <w:tc>
          <w:tcPr>
            <w:tcW w:type="dxa" w:w="5760"/>
            <w:vAlign w:val="center"/>
          </w:tcPr>
          <w:p>
            <w:pPr>
              <w:spacing w:after="0"/>
            </w:pPr>
            <w:r>
              <w:rPr>
                <w:rFonts w:ascii="Calibri" w:hAnsi="Calibri"/>
                <w:color w:val="14213D"/>
                <w:sz w:val="18"/>
              </w:rPr>
            </w:r>
          </w:p>
        </w:tc>
      </w:tr>
    </w:tbl>
    <w:p>
      <w:pPr>
        <w:spacing w:after="0"/>
      </w:pPr>
    </w:p>
    <w:p>
      <w:pPr>
        <w:pStyle w:val="Heading2"/>
      </w:pPr>
      <w:r>
        <w:t>Residual risk register</w:t>
      </w:r>
    </w:p>
    <w:tbl>
      <w:tblPr>
        <w:tblStyle w:val="TableGrid"/>
        <w:tblW w:type="dxa" w:w="9360"/>
        <w:tblLayout w:type="fixed"/>
        <w:tblLook w:firstColumn="1" w:firstRow="1" w:lastColumn="0" w:lastRow="0" w:noHBand="0" w:noVBand="1" w:val="04A0"/>
        <w:tblInd w:w="120" w:type="dxa"/>
      </w:tblPr>
      <w:tblGrid>
        <w:gridCol w:w="700"/>
        <w:gridCol w:w="2400"/>
        <w:gridCol w:w="1500"/>
        <w:gridCol w:w="2200"/>
        <w:gridCol w:w="1500"/>
        <w:gridCol w:w="1060"/>
      </w:tblGrid>
      <w:tr>
        <w:trPr>
          <w:tblHeader w:val="true"/>
          <w:cantSplit/>
        </w:trPr>
        <w:tc>
          <w:tcPr>
            <w:tcW w:type="dxa" w:w="700"/>
            <w:tcMar>
              <w:top w:w="80" w:type="dxa"/>
              <w:start w:w="120" w:type="dxa"/>
              <w:bottom w:w="80" w:type="dxa"/>
              <w:end w:w="120" w:type="dxa"/>
            </w:tcMar>
            <w:shd w:fill="E8EEF5"/>
            <w:vAlign w:val="center"/>
          </w:tcPr>
          <w:p>
            <w:pPr>
              <w:keepNext/>
              <w:spacing w:after="0"/>
            </w:pPr>
            <w:r>
              <w:rPr>
                <w:rFonts w:ascii="Calibri" w:hAnsi="Calibri"/>
                <w:b/>
                <w:color w:val="14213D"/>
                <w:sz w:val="18"/>
              </w:rPr>
              <w:t>ID</w:t>
            </w:r>
          </w:p>
        </w:tc>
        <w:tc>
          <w:tcPr>
            <w:tcW w:type="dxa" w:w="2400"/>
            <w:tcMar>
              <w:top w:w="80" w:type="dxa"/>
              <w:start w:w="120" w:type="dxa"/>
              <w:bottom w:w="80" w:type="dxa"/>
              <w:end w:w="120" w:type="dxa"/>
            </w:tcMar>
            <w:shd w:fill="E8EEF5"/>
            <w:vAlign w:val="center"/>
          </w:tcPr>
          <w:p>
            <w:pPr>
              <w:keepNext/>
              <w:spacing w:after="0"/>
            </w:pPr>
            <w:r>
              <w:rPr>
                <w:rFonts w:ascii="Calibri" w:hAnsi="Calibri"/>
                <w:b/>
                <w:color w:val="14213D"/>
                <w:sz w:val="18"/>
              </w:rPr>
              <w:t>Risk / affected scope</w:t>
            </w:r>
          </w:p>
        </w:tc>
        <w:tc>
          <w:tcPr>
            <w:tcW w:type="dxa" w:w="1500"/>
            <w:tcMar>
              <w:top w:w="80" w:type="dxa"/>
              <w:start w:w="120" w:type="dxa"/>
              <w:bottom w:w="80" w:type="dxa"/>
              <w:end w:w="120" w:type="dxa"/>
            </w:tcMar>
            <w:shd w:fill="E8EEF5"/>
            <w:vAlign w:val="center"/>
          </w:tcPr>
          <w:p>
            <w:pPr>
              <w:keepNext/>
              <w:spacing w:after="0"/>
            </w:pPr>
            <w:r>
              <w:rPr>
                <w:rFonts w:ascii="Calibri" w:hAnsi="Calibri"/>
                <w:b/>
                <w:color w:val="14213D"/>
                <w:sz w:val="18"/>
              </w:rPr>
              <w:t>Impact / likelihood</w:t>
            </w:r>
          </w:p>
        </w:tc>
        <w:tc>
          <w:tcPr>
            <w:tcW w:type="dxa" w:w="2200"/>
            <w:tcMar>
              <w:top w:w="80" w:type="dxa"/>
              <w:start w:w="120" w:type="dxa"/>
              <w:bottom w:w="80" w:type="dxa"/>
              <w:end w:w="120" w:type="dxa"/>
            </w:tcMar>
            <w:shd w:fill="E8EEF5"/>
            <w:vAlign w:val="center"/>
          </w:tcPr>
          <w:p>
            <w:pPr>
              <w:keepNext/>
              <w:spacing w:after="0"/>
            </w:pPr>
            <w:r>
              <w:rPr>
                <w:rFonts w:ascii="Calibri" w:hAnsi="Calibri"/>
                <w:b/>
                <w:color w:val="14213D"/>
                <w:sz w:val="18"/>
              </w:rPr>
              <w:t>Mitigation / monitoring</w:t>
            </w:r>
          </w:p>
        </w:tc>
        <w:tc>
          <w:tcPr>
            <w:tcW w:type="dxa" w:w="1500"/>
            <w:tcMar>
              <w:top w:w="80" w:type="dxa"/>
              <w:start w:w="120" w:type="dxa"/>
              <w:bottom w:w="80" w:type="dxa"/>
              <w:end w:w="120" w:type="dxa"/>
            </w:tcMar>
            <w:shd w:fill="E8EEF5"/>
            <w:vAlign w:val="center"/>
          </w:tcPr>
          <w:p>
            <w:pPr>
              <w:keepNext/>
              <w:spacing w:after="0"/>
            </w:pPr>
            <w:r>
              <w:rPr>
                <w:rFonts w:ascii="Calibri" w:hAnsi="Calibri"/>
                <w:b/>
                <w:color w:val="14213D"/>
                <w:sz w:val="18"/>
              </w:rPr>
              <w:t>Owner / due date</w:t>
            </w:r>
          </w:p>
        </w:tc>
        <w:tc>
          <w:tcPr>
            <w:tcW w:type="dxa" w:w="1060"/>
            <w:tcMar>
              <w:top w:w="80" w:type="dxa"/>
              <w:start w:w="120" w:type="dxa"/>
              <w:bottom w:w="80" w:type="dxa"/>
              <w:end w:w="120" w:type="dxa"/>
            </w:tcMar>
            <w:shd w:fill="E8EEF5"/>
            <w:vAlign w:val="center"/>
          </w:tcPr>
          <w:p>
            <w:pPr>
              <w:keepNext/>
              <w:spacing w:after="0"/>
            </w:pPr>
            <w:r>
              <w:rPr>
                <w:rFonts w:ascii="Calibri" w:hAnsi="Calibri"/>
                <w:b/>
                <w:color w:val="14213D"/>
                <w:sz w:val="18"/>
              </w:rPr>
              <w:t>Decision</w:t>
            </w:r>
          </w:p>
        </w:tc>
      </w:tr>
      <w:tr>
        <w:trPr>
          <w:cantSplit/>
        </w:trPr>
        <w:tc>
          <w:tcPr>
            <w:tcW w:type="dxa" w:w="700"/>
            <w:vAlign w:val="center"/>
          </w:tcPr>
          <w:p>
            <w:pPr>
              <w:spacing w:after="0"/>
            </w:pPr>
            <w:r>
              <w:rPr>
                <w:rFonts w:ascii="Calibri" w:hAnsi="Calibri"/>
                <w:color w:val="14213D"/>
                <w:sz w:val="17"/>
              </w:rPr>
            </w:r>
          </w:p>
        </w:tc>
        <w:tc>
          <w:tcPr>
            <w:tcW w:type="dxa" w:w="2400"/>
            <w:vAlign w:val="center"/>
          </w:tcPr>
          <w:p>
            <w:pPr>
              <w:spacing w:after="0"/>
            </w:pPr>
            <w:r>
              <w:rPr>
                <w:rFonts w:ascii="Calibri" w:hAnsi="Calibri"/>
                <w:color w:val="14213D"/>
                <w:sz w:val="17"/>
              </w:rPr>
            </w:r>
          </w:p>
        </w:tc>
        <w:tc>
          <w:tcPr>
            <w:tcW w:type="dxa" w:w="1500"/>
            <w:vAlign w:val="center"/>
          </w:tcPr>
          <w:p>
            <w:pPr>
              <w:spacing w:after="0"/>
            </w:pPr>
            <w:r>
              <w:rPr>
                <w:rFonts w:ascii="Calibri" w:hAnsi="Calibri"/>
                <w:color w:val="14213D"/>
                <w:sz w:val="17"/>
              </w:rPr>
            </w:r>
          </w:p>
        </w:tc>
        <w:tc>
          <w:tcPr>
            <w:tcW w:type="dxa" w:w="2200"/>
            <w:vAlign w:val="center"/>
          </w:tcPr>
          <w:p>
            <w:pPr>
              <w:spacing w:after="0"/>
            </w:pPr>
            <w:r>
              <w:rPr>
                <w:rFonts w:ascii="Calibri" w:hAnsi="Calibri"/>
                <w:color w:val="14213D"/>
                <w:sz w:val="17"/>
              </w:rPr>
            </w:r>
          </w:p>
        </w:tc>
        <w:tc>
          <w:tcPr>
            <w:tcW w:type="dxa" w:w="1500"/>
            <w:vAlign w:val="center"/>
          </w:tcPr>
          <w:p>
            <w:pPr>
              <w:spacing w:after="0"/>
            </w:pPr>
            <w:r>
              <w:rPr>
                <w:rFonts w:ascii="Calibri" w:hAnsi="Calibri"/>
                <w:color w:val="14213D"/>
                <w:sz w:val="17"/>
              </w:rPr>
            </w:r>
          </w:p>
        </w:tc>
        <w:tc>
          <w:tcPr>
            <w:tcW w:type="dxa" w:w="1060"/>
            <w:vAlign w:val="center"/>
          </w:tcPr>
          <w:p>
            <w:pPr>
              <w:spacing w:after="0"/>
            </w:pPr>
            <w:r>
              <w:rPr>
                <w:rFonts w:ascii="Calibri" w:hAnsi="Calibri"/>
                <w:color w:val="14213D"/>
                <w:sz w:val="17"/>
              </w:rPr>
            </w:r>
          </w:p>
        </w:tc>
      </w:tr>
      <w:tr>
        <w:trPr>
          <w:cantSplit/>
        </w:trPr>
        <w:tc>
          <w:tcPr>
            <w:tcW w:type="dxa" w:w="700"/>
            <w:vAlign w:val="center"/>
          </w:tcPr>
          <w:p>
            <w:pPr>
              <w:spacing w:after="0"/>
            </w:pPr>
            <w:r>
              <w:rPr>
                <w:rFonts w:ascii="Calibri" w:hAnsi="Calibri"/>
                <w:color w:val="14213D"/>
                <w:sz w:val="17"/>
              </w:rPr>
            </w:r>
          </w:p>
        </w:tc>
        <w:tc>
          <w:tcPr>
            <w:tcW w:type="dxa" w:w="2400"/>
            <w:vAlign w:val="center"/>
          </w:tcPr>
          <w:p>
            <w:pPr>
              <w:spacing w:after="0"/>
            </w:pPr>
            <w:r>
              <w:rPr>
                <w:rFonts w:ascii="Calibri" w:hAnsi="Calibri"/>
                <w:color w:val="14213D"/>
                <w:sz w:val="17"/>
              </w:rPr>
            </w:r>
          </w:p>
        </w:tc>
        <w:tc>
          <w:tcPr>
            <w:tcW w:type="dxa" w:w="1500"/>
            <w:vAlign w:val="center"/>
          </w:tcPr>
          <w:p>
            <w:pPr>
              <w:spacing w:after="0"/>
            </w:pPr>
            <w:r>
              <w:rPr>
                <w:rFonts w:ascii="Calibri" w:hAnsi="Calibri"/>
                <w:color w:val="14213D"/>
                <w:sz w:val="17"/>
              </w:rPr>
            </w:r>
          </w:p>
        </w:tc>
        <w:tc>
          <w:tcPr>
            <w:tcW w:type="dxa" w:w="2200"/>
            <w:vAlign w:val="center"/>
          </w:tcPr>
          <w:p>
            <w:pPr>
              <w:spacing w:after="0"/>
            </w:pPr>
            <w:r>
              <w:rPr>
                <w:rFonts w:ascii="Calibri" w:hAnsi="Calibri"/>
                <w:color w:val="14213D"/>
                <w:sz w:val="17"/>
              </w:rPr>
            </w:r>
          </w:p>
        </w:tc>
        <w:tc>
          <w:tcPr>
            <w:tcW w:type="dxa" w:w="1500"/>
            <w:vAlign w:val="center"/>
          </w:tcPr>
          <w:p>
            <w:pPr>
              <w:spacing w:after="0"/>
            </w:pPr>
            <w:r>
              <w:rPr>
                <w:rFonts w:ascii="Calibri" w:hAnsi="Calibri"/>
                <w:color w:val="14213D"/>
                <w:sz w:val="17"/>
              </w:rPr>
            </w:r>
          </w:p>
        </w:tc>
        <w:tc>
          <w:tcPr>
            <w:tcW w:type="dxa" w:w="1060"/>
            <w:vAlign w:val="center"/>
          </w:tcPr>
          <w:p>
            <w:pPr>
              <w:spacing w:after="0"/>
            </w:pPr>
            <w:r>
              <w:rPr>
                <w:rFonts w:ascii="Calibri" w:hAnsi="Calibri"/>
                <w:color w:val="14213D"/>
                <w:sz w:val="17"/>
              </w:rPr>
            </w:r>
          </w:p>
        </w:tc>
      </w:tr>
      <w:tr>
        <w:trPr>
          <w:cantSplit/>
        </w:trPr>
        <w:tc>
          <w:tcPr>
            <w:tcW w:type="dxa" w:w="700"/>
            <w:vAlign w:val="center"/>
          </w:tcPr>
          <w:p>
            <w:pPr>
              <w:spacing w:after="0"/>
            </w:pPr>
            <w:r>
              <w:rPr>
                <w:rFonts w:ascii="Calibri" w:hAnsi="Calibri"/>
                <w:color w:val="14213D"/>
                <w:sz w:val="17"/>
              </w:rPr>
            </w:r>
          </w:p>
        </w:tc>
        <w:tc>
          <w:tcPr>
            <w:tcW w:type="dxa" w:w="2400"/>
            <w:vAlign w:val="center"/>
          </w:tcPr>
          <w:p>
            <w:pPr>
              <w:spacing w:after="0"/>
            </w:pPr>
            <w:r>
              <w:rPr>
                <w:rFonts w:ascii="Calibri" w:hAnsi="Calibri"/>
                <w:color w:val="14213D"/>
                <w:sz w:val="17"/>
              </w:rPr>
            </w:r>
          </w:p>
        </w:tc>
        <w:tc>
          <w:tcPr>
            <w:tcW w:type="dxa" w:w="1500"/>
            <w:vAlign w:val="center"/>
          </w:tcPr>
          <w:p>
            <w:pPr>
              <w:spacing w:after="0"/>
            </w:pPr>
            <w:r>
              <w:rPr>
                <w:rFonts w:ascii="Calibri" w:hAnsi="Calibri"/>
                <w:color w:val="14213D"/>
                <w:sz w:val="17"/>
              </w:rPr>
            </w:r>
          </w:p>
        </w:tc>
        <w:tc>
          <w:tcPr>
            <w:tcW w:type="dxa" w:w="2200"/>
            <w:vAlign w:val="center"/>
          </w:tcPr>
          <w:p>
            <w:pPr>
              <w:spacing w:after="0"/>
            </w:pPr>
            <w:r>
              <w:rPr>
                <w:rFonts w:ascii="Calibri" w:hAnsi="Calibri"/>
                <w:color w:val="14213D"/>
                <w:sz w:val="17"/>
              </w:rPr>
            </w:r>
          </w:p>
        </w:tc>
        <w:tc>
          <w:tcPr>
            <w:tcW w:type="dxa" w:w="1500"/>
            <w:vAlign w:val="center"/>
          </w:tcPr>
          <w:p>
            <w:pPr>
              <w:spacing w:after="0"/>
            </w:pPr>
            <w:r>
              <w:rPr>
                <w:rFonts w:ascii="Calibri" w:hAnsi="Calibri"/>
                <w:color w:val="14213D"/>
                <w:sz w:val="17"/>
              </w:rPr>
            </w:r>
          </w:p>
        </w:tc>
        <w:tc>
          <w:tcPr>
            <w:tcW w:type="dxa" w:w="1060"/>
            <w:vAlign w:val="center"/>
          </w:tcPr>
          <w:p>
            <w:pPr>
              <w:spacing w:after="0"/>
            </w:pPr>
            <w:r>
              <w:rPr>
                <w:rFonts w:ascii="Calibri" w:hAnsi="Calibri"/>
                <w:color w:val="14213D"/>
                <w:sz w:val="17"/>
              </w:rPr>
            </w:r>
          </w:p>
        </w:tc>
      </w:tr>
      <w:tr>
        <w:trPr>
          <w:cantSplit/>
        </w:trPr>
        <w:tc>
          <w:tcPr>
            <w:tcW w:type="dxa" w:w="700"/>
            <w:vAlign w:val="center"/>
          </w:tcPr>
          <w:p>
            <w:pPr>
              <w:spacing w:after="0"/>
            </w:pPr>
            <w:r>
              <w:rPr>
                <w:rFonts w:ascii="Calibri" w:hAnsi="Calibri"/>
                <w:color w:val="14213D"/>
                <w:sz w:val="17"/>
              </w:rPr>
            </w:r>
          </w:p>
        </w:tc>
        <w:tc>
          <w:tcPr>
            <w:tcW w:type="dxa" w:w="2400"/>
            <w:vAlign w:val="center"/>
          </w:tcPr>
          <w:p>
            <w:pPr>
              <w:spacing w:after="0"/>
            </w:pPr>
            <w:r>
              <w:rPr>
                <w:rFonts w:ascii="Calibri" w:hAnsi="Calibri"/>
                <w:color w:val="14213D"/>
                <w:sz w:val="17"/>
              </w:rPr>
            </w:r>
          </w:p>
        </w:tc>
        <w:tc>
          <w:tcPr>
            <w:tcW w:type="dxa" w:w="1500"/>
            <w:vAlign w:val="center"/>
          </w:tcPr>
          <w:p>
            <w:pPr>
              <w:spacing w:after="0"/>
            </w:pPr>
            <w:r>
              <w:rPr>
                <w:rFonts w:ascii="Calibri" w:hAnsi="Calibri"/>
                <w:color w:val="14213D"/>
                <w:sz w:val="17"/>
              </w:rPr>
            </w:r>
          </w:p>
        </w:tc>
        <w:tc>
          <w:tcPr>
            <w:tcW w:type="dxa" w:w="2200"/>
            <w:vAlign w:val="center"/>
          </w:tcPr>
          <w:p>
            <w:pPr>
              <w:spacing w:after="0"/>
            </w:pPr>
            <w:r>
              <w:rPr>
                <w:rFonts w:ascii="Calibri" w:hAnsi="Calibri"/>
                <w:color w:val="14213D"/>
                <w:sz w:val="17"/>
              </w:rPr>
            </w:r>
          </w:p>
        </w:tc>
        <w:tc>
          <w:tcPr>
            <w:tcW w:type="dxa" w:w="1500"/>
            <w:vAlign w:val="center"/>
          </w:tcPr>
          <w:p>
            <w:pPr>
              <w:spacing w:after="0"/>
            </w:pPr>
            <w:r>
              <w:rPr>
                <w:rFonts w:ascii="Calibri" w:hAnsi="Calibri"/>
                <w:color w:val="14213D"/>
                <w:sz w:val="17"/>
              </w:rPr>
            </w:r>
          </w:p>
        </w:tc>
        <w:tc>
          <w:tcPr>
            <w:tcW w:type="dxa" w:w="1060"/>
            <w:vAlign w:val="center"/>
          </w:tcPr>
          <w:p>
            <w:pPr>
              <w:spacing w:after="0"/>
            </w:pPr>
            <w:r>
              <w:rPr>
                <w:rFonts w:ascii="Calibri" w:hAnsi="Calibri"/>
                <w:color w:val="14213D"/>
                <w:sz w:val="17"/>
              </w:rPr>
            </w:r>
          </w:p>
        </w:tc>
      </w:tr>
    </w:tbl>
    <w:p>
      <w:pPr>
        <w:spacing w:after="0"/>
      </w:pPr>
    </w:p>
    <w:p>
      <w:pPr>
        <w:pStyle w:val="Heading2"/>
      </w:pPr>
      <w:r>
        <w:t>Final decision</w:t>
      </w:r>
    </w:p>
    <w:tbl>
      <w:tblPr>
        <w:tblStyle w:val="TableGrid"/>
        <w:tblW w:type="dxa" w:w="9360"/>
        <w:tblLayout w:type="fixed"/>
        <w:tblLook w:firstColumn="1" w:firstRow="1" w:lastColumn="0" w:lastRow="0" w:noHBand="0" w:noVBand="1" w:val="04A0"/>
        <w:tblInd w:w="120" w:type="dxa"/>
      </w:tblPr>
      <w:tblGrid>
        <w:gridCol w:w="2900"/>
        <w:gridCol w:w="1000"/>
        <w:gridCol w:w="5460"/>
      </w:tblGrid>
      <w:tr>
        <w:trPr>
          <w:tblHeader w:val="true"/>
          <w:cantSplit/>
        </w:trPr>
        <w:tc>
          <w:tcPr>
            <w:tcW w:type="dxa" w:w="2900"/>
            <w:tcMar>
              <w:top w:w="80" w:type="dxa"/>
              <w:start w:w="120" w:type="dxa"/>
              <w:bottom w:w="80" w:type="dxa"/>
              <w:end w:w="120" w:type="dxa"/>
            </w:tcMar>
            <w:shd w:fill="E8EEF5"/>
            <w:vAlign w:val="center"/>
          </w:tcPr>
          <w:p>
            <w:pPr>
              <w:keepNext/>
              <w:spacing w:after="0"/>
            </w:pPr>
            <w:r>
              <w:rPr>
                <w:rFonts w:ascii="Calibri" w:hAnsi="Calibri"/>
                <w:b/>
                <w:color w:val="14213D"/>
                <w:sz w:val="18"/>
              </w:rPr>
              <w:t>Decision</w:t>
            </w:r>
          </w:p>
        </w:tc>
        <w:tc>
          <w:tcPr>
            <w:tcW w:type="dxa" w:w="1000"/>
            <w:tcMar>
              <w:top w:w="80" w:type="dxa"/>
              <w:start w:w="120" w:type="dxa"/>
              <w:bottom w:w="80" w:type="dxa"/>
              <w:end w:w="120" w:type="dxa"/>
            </w:tcMar>
            <w:shd w:fill="E8EEF5"/>
            <w:vAlign w:val="center"/>
          </w:tcPr>
          <w:p>
            <w:pPr>
              <w:keepNext/>
              <w:spacing w:after="0"/>
            </w:pPr>
            <w:r>
              <w:rPr>
                <w:rFonts w:ascii="Calibri" w:hAnsi="Calibri"/>
                <w:b/>
                <w:color w:val="14213D"/>
                <w:sz w:val="18"/>
              </w:rPr>
              <w:t>Select</w:t>
            </w:r>
          </w:p>
        </w:tc>
        <w:tc>
          <w:tcPr>
            <w:tcW w:type="dxa" w:w="5460"/>
            <w:tcMar>
              <w:top w:w="80" w:type="dxa"/>
              <w:start w:w="120" w:type="dxa"/>
              <w:bottom w:w="80" w:type="dxa"/>
              <w:end w:w="120" w:type="dxa"/>
            </w:tcMar>
            <w:shd w:fill="E8EEF5"/>
            <w:vAlign w:val="center"/>
          </w:tcPr>
          <w:p>
            <w:pPr>
              <w:keepNext/>
              <w:spacing w:after="0"/>
            </w:pPr>
            <w:r>
              <w:rPr>
                <w:rFonts w:ascii="Calibri" w:hAnsi="Calibri"/>
                <w:b/>
                <w:color w:val="14213D"/>
                <w:sz w:val="18"/>
              </w:rPr>
              <w:t>Conditions / rationale</w:t>
            </w:r>
          </w:p>
        </w:tc>
      </w:tr>
      <w:tr>
        <w:trPr>
          <w:cantSplit/>
        </w:trPr>
        <w:tc>
          <w:tcPr>
            <w:tcW w:type="dxa" w:w="2900"/>
            <w:vAlign w:val="center"/>
          </w:tcPr>
          <w:p>
            <w:pPr>
              <w:spacing w:after="0"/>
            </w:pPr>
            <w:r>
              <w:rPr>
                <w:rFonts w:ascii="Calibri" w:hAnsi="Calibri"/>
                <w:color w:val="14213D"/>
                <w:sz w:val="18"/>
              </w:rPr>
              <w:t>Approve for production</w:t>
            </w:r>
          </w:p>
        </w:tc>
        <w:tc>
          <w:tcPr>
            <w:tcW w:type="dxa" w:w="1000"/>
            <w:vAlign w:val="center"/>
          </w:tcPr>
          <w:p>
            <w:pPr>
              <w:spacing w:after="0"/>
            </w:pPr>
            <w:r>
              <w:rPr>
                <w:rFonts w:ascii="Calibri" w:hAnsi="Calibri"/>
                <w:color w:val="14213D"/>
                <w:sz w:val="18"/>
              </w:rPr>
              <w:t>[  ]</w:t>
            </w:r>
          </w:p>
        </w:tc>
        <w:tc>
          <w:tcPr>
            <w:tcW w:type="dxa" w:w="5460"/>
            <w:vAlign w:val="center"/>
          </w:tcPr>
          <w:p>
            <w:pPr>
              <w:spacing w:after="0"/>
            </w:pPr>
            <w:r>
              <w:rPr>
                <w:rFonts w:ascii="Calibri" w:hAnsi="Calibri"/>
                <w:color w:val="14213D"/>
                <w:sz w:val="18"/>
              </w:rPr>
            </w:r>
          </w:p>
        </w:tc>
      </w:tr>
      <w:tr>
        <w:trPr>
          <w:cantSplit/>
        </w:trPr>
        <w:tc>
          <w:tcPr>
            <w:tcW w:type="dxa" w:w="2900"/>
            <w:vAlign w:val="center"/>
          </w:tcPr>
          <w:p>
            <w:pPr>
              <w:spacing w:after="0"/>
            </w:pPr>
            <w:r>
              <w:rPr>
                <w:rFonts w:ascii="Calibri" w:hAnsi="Calibri"/>
                <w:color w:val="14213D"/>
                <w:sz w:val="18"/>
              </w:rPr>
              <w:t>Approve with conditions</w:t>
            </w:r>
          </w:p>
        </w:tc>
        <w:tc>
          <w:tcPr>
            <w:tcW w:type="dxa" w:w="1000"/>
            <w:vAlign w:val="center"/>
          </w:tcPr>
          <w:p>
            <w:pPr>
              <w:spacing w:after="0"/>
            </w:pPr>
            <w:r>
              <w:rPr>
                <w:rFonts w:ascii="Calibri" w:hAnsi="Calibri"/>
                <w:color w:val="14213D"/>
                <w:sz w:val="18"/>
              </w:rPr>
              <w:t>[  ]</w:t>
            </w:r>
          </w:p>
        </w:tc>
        <w:tc>
          <w:tcPr>
            <w:tcW w:type="dxa" w:w="5460"/>
            <w:vAlign w:val="center"/>
          </w:tcPr>
          <w:p>
            <w:pPr>
              <w:spacing w:after="0"/>
            </w:pPr>
            <w:r>
              <w:rPr>
                <w:rFonts w:ascii="Calibri" w:hAnsi="Calibri"/>
                <w:color w:val="14213D"/>
                <w:sz w:val="18"/>
              </w:rPr>
            </w:r>
          </w:p>
        </w:tc>
      </w:tr>
      <w:tr>
        <w:trPr>
          <w:cantSplit/>
        </w:trPr>
        <w:tc>
          <w:tcPr>
            <w:tcW w:type="dxa" w:w="2900"/>
            <w:vAlign w:val="center"/>
          </w:tcPr>
          <w:p>
            <w:pPr>
              <w:spacing w:after="0"/>
            </w:pPr>
            <w:r>
              <w:rPr>
                <w:rFonts w:ascii="Calibri" w:hAnsi="Calibri"/>
                <w:color w:val="14213D"/>
                <w:sz w:val="18"/>
              </w:rPr>
              <w:t>Reject / new release candidate required</w:t>
            </w:r>
          </w:p>
        </w:tc>
        <w:tc>
          <w:tcPr>
            <w:tcW w:type="dxa" w:w="1000"/>
            <w:vAlign w:val="center"/>
          </w:tcPr>
          <w:p>
            <w:pPr>
              <w:spacing w:after="0"/>
            </w:pPr>
            <w:r>
              <w:rPr>
                <w:rFonts w:ascii="Calibri" w:hAnsi="Calibri"/>
                <w:color w:val="14213D"/>
                <w:sz w:val="18"/>
              </w:rPr>
              <w:t>[  ]</w:t>
            </w:r>
          </w:p>
        </w:tc>
        <w:tc>
          <w:tcPr>
            <w:tcW w:type="dxa" w:w="5460"/>
            <w:vAlign w:val="center"/>
          </w:tcPr>
          <w:p>
            <w:pPr>
              <w:spacing w:after="0"/>
            </w:pPr>
            <w:r>
              <w:rPr>
                <w:rFonts w:ascii="Calibri" w:hAnsi="Calibri"/>
                <w:color w:val="14213D"/>
                <w:sz w:val="18"/>
              </w:rPr>
            </w:r>
          </w:p>
        </w:tc>
      </w:tr>
    </w:tbl>
    <w:p>
      <w:pPr>
        <w:spacing w:after="0"/>
      </w:pPr>
    </w:p>
    <w:p>
      <w:r>
        <w:t>By signing, approvers confirm that the evidence and residual risks have been reviewed and that the selected release decision reflects the Business's acceptance of the release candidate.</w:t>
      </w:r>
    </w:p>
    <w:p>
      <w:pPr>
        <w:pStyle w:val="Heading2"/>
      </w:pPr>
      <w:r>
        <w:t>Approval signatures</w:t>
      </w:r>
    </w:p>
    <w:tbl>
      <w:tblPr>
        <w:tblStyle w:val="TableGrid"/>
        <w:tblW w:type="dxa" w:w="9360"/>
        <w:tblLayout w:type="fixed"/>
        <w:tblLook w:firstColumn="1" w:firstRow="1" w:lastColumn="0" w:lastRow="0" w:noHBand="0" w:noVBand="1" w:val="04A0"/>
        <w:tblInd w:w="120" w:type="dxa"/>
      </w:tblPr>
      <w:tblGrid>
        <w:gridCol w:w="2200"/>
        <w:gridCol w:w="2400"/>
        <w:gridCol w:w="2500"/>
        <w:gridCol w:w="2260"/>
      </w:tblGrid>
      <w:tr>
        <w:trPr>
          <w:tblHeader w:val="true"/>
          <w:cantSplit/>
        </w:trPr>
        <w:tc>
          <w:tcPr>
            <w:tcW w:type="dxa" w:w="2200"/>
            <w:tcMar>
              <w:top w:w="80" w:type="dxa"/>
              <w:start w:w="120" w:type="dxa"/>
              <w:bottom w:w="80" w:type="dxa"/>
              <w:end w:w="120" w:type="dxa"/>
            </w:tcMar>
            <w:shd w:fill="E8EEF5"/>
            <w:vAlign w:val="center"/>
          </w:tcPr>
          <w:p>
            <w:pPr>
              <w:keepNext/>
              <w:spacing w:after="0"/>
            </w:pPr>
            <w:r>
              <w:rPr>
                <w:rFonts w:ascii="Calibri" w:hAnsi="Calibri"/>
                <w:b/>
                <w:color w:val="14213D"/>
                <w:sz w:val="18"/>
              </w:rPr>
              <w:t>Approver</w:t>
            </w:r>
          </w:p>
        </w:tc>
        <w:tc>
          <w:tcPr>
            <w:tcW w:type="dxa" w:w="2400"/>
            <w:tcMar>
              <w:top w:w="80" w:type="dxa"/>
              <w:start w:w="120" w:type="dxa"/>
              <w:bottom w:w="80" w:type="dxa"/>
              <w:end w:w="120" w:type="dxa"/>
            </w:tcMar>
            <w:shd w:fill="E8EEF5"/>
            <w:vAlign w:val="center"/>
          </w:tcPr>
          <w:p>
            <w:pPr>
              <w:keepNext/>
              <w:spacing w:after="0"/>
            </w:pPr>
            <w:r>
              <w:rPr>
                <w:rFonts w:ascii="Calibri" w:hAnsi="Calibri"/>
                <w:b/>
                <w:color w:val="14213D"/>
                <w:sz w:val="18"/>
              </w:rPr>
              <w:t>Name</w:t>
            </w:r>
          </w:p>
        </w:tc>
        <w:tc>
          <w:tcPr>
            <w:tcW w:type="dxa" w:w="2500"/>
            <w:tcMar>
              <w:top w:w="80" w:type="dxa"/>
              <w:start w:w="120" w:type="dxa"/>
              <w:bottom w:w="80" w:type="dxa"/>
              <w:end w:w="120" w:type="dxa"/>
            </w:tcMar>
            <w:shd w:fill="E8EEF5"/>
            <w:vAlign w:val="center"/>
          </w:tcPr>
          <w:p>
            <w:pPr>
              <w:keepNext/>
              <w:spacing w:after="0"/>
            </w:pPr>
            <w:r>
              <w:rPr>
                <w:rFonts w:ascii="Calibri" w:hAnsi="Calibri"/>
                <w:b/>
                <w:color w:val="14213D"/>
                <w:sz w:val="18"/>
              </w:rPr>
              <w:t>Signature</w:t>
            </w:r>
          </w:p>
        </w:tc>
        <w:tc>
          <w:tcPr>
            <w:tcW w:type="dxa" w:w="2260"/>
            <w:tcMar>
              <w:top w:w="80" w:type="dxa"/>
              <w:start w:w="120" w:type="dxa"/>
              <w:bottom w:w="80" w:type="dxa"/>
              <w:end w:w="120" w:type="dxa"/>
            </w:tcMar>
            <w:shd w:fill="E8EEF5"/>
            <w:vAlign w:val="center"/>
          </w:tcPr>
          <w:p>
            <w:pPr>
              <w:keepNext/>
              <w:spacing w:after="0"/>
            </w:pPr>
            <w:r>
              <w:rPr>
                <w:rFonts w:ascii="Calibri" w:hAnsi="Calibri"/>
                <w:b/>
                <w:color w:val="14213D"/>
                <w:sz w:val="18"/>
              </w:rPr>
              <w:t>Date</w:t>
            </w:r>
          </w:p>
        </w:tc>
      </w:tr>
      <w:tr>
        <w:trPr>
          <w:cantSplit/>
        </w:trPr>
        <w:tc>
          <w:tcPr>
            <w:tcW w:type="dxa" w:w="2200"/>
            <w:vAlign w:val="center"/>
          </w:tcPr>
          <w:p>
            <w:pPr>
              <w:spacing w:after="0"/>
            </w:pPr>
            <w:r>
              <w:rPr>
                <w:rFonts w:ascii="Calibri" w:hAnsi="Calibri"/>
                <w:color w:val="14213D"/>
                <w:sz w:val="18"/>
              </w:rPr>
              <w:t>Business Sponsor</w:t>
            </w:r>
          </w:p>
        </w:tc>
        <w:tc>
          <w:tcPr>
            <w:tcW w:type="dxa" w:w="2400"/>
            <w:vAlign w:val="center"/>
          </w:tcPr>
          <w:p>
            <w:pPr>
              <w:spacing w:after="0"/>
            </w:pPr>
            <w:r>
              <w:rPr>
                <w:rFonts w:ascii="Calibri" w:hAnsi="Calibri"/>
                <w:color w:val="14213D"/>
                <w:sz w:val="18"/>
              </w:rPr>
            </w:r>
          </w:p>
        </w:tc>
        <w:tc>
          <w:tcPr>
            <w:tcW w:type="dxa" w:w="2500"/>
            <w:vAlign w:val="center"/>
          </w:tcPr>
          <w:p>
            <w:pPr>
              <w:spacing w:after="0"/>
            </w:pPr>
            <w:r>
              <w:rPr>
                <w:rFonts w:ascii="Calibri" w:hAnsi="Calibri"/>
                <w:color w:val="14213D"/>
                <w:sz w:val="18"/>
              </w:rPr>
            </w:r>
          </w:p>
        </w:tc>
        <w:tc>
          <w:tcPr>
            <w:tcW w:type="dxa" w:w="2260"/>
            <w:vAlign w:val="center"/>
          </w:tcPr>
          <w:p>
            <w:pPr>
              <w:spacing w:after="0"/>
            </w:pPr>
            <w:r>
              <w:rPr>
                <w:rFonts w:ascii="Calibri" w:hAnsi="Calibri"/>
                <w:color w:val="14213D"/>
                <w:sz w:val="18"/>
              </w:rPr>
            </w:r>
          </w:p>
        </w:tc>
      </w:tr>
      <w:tr>
        <w:trPr>
          <w:cantSplit/>
        </w:trPr>
        <w:tc>
          <w:tcPr>
            <w:tcW w:type="dxa" w:w="2200"/>
            <w:vAlign w:val="center"/>
          </w:tcPr>
          <w:p>
            <w:pPr>
              <w:spacing w:after="0"/>
            </w:pPr>
            <w:r>
              <w:rPr>
                <w:rFonts w:ascii="Calibri" w:hAnsi="Calibri"/>
                <w:color w:val="14213D"/>
                <w:sz w:val="18"/>
              </w:rPr>
              <w:t>Product Owner</w:t>
            </w:r>
          </w:p>
        </w:tc>
        <w:tc>
          <w:tcPr>
            <w:tcW w:type="dxa" w:w="2400"/>
            <w:vAlign w:val="center"/>
          </w:tcPr>
          <w:p>
            <w:pPr>
              <w:spacing w:after="0"/>
            </w:pPr>
            <w:r>
              <w:rPr>
                <w:rFonts w:ascii="Calibri" w:hAnsi="Calibri"/>
                <w:color w:val="14213D"/>
                <w:sz w:val="18"/>
              </w:rPr>
            </w:r>
          </w:p>
        </w:tc>
        <w:tc>
          <w:tcPr>
            <w:tcW w:type="dxa" w:w="2500"/>
            <w:vAlign w:val="center"/>
          </w:tcPr>
          <w:p>
            <w:pPr>
              <w:spacing w:after="0"/>
            </w:pPr>
            <w:r>
              <w:rPr>
                <w:rFonts w:ascii="Calibri" w:hAnsi="Calibri"/>
                <w:color w:val="14213D"/>
                <w:sz w:val="18"/>
              </w:rPr>
            </w:r>
          </w:p>
        </w:tc>
        <w:tc>
          <w:tcPr>
            <w:tcW w:type="dxa" w:w="2260"/>
            <w:vAlign w:val="center"/>
          </w:tcPr>
          <w:p>
            <w:pPr>
              <w:spacing w:after="0"/>
            </w:pPr>
            <w:r>
              <w:rPr>
                <w:rFonts w:ascii="Calibri" w:hAnsi="Calibri"/>
                <w:color w:val="14213D"/>
                <w:sz w:val="18"/>
              </w:rPr>
            </w:r>
          </w:p>
        </w:tc>
      </w:tr>
      <w:tr>
        <w:trPr>
          <w:cantSplit/>
        </w:trPr>
        <w:tc>
          <w:tcPr>
            <w:tcW w:type="dxa" w:w="2200"/>
            <w:vAlign w:val="center"/>
          </w:tcPr>
          <w:p>
            <w:pPr>
              <w:spacing w:after="0"/>
            </w:pPr>
            <w:r>
              <w:rPr>
                <w:rFonts w:ascii="Calibri" w:hAnsi="Calibri"/>
                <w:color w:val="14213D"/>
                <w:sz w:val="18"/>
              </w:rPr>
              <w:t>UAT Lead</w:t>
            </w:r>
          </w:p>
        </w:tc>
        <w:tc>
          <w:tcPr>
            <w:tcW w:type="dxa" w:w="2400"/>
            <w:vAlign w:val="center"/>
          </w:tcPr>
          <w:p>
            <w:pPr>
              <w:spacing w:after="0"/>
            </w:pPr>
            <w:r>
              <w:rPr>
                <w:rFonts w:ascii="Calibri" w:hAnsi="Calibri"/>
                <w:color w:val="14213D"/>
                <w:sz w:val="18"/>
              </w:rPr>
            </w:r>
          </w:p>
        </w:tc>
        <w:tc>
          <w:tcPr>
            <w:tcW w:type="dxa" w:w="2500"/>
            <w:vAlign w:val="center"/>
          </w:tcPr>
          <w:p>
            <w:pPr>
              <w:spacing w:after="0"/>
            </w:pPr>
            <w:r>
              <w:rPr>
                <w:rFonts w:ascii="Calibri" w:hAnsi="Calibri"/>
                <w:color w:val="14213D"/>
                <w:sz w:val="18"/>
              </w:rPr>
            </w:r>
          </w:p>
        </w:tc>
        <w:tc>
          <w:tcPr>
            <w:tcW w:type="dxa" w:w="2260"/>
            <w:vAlign w:val="center"/>
          </w:tcPr>
          <w:p>
            <w:pPr>
              <w:spacing w:after="0"/>
            </w:pPr>
            <w:r>
              <w:rPr>
                <w:rFonts w:ascii="Calibri" w:hAnsi="Calibri"/>
                <w:color w:val="14213D"/>
                <w:sz w:val="18"/>
              </w:rPr>
            </w:r>
          </w:p>
        </w:tc>
      </w:tr>
      <w:tr>
        <w:trPr>
          <w:cantSplit/>
        </w:trPr>
        <w:tc>
          <w:tcPr>
            <w:tcW w:type="dxa" w:w="2200"/>
            <w:vAlign w:val="center"/>
          </w:tcPr>
          <w:p>
            <w:pPr>
              <w:spacing w:after="0"/>
            </w:pPr>
            <w:r>
              <w:rPr>
                <w:rFonts w:ascii="Calibri" w:hAnsi="Calibri"/>
                <w:color w:val="14213D"/>
                <w:sz w:val="18"/>
              </w:rPr>
              <w:t>Security / Privacy</w:t>
            </w:r>
          </w:p>
        </w:tc>
        <w:tc>
          <w:tcPr>
            <w:tcW w:type="dxa" w:w="2400"/>
            <w:vAlign w:val="center"/>
          </w:tcPr>
          <w:p>
            <w:pPr>
              <w:spacing w:after="0"/>
            </w:pPr>
            <w:r>
              <w:rPr>
                <w:rFonts w:ascii="Calibri" w:hAnsi="Calibri"/>
                <w:color w:val="14213D"/>
                <w:sz w:val="18"/>
              </w:rPr>
            </w:r>
          </w:p>
        </w:tc>
        <w:tc>
          <w:tcPr>
            <w:tcW w:type="dxa" w:w="2500"/>
            <w:vAlign w:val="center"/>
          </w:tcPr>
          <w:p>
            <w:pPr>
              <w:spacing w:after="0"/>
            </w:pPr>
            <w:r>
              <w:rPr>
                <w:rFonts w:ascii="Calibri" w:hAnsi="Calibri"/>
                <w:color w:val="14213D"/>
                <w:sz w:val="18"/>
              </w:rPr>
            </w:r>
          </w:p>
        </w:tc>
        <w:tc>
          <w:tcPr>
            <w:tcW w:type="dxa" w:w="2260"/>
            <w:vAlign w:val="center"/>
          </w:tcPr>
          <w:p>
            <w:pPr>
              <w:spacing w:after="0"/>
            </w:pPr>
            <w:r>
              <w:rPr>
                <w:rFonts w:ascii="Calibri" w:hAnsi="Calibri"/>
                <w:color w:val="14213D"/>
                <w:sz w:val="18"/>
              </w:rPr>
            </w:r>
          </w:p>
        </w:tc>
      </w:tr>
    </w:tbl>
    <w:p>
      <w:pPr>
        <w:spacing w:after="0"/>
      </w:pPr>
    </w:p>
    <w:p>
      <w:r>
        <w:br w:type="page"/>
      </w:r>
    </w:p>
    <w:p>
      <w:pPr>
        <w:pStyle w:val="Heading1"/>
      </w:pPr>
      <w:r>
        <w:t>Appendix A. Test case and defect templates</w:t>
      </w:r>
    </w:p>
    <w:p>
      <w:pPr>
        <w:pStyle w:val="Heading2"/>
      </w:pPr>
      <w:r>
        <w:t>Executable test case record</w:t>
      </w:r>
    </w:p>
    <w:tbl>
      <w:tblPr>
        <w:tblStyle w:val="TableGrid"/>
        <w:tblW w:type="dxa" w:w="9360"/>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shd w:fill="E8EEF5"/>
            <w:vAlign w:val="center"/>
          </w:tcPr>
          <w:p>
            <w:pPr>
              <w:keepNext/>
              <w:spacing w:after="0"/>
            </w:pPr>
            <w:r>
              <w:rPr>
                <w:rFonts w:ascii="Calibri" w:hAnsi="Calibri"/>
                <w:b/>
                <w:color w:val="14213D"/>
                <w:sz w:val="18"/>
              </w:rPr>
              <w:t>Field</w:t>
            </w:r>
          </w:p>
        </w:tc>
        <w:tc>
          <w:tcPr>
            <w:tcW w:type="dxa" w:w="6260"/>
            <w:tcMar>
              <w:top w:w="80" w:type="dxa"/>
              <w:start w:w="120" w:type="dxa"/>
              <w:bottom w:w="80" w:type="dxa"/>
              <w:end w:w="120" w:type="dxa"/>
            </w:tcMar>
            <w:shd w:fill="E8EEF5"/>
            <w:vAlign w:val="center"/>
          </w:tcPr>
          <w:p>
            <w:pPr>
              <w:keepNext/>
              <w:spacing w:after="0"/>
            </w:pPr>
            <w:r>
              <w:rPr>
                <w:rFonts w:ascii="Calibri" w:hAnsi="Calibri"/>
                <w:b/>
                <w:color w:val="14213D"/>
                <w:sz w:val="18"/>
              </w:rPr>
              <w:t>Entry</w:t>
            </w:r>
          </w:p>
        </w:tc>
      </w:tr>
      <w:tr>
        <w:trPr>
          <w:cantSplit/>
        </w:trPr>
        <w:tc>
          <w:tcPr>
            <w:tcW w:type="dxa" w:w="3100"/>
            <w:vAlign w:val="center"/>
          </w:tcPr>
          <w:p>
            <w:pPr>
              <w:spacing w:after="0"/>
            </w:pPr>
            <w:r>
              <w:rPr>
                <w:rFonts w:ascii="Calibri" w:hAnsi="Calibri"/>
                <w:color w:val="14213D"/>
                <w:sz w:val="18"/>
              </w:rPr>
              <w:t>Case ID / title / priority</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Requirement / risk link</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Build / environment</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Tester / date / device / browser</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Persona / account</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Business / Branch / plan / feature flags</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Preconditions</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Test data IDs</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Steps</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Expected result</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Actual result</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Result (Pass/Fail/Blocked/Waived)</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Evidence links</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Defect IDs</w:t>
            </w:r>
          </w:p>
        </w:tc>
        <w:tc>
          <w:tcPr>
            <w:tcW w:type="dxa" w:w="6260"/>
            <w:vAlign w:val="center"/>
          </w:tcPr>
          <w:p>
            <w:pPr>
              <w:spacing w:after="0"/>
            </w:pPr>
            <w:r>
              <w:rPr>
                <w:rFonts w:ascii="Calibri" w:hAnsi="Calibri"/>
                <w:color w:val="14213D"/>
                <w:sz w:val="18"/>
              </w:rPr>
            </w:r>
          </w:p>
        </w:tc>
      </w:tr>
      <w:tr>
        <w:trPr>
          <w:cantSplit/>
        </w:trPr>
        <w:tc>
          <w:tcPr>
            <w:tcW w:type="dxa" w:w="3100"/>
            <w:vAlign w:val="center"/>
          </w:tcPr>
          <w:p>
            <w:pPr>
              <w:spacing w:after="0"/>
            </w:pPr>
            <w:r>
              <w:rPr>
                <w:rFonts w:ascii="Calibri" w:hAnsi="Calibri"/>
                <w:color w:val="14213D"/>
                <w:sz w:val="18"/>
              </w:rPr>
              <w:t>Retest build/result</w:t>
            </w:r>
          </w:p>
        </w:tc>
        <w:tc>
          <w:tcPr>
            <w:tcW w:type="dxa" w:w="6260"/>
            <w:vAlign w:val="center"/>
          </w:tcPr>
          <w:p>
            <w:pPr>
              <w:spacing w:after="0"/>
            </w:pPr>
            <w:r>
              <w:rPr>
                <w:rFonts w:ascii="Calibri" w:hAnsi="Calibri"/>
                <w:color w:val="14213D"/>
                <w:sz w:val="18"/>
              </w:rPr>
            </w:r>
          </w:p>
        </w:tc>
      </w:tr>
    </w:tbl>
    <w:p>
      <w:pPr>
        <w:spacing w:after="0"/>
      </w:pPr>
    </w:p>
    <w:p>
      <w:pPr>
        <w:pStyle w:val="Heading2"/>
      </w:pPr>
      <w:r>
        <w:t>Defect record</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80" w:type="dxa"/>
              <w:start w:w="120" w:type="dxa"/>
              <w:bottom w:w="80" w:type="dxa"/>
              <w:end w:w="120" w:type="dxa"/>
            </w:tcMar>
            <w:shd w:fill="E8EEF5"/>
            <w:vAlign w:val="center"/>
          </w:tcPr>
          <w:p>
            <w:pPr>
              <w:keepNext/>
              <w:spacing w:after="0"/>
            </w:pPr>
            <w:r>
              <w:rPr>
                <w:rFonts w:ascii="Calibri" w:hAnsi="Calibri"/>
                <w:b/>
                <w:color w:val="14213D"/>
                <w:sz w:val="18"/>
              </w:rPr>
              <w:t>Field</w:t>
            </w:r>
          </w:p>
        </w:tc>
        <w:tc>
          <w:tcPr>
            <w:tcW w:type="dxa" w:w="7060"/>
            <w:tcMar>
              <w:top w:w="80" w:type="dxa"/>
              <w:start w:w="120" w:type="dxa"/>
              <w:bottom w:w="80" w:type="dxa"/>
              <w:end w:w="120" w:type="dxa"/>
            </w:tcMar>
            <w:shd w:fill="E8EEF5"/>
            <w:vAlign w:val="center"/>
          </w:tcPr>
          <w:p>
            <w:pPr>
              <w:keepNext/>
              <w:spacing w:after="0"/>
            </w:pPr>
            <w:r>
              <w:rPr>
                <w:rFonts w:ascii="Calibri" w:hAnsi="Calibri"/>
                <w:b/>
                <w:color w:val="14213D"/>
                <w:sz w:val="18"/>
              </w:rPr>
              <w:t>Required content</w:t>
            </w:r>
          </w:p>
        </w:tc>
      </w:tr>
      <w:tr>
        <w:trPr>
          <w:cantSplit/>
        </w:trPr>
        <w:tc>
          <w:tcPr>
            <w:tcW w:type="dxa" w:w="2300"/>
            <w:vAlign w:val="center"/>
          </w:tcPr>
          <w:p>
            <w:pPr>
              <w:spacing w:after="0"/>
            </w:pPr>
            <w:r>
              <w:rPr>
                <w:rFonts w:ascii="Calibri" w:hAnsi="Calibri"/>
                <w:color w:val="14213D"/>
                <w:sz w:val="18"/>
              </w:rPr>
              <w:t>Title</w:t>
            </w:r>
          </w:p>
        </w:tc>
        <w:tc>
          <w:tcPr>
            <w:tcW w:type="dxa" w:w="7060"/>
            <w:vAlign w:val="center"/>
          </w:tcPr>
          <w:p>
            <w:pPr>
              <w:spacing w:after="0"/>
            </w:pPr>
            <w:r>
              <w:rPr>
                <w:rFonts w:ascii="Calibri" w:hAnsi="Calibri"/>
                <w:color w:val="14213D"/>
                <w:sz w:val="18"/>
              </w:rPr>
              <w:t>Concise observable failure and affected journey.</w:t>
            </w:r>
          </w:p>
        </w:tc>
      </w:tr>
      <w:tr>
        <w:trPr>
          <w:cantSplit/>
        </w:trPr>
        <w:tc>
          <w:tcPr>
            <w:tcW w:type="dxa" w:w="2300"/>
            <w:vAlign w:val="center"/>
          </w:tcPr>
          <w:p>
            <w:pPr>
              <w:spacing w:after="0"/>
            </w:pPr>
            <w:r>
              <w:rPr>
                <w:rFonts w:ascii="Calibri" w:hAnsi="Calibri"/>
                <w:color w:val="14213D"/>
                <w:sz w:val="18"/>
              </w:rPr>
              <w:t>Build/environment</w:t>
            </w:r>
          </w:p>
        </w:tc>
        <w:tc>
          <w:tcPr>
            <w:tcW w:type="dxa" w:w="7060"/>
            <w:vAlign w:val="center"/>
          </w:tcPr>
          <w:p>
            <w:pPr>
              <w:spacing w:after="0"/>
            </w:pPr>
            <w:r>
              <w:rPr>
                <w:rFonts w:ascii="Calibri" w:hAnsi="Calibri"/>
                <w:color w:val="14213D"/>
                <w:sz w:val="18"/>
              </w:rPr>
              <w:t>Release/build ID, URL, database/migration baseline, feature flags.</w:t>
            </w:r>
          </w:p>
        </w:tc>
      </w:tr>
      <w:tr>
        <w:trPr>
          <w:cantSplit/>
        </w:trPr>
        <w:tc>
          <w:tcPr>
            <w:tcW w:type="dxa" w:w="2300"/>
            <w:vAlign w:val="center"/>
          </w:tcPr>
          <w:p>
            <w:pPr>
              <w:spacing w:after="0"/>
            </w:pPr>
            <w:r>
              <w:rPr>
                <w:rFonts w:ascii="Calibri" w:hAnsi="Calibri"/>
                <w:color w:val="14213D"/>
                <w:sz w:val="18"/>
              </w:rPr>
              <w:t>Context</w:t>
            </w:r>
          </w:p>
        </w:tc>
        <w:tc>
          <w:tcPr>
            <w:tcW w:type="dxa" w:w="7060"/>
            <w:vAlign w:val="center"/>
          </w:tcPr>
          <w:p>
            <w:pPr>
              <w:spacing w:after="0"/>
            </w:pPr>
            <w:r>
              <w:rPr>
                <w:rFonts w:ascii="Calibri" w:hAnsi="Calibri"/>
                <w:color w:val="14213D"/>
                <w:sz w:val="18"/>
              </w:rPr>
              <w:t>Persona/account, Business, Branch, plan, browser/device, entity IDs; synthetic data only.</w:t>
            </w:r>
          </w:p>
        </w:tc>
      </w:tr>
      <w:tr>
        <w:trPr>
          <w:cantSplit/>
        </w:trPr>
        <w:tc>
          <w:tcPr>
            <w:tcW w:type="dxa" w:w="2300"/>
            <w:vAlign w:val="center"/>
          </w:tcPr>
          <w:p>
            <w:pPr>
              <w:spacing w:after="0"/>
            </w:pPr>
            <w:r>
              <w:rPr>
                <w:rFonts w:ascii="Calibri" w:hAnsi="Calibri"/>
                <w:color w:val="14213D"/>
                <w:sz w:val="18"/>
              </w:rPr>
              <w:t>Reproduction</w:t>
            </w:r>
          </w:p>
        </w:tc>
        <w:tc>
          <w:tcPr>
            <w:tcW w:type="dxa" w:w="7060"/>
            <w:vAlign w:val="center"/>
          </w:tcPr>
          <w:p>
            <w:pPr>
              <w:spacing w:after="0"/>
            </w:pPr>
            <w:r>
              <w:rPr>
                <w:rFonts w:ascii="Calibri" w:hAnsi="Calibri"/>
                <w:color w:val="14213D"/>
                <w:sz w:val="18"/>
              </w:rPr>
              <w:t>Minimal numbered steps, reproducibility rate, expected and actual result.</w:t>
            </w:r>
          </w:p>
        </w:tc>
      </w:tr>
      <w:tr>
        <w:trPr>
          <w:cantSplit/>
        </w:trPr>
        <w:tc>
          <w:tcPr>
            <w:tcW w:type="dxa" w:w="2300"/>
            <w:vAlign w:val="center"/>
          </w:tcPr>
          <w:p>
            <w:pPr>
              <w:spacing w:after="0"/>
            </w:pPr>
            <w:r>
              <w:rPr>
                <w:rFonts w:ascii="Calibri" w:hAnsi="Calibri"/>
                <w:color w:val="14213D"/>
                <w:sz w:val="18"/>
              </w:rPr>
              <w:t>Impact</w:t>
            </w:r>
          </w:p>
        </w:tc>
        <w:tc>
          <w:tcPr>
            <w:tcW w:type="dxa" w:w="7060"/>
            <w:vAlign w:val="center"/>
          </w:tcPr>
          <w:p>
            <w:pPr>
              <w:spacing w:after="0"/>
            </w:pPr>
            <w:r>
              <w:rPr>
                <w:rFonts w:ascii="Calibri" w:hAnsi="Calibri"/>
                <w:color w:val="14213D"/>
                <w:sz w:val="18"/>
              </w:rPr>
              <w:t>Severity, business/security/data impact, scope, workaround, downstream effects.</w:t>
            </w:r>
          </w:p>
        </w:tc>
      </w:tr>
      <w:tr>
        <w:trPr>
          <w:cantSplit/>
        </w:trPr>
        <w:tc>
          <w:tcPr>
            <w:tcW w:type="dxa" w:w="2300"/>
            <w:vAlign w:val="center"/>
          </w:tcPr>
          <w:p>
            <w:pPr>
              <w:spacing w:after="0"/>
            </w:pPr>
            <w:r>
              <w:rPr>
                <w:rFonts w:ascii="Calibri" w:hAnsi="Calibri"/>
                <w:color w:val="14213D"/>
                <w:sz w:val="18"/>
              </w:rPr>
              <w:t>Evidence</w:t>
            </w:r>
          </w:p>
        </w:tc>
        <w:tc>
          <w:tcPr>
            <w:tcW w:type="dxa" w:w="7060"/>
            <w:vAlign w:val="center"/>
          </w:tcPr>
          <w:p>
            <w:pPr>
              <w:spacing w:after="0"/>
            </w:pPr>
            <w:r>
              <w:rPr>
                <w:rFonts w:ascii="Calibri" w:hAnsi="Calibri"/>
                <w:color w:val="14213D"/>
                <w:sz w:val="18"/>
              </w:rPr>
              <w:t>Screens/video, request ID, safe logs, audit/entity IDs, calculations, file/PDF as applicable.</w:t>
            </w:r>
          </w:p>
        </w:tc>
      </w:tr>
      <w:tr>
        <w:trPr>
          <w:cantSplit/>
        </w:trPr>
        <w:tc>
          <w:tcPr>
            <w:tcW w:type="dxa" w:w="2300"/>
            <w:vAlign w:val="center"/>
          </w:tcPr>
          <w:p>
            <w:pPr>
              <w:spacing w:after="0"/>
            </w:pPr>
            <w:r>
              <w:rPr>
                <w:rFonts w:ascii="Calibri" w:hAnsi="Calibri"/>
                <w:color w:val="14213D"/>
                <w:sz w:val="18"/>
              </w:rPr>
              <w:t>Lifecycle</w:t>
            </w:r>
          </w:p>
        </w:tc>
        <w:tc>
          <w:tcPr>
            <w:tcW w:type="dxa" w:w="7060"/>
            <w:vAlign w:val="center"/>
          </w:tcPr>
          <w:p>
            <w:pPr>
              <w:spacing w:after="0"/>
            </w:pPr>
            <w:r>
              <w:rPr>
                <w:rFonts w:ascii="Calibri" w:hAnsi="Calibri"/>
                <w:color w:val="14213D"/>
                <w:sz w:val="18"/>
              </w:rPr>
              <w:t>Owner, target build, fix summary, change scope, retest cases and final disposition.</w:t>
            </w:r>
          </w:p>
        </w:tc>
      </w:tr>
    </w:tbl>
    <w:p>
      <w:pPr>
        <w:spacing w:after="0"/>
      </w:pPr>
    </w:p>
    <w:p>
      <w:r>
        <w:br w:type="page"/>
      </w:r>
    </w:p>
    <w:p>
      <w:pPr>
        <w:pStyle w:val="Heading1"/>
      </w:pPr>
      <w:r>
        <w:t>Appendix B. Daily execution checklist</w:t>
      </w:r>
    </w:p>
    <w:p>
      <w:pPr>
        <w:keepLines/>
        <w:numPr>
          <w:ilvl w:val="0"/>
          <w:numId w:val="10"/>
        </w:numPr>
      </w:pPr>
      <w:r>
        <w:t>[  ] Confirm build ID, environment health, migrations, providers, feature flags and known issues.</w:t>
      </w:r>
    </w:p>
    <w:p>
      <w:pPr>
        <w:keepLines/>
        <w:numPr>
          <w:ilvl w:val="0"/>
          <w:numId w:val="10"/>
        </w:numPr>
      </w:pPr>
      <w:r>
        <w:t>[  ] Confirm accounts, Business/Branch scopes, plan state and test data reset point.</w:t>
      </w:r>
    </w:p>
    <w:p>
      <w:pPr>
        <w:keepLines/>
        <w:numPr>
          <w:ilvl w:val="0"/>
          <w:numId w:val="10"/>
        </w:numPr>
      </w:pPr>
      <w:r>
        <w:t>[  ] Run smoke: login, Business dashboard, one read, one mutation, audit/log/request ID, file access.</w:t>
      </w:r>
    </w:p>
    <w:p>
      <w:pPr>
        <w:keepLines/>
        <w:numPr>
          <w:ilvl w:val="0"/>
          <w:numId w:val="10"/>
        </w:numPr>
      </w:pPr>
      <w:r>
        <w:t>[  ] Execute P0 before P1; attach evidence as work proceeds, not at day end.</w:t>
      </w:r>
    </w:p>
    <w:p>
      <w:pPr>
        <w:keepLines/>
        <w:numPr>
          <w:ilvl w:val="0"/>
          <w:numId w:val="10"/>
        </w:numPr>
      </w:pPr>
      <w:r>
        <w:t>[  ] Triage new failures within the agreed window; identify related blocked cases and regression scope.</w:t>
      </w:r>
    </w:p>
    <w:p>
      <w:pPr>
        <w:keepLines/>
        <w:numPr>
          <w:ilvl w:val="0"/>
          <w:numId w:val="10"/>
        </w:numPr>
      </w:pPr>
      <w:r>
        <w:t>[  ] Reconcile money, stock, loyalty and trial metrics for any affected operational change.</w:t>
      </w:r>
    </w:p>
    <w:p>
      <w:pPr>
        <w:keepLines/>
        <w:numPr>
          <w:ilvl w:val="0"/>
          <w:numId w:val="10"/>
        </w:numPr>
      </w:pPr>
      <w:r>
        <w:t>[  ] Run cross-tenant/Branch negative checks after every authorization-sensitive fix.</w:t>
      </w:r>
    </w:p>
    <w:p>
      <w:pPr>
        <w:keepLines/>
        <w:numPr>
          <w:ilvl w:val="0"/>
          <w:numId w:val="10"/>
        </w:numPr>
      </w:pPr>
      <w:r>
        <w:t>[  ] Publish daily metrics, blockers, Sev 1/2 list, retest queue, risks/decisions and next-day plan.</w:t>
      </w:r>
    </w:p>
    <w:p>
      <w:pPr>
        <w:keepLines/>
        <w:numPr>
          <w:ilvl w:val="0"/>
          <w:numId w:val="10"/>
        </w:numPr>
      </w:pPr>
      <w:r>
        <w:t>[  ] At cycle end, archive evidence and results, freeze the build, run final regression and collect sign-off.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B7280"/>
        <w:sz w:val="17"/>
      </w:rPr>
      <w:t>NEGOSYOOS  |  USER ACCEPTANCE TEST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421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421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B72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NegosyoOS Complete User Acceptance Test Plan</dc:title>
  <dc:subject>Business-led UAT plan and scenario catalog</dc:subject>
  <dc:creator>NegosyoOS Product &amp; Quality</dc:creator>
  <cp:keywords>NegosyoOS, UAT, acceptance testing, SME, Philippines</cp:keywords>
  <dc:description>Prepared from the repository baseline inspected 30 August 2026.</dc:description>
  <cp:lastModifiedBy/>
  <cp:revision>1</cp:revision>
  <dcterms:created xsi:type="dcterms:W3CDTF">2013-12-23T23:15:00Z</dcterms:created>
  <dcterms:modified xsi:type="dcterms:W3CDTF">2013-12-23T23:15:00Z</dcterms:modified>
  <cp:category/>
</cp:coreProperties>
</file>