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36"/>
        </w:rPr>
        <w:t>Comparative Analysis of Quranic Terms:</w:t>
      </w:r>
    </w:p>
    <w:p>
      <w:pPr>
        <w:jc w:val="center"/>
        <w:bidi w:val="1"/>
      </w:pPr>
      <w:r>
        <w:rPr>
          <w:rFonts w:ascii="Traditional Arabic" w:hAnsi="Traditional Arabic" w:cs="Traditional Arabic"/>
          <w:b/>
          <w:sz w:val="36"/>
        </w:rPr>
        <w:t>مُحَمَّد ، الرَّسُول ، النَّبِي</w:t>
      </w:r>
    </w:p>
    <w:p>
      <w:pPr>
        <w:spacing w:after="480"/>
        <w:jc w:val="center"/>
      </w:pPr>
      <w:r>
        <w:rPr>
          <w:rFonts w:ascii="Arial" w:hAnsi="Arial"/>
          <w:b w:val="0"/>
          <w:i/>
          <w:color w:val="666666"/>
          <w:sz w:val="26"/>
        </w:rPr>
        <w:t>Understanding Obedience to the Messenger in the Quran</w:t>
      </w:r>
    </w:p>
    <w:p>
      <w:pPr>
        <w:pStyle w:val="Heading1"/>
      </w:pPr>
      <w:r>
        <w:rPr>
          <w:color w:val="1F4E79"/>
        </w:rPr>
        <w:t>1. Introduction</w:t>
      </w:r>
    </w:p>
    <w:p>
      <w:r>
        <w:rPr>
          <w:rFonts w:ascii="Arial" w:hAnsi="Arial"/>
          <w:b w:val="0"/>
          <w:i w:val="0"/>
          <w:sz w:val="24"/>
        </w:rPr>
        <w:t>The Quran refers to the same individual using three distinct terms:</w:t>
      </w:r>
    </w:p>
    <w:p>
      <w:pPr>
        <w:spacing w:after="240"/>
        <w:jc w:val="center"/>
        <w:bidi w:val="1"/>
      </w:pPr>
      <w:r>
        <w:rPr>
          <w:rFonts w:ascii="Traditional Arabic" w:hAnsi="Traditional Arabic" w:cs="Traditional Arabic"/>
          <w:b w:val="0"/>
          <w:sz w:val="30"/>
        </w:rPr>
        <w:t>مُحَمَّد (Muhammad) ، الرَّسُول (The Messenger) ، النَّبِي (The Prophet)</w:t>
      </w:r>
    </w:p>
    <w:p>
      <w:pPr>
        <w:spacing w:after="240"/>
      </w:pPr>
      <w:r>
        <w:rPr>
          <w:rFonts w:ascii="Arial" w:hAnsi="Arial"/>
          <w:b w:val="0"/>
          <w:i w:val="0"/>
          <w:sz w:val="24"/>
        </w:rPr>
        <w:t>Each term carries specific semantic weight and is deployed in precise contexts. This analysis reveals that this word choice is not arbitrary but reflects deliberate divine precision in communicating specific meanings.</w:t>
      </w:r>
    </w:p>
    <w:p>
      <w:pPr>
        <w:pStyle w:val="Heading1"/>
      </w:pPr>
      <w:r>
        <w:rPr>
          <w:color w:val="1F4E79"/>
        </w:rPr>
        <w:t>2. Root Analysis &amp; Morphology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5E8F0"/>
          </w:tcPr>
          <w:p>
            <w:r>
              <w:rPr>
                <w:b/>
              </w:rPr>
              <w:t>Term</w:t>
            </w:r>
          </w:p>
        </w:tc>
        <w:tc>
          <w:tcPr>
            <w:tcW w:type="dxa" w:w="3120"/>
            <w:shd w:fill="D5E8F0"/>
          </w:tcPr>
          <w:p>
            <w:r>
              <w:rPr>
                <w:b/>
              </w:rPr>
              <w:t>Root</w:t>
            </w:r>
          </w:p>
        </w:tc>
        <w:tc>
          <w:tcPr>
            <w:tcW w:type="dxa" w:w="3120"/>
            <w:shd w:fill="D5E8F0"/>
          </w:tcPr>
          <w:p>
            <w:r>
              <w:rPr>
                <w:b/>
              </w:rPr>
              <w:t>Root Meaning</w:t>
            </w:r>
          </w:p>
        </w:tc>
      </w:tr>
      <w:tr>
        <w:tc>
          <w:tcPr>
            <w:tcW w:type="dxa" w:w="3120"/>
          </w:tcPr>
          <w:p>
            <w:pPr>
              <w:jc w:val="center"/>
            </w:pPr>
            <w:r/>
            <w:r>
              <w:rPr>
                <w:rFonts w:ascii="Traditional Arabic" w:hAnsi="Traditional Arabic" w:cs="Traditional Arabic"/>
                <w:b w:val="0"/>
                <w:sz w:val="28"/>
              </w:rPr>
              <w:t>مُحَمَّد</w:t>
            </w:r>
          </w:p>
        </w:tc>
        <w:tc>
          <w:tcPr>
            <w:tcW w:type="dxa" w:w="3120"/>
          </w:tcPr>
          <w:p>
            <w:pPr>
              <w:jc w:val="center"/>
            </w:pPr>
            <w:r/>
            <w:r>
              <w:rPr>
                <w:rFonts w:ascii="Traditional Arabic" w:hAnsi="Traditional Arabic" w:cs="Traditional Arabic"/>
                <w:b w:val="0"/>
                <w:sz w:val="28"/>
              </w:rPr>
              <w:t>ح م د</w:t>
            </w:r>
          </w:p>
        </w:tc>
        <w:tc>
          <w:tcPr>
            <w:tcW w:type="dxa" w:w="3120"/>
          </w:tcPr>
          <w:p>
            <w:r>
              <w:t>To praise repeatedly, to be praised continuously</w:t>
            </w:r>
          </w:p>
        </w:tc>
      </w:tr>
      <w:tr>
        <w:tc>
          <w:tcPr>
            <w:tcW w:type="dxa" w:w="3120"/>
          </w:tcPr>
          <w:p>
            <w:pPr>
              <w:jc w:val="center"/>
            </w:pPr>
            <w:r/>
            <w:r>
              <w:rPr>
                <w:rFonts w:ascii="Traditional Arabic" w:hAnsi="Traditional Arabic" w:cs="Traditional Arabic"/>
                <w:b w:val="0"/>
                <w:sz w:val="28"/>
              </w:rPr>
              <w:t>الرَّسُول</w:t>
            </w:r>
          </w:p>
        </w:tc>
        <w:tc>
          <w:tcPr>
            <w:tcW w:type="dxa" w:w="3120"/>
          </w:tcPr>
          <w:p>
            <w:pPr>
              <w:jc w:val="center"/>
            </w:pPr>
            <w:r/>
            <w:r>
              <w:rPr>
                <w:rFonts w:ascii="Traditional Arabic" w:hAnsi="Traditional Arabic" w:cs="Traditional Arabic"/>
                <w:b w:val="0"/>
                <w:sz w:val="28"/>
              </w:rPr>
              <w:t>ر س ل</w:t>
            </w:r>
          </w:p>
        </w:tc>
        <w:tc>
          <w:tcPr>
            <w:tcW w:type="dxa" w:w="3120"/>
          </w:tcPr>
          <w:p>
            <w:r>
              <w:t>To send, dispatch with a mission/message</w:t>
            </w:r>
          </w:p>
        </w:tc>
      </w:tr>
      <w:tr>
        <w:tc>
          <w:tcPr>
            <w:tcW w:type="dxa" w:w="3120"/>
          </w:tcPr>
          <w:p>
            <w:pPr>
              <w:jc w:val="center"/>
            </w:pPr>
            <w:r/>
            <w:r>
              <w:rPr>
                <w:rFonts w:ascii="Traditional Arabic" w:hAnsi="Traditional Arabic" w:cs="Traditional Arabic"/>
                <w:b w:val="0"/>
                <w:sz w:val="28"/>
              </w:rPr>
              <w:t>النَّبِي</w:t>
            </w:r>
          </w:p>
        </w:tc>
        <w:tc>
          <w:tcPr>
            <w:tcW w:type="dxa" w:w="3120"/>
          </w:tcPr>
          <w:p>
            <w:pPr>
              <w:jc w:val="center"/>
            </w:pPr>
            <w:r/>
            <w:r>
              <w:rPr>
                <w:rFonts w:ascii="Traditional Arabic" w:hAnsi="Traditional Arabic" w:cs="Traditional Arabic"/>
                <w:b w:val="0"/>
                <w:sz w:val="28"/>
              </w:rPr>
              <w:t>ن ب أ</w:t>
            </w:r>
          </w:p>
        </w:tc>
        <w:tc>
          <w:tcPr>
            <w:tcW w:type="dxa" w:w="3120"/>
          </w:tcPr>
          <w:p>
            <w:r>
              <w:t>To inform, bring news, convey information</w:t>
            </w:r>
          </w:p>
        </w:tc>
      </w:tr>
    </w:tbl>
    <w:p/>
    <w:p>
      <w:pPr>
        <w:pStyle w:val="Heading1"/>
      </w:pPr>
      <w:r>
        <w:rPr>
          <w:color w:val="1F4E79"/>
        </w:rPr>
        <w:t>3. مُحَمَّد (Muhammad) - Personal Name</w:t>
      </w:r>
    </w:p>
    <w:p>
      <w:pPr>
        <w:pStyle w:val="Heading2"/>
      </w:pPr>
      <w:r>
        <w:rPr>
          <w:color w:val="2E75B6"/>
        </w:rPr>
        <w:t>3.1 Occurrences: Only 4 times in the Quran</w:t>
      </w:r>
    </w:p>
    <w:p>
      <w:r>
        <w:rPr>
          <w:rFonts w:ascii="Arial" w:hAnsi="Arial"/>
          <w:b w:val="0"/>
          <w:i w:val="0"/>
          <w:sz w:val="24"/>
        </w:rPr>
        <w:t xml:space="preserve">The name Muhammad appears only </w:t>
      </w:r>
      <w:r>
        <w:rPr>
          <w:rFonts w:ascii="Arial" w:hAnsi="Arial"/>
          <w:b/>
          <w:i w:val="0"/>
          <w:sz w:val="24"/>
        </w:rPr>
        <w:t>4 times</w:t>
      </w:r>
      <w:r>
        <w:rPr>
          <w:rFonts w:ascii="Arial" w:hAnsi="Arial"/>
          <w:b w:val="0"/>
          <w:i w:val="0"/>
          <w:sz w:val="24"/>
        </w:rPr>
        <w:t xml:space="preserve"> in the entire Quran. This remarkable scarcity is itself significant.</w:t>
      </w:r>
    </w:p>
    <w:tbl>
      <w:tblPr>
        <w:tblStyle w:val="TableGrid"/>
        <w:tblW w:type="auto" w:w="0"/>
        <w:tblLook w:firstColumn="1" w:firstRow="1" w:lastColumn="0" w:lastRow="0" w:noHBand="0" w:noVBand="1" w:val="04A0"/>
      </w:tblPr>
      <w:tblGrid>
        <w:gridCol w:w="4680"/>
        <w:gridCol w:w="4680"/>
      </w:tblGrid>
      <w:tr>
        <w:tc>
          <w:tcPr>
            <w:tcW w:type="dxa" w:w="4680"/>
            <w:shd w:fill="E8F4E8"/>
          </w:tcPr>
          <w:p>
            <w:r>
              <w:rPr>
                <w:b/>
              </w:rPr>
              <w:t>Reference</w:t>
            </w:r>
          </w:p>
        </w:tc>
        <w:tc>
          <w:tcPr>
            <w:tcW w:type="dxa" w:w="4680"/>
            <w:shd w:fill="E8F4E8"/>
          </w:tcPr>
          <w:p>
            <w:r>
              <w:rPr>
                <w:b/>
              </w:rPr>
              <w:t>Verse</w:t>
            </w:r>
          </w:p>
        </w:tc>
      </w:tr>
      <w:tr>
        <w:tc>
          <w:tcPr>
            <w:tcW w:type="dxa" w:w="4680"/>
            <w:shd w:fill="E8F4E8"/>
          </w:tcPr>
          <w:p>
            <w:r>
              <w:rPr>
                <w:b/>
              </w:rPr>
              <w:t>3:144</w:t>
            </w:r>
          </w:p>
        </w:tc>
        <w:tc>
          <w:tcPr>
            <w:tcW w:type="dxa" w:w="4680"/>
          </w:tcPr>
          <w:p>
            <w:pPr>
              <w:jc w:val="right"/>
              <w:bidi w:val="1"/>
            </w:pPr>
            <w:r/>
            <w:r>
              <w:rPr>
                <w:rFonts w:ascii="Traditional Arabic" w:hAnsi="Traditional Arabic" w:cs="Traditional Arabic"/>
                <w:b w:val="0"/>
                <w:sz w:val="26"/>
              </w:rPr>
              <w:t>وَمَا مُحَمَّدٌ إِلَّا رَسُولٌ قَدْ خَلَتْ مِن قَبْلِهِ الرُّسُلُ</w:t>
            </w:r>
          </w:p>
        </w:tc>
      </w:tr>
      <w:tr>
        <w:tc>
          <w:tcPr>
            <w:tcW w:type="dxa" w:w="4680"/>
            <w:shd w:fill="E8F4E8"/>
          </w:tcPr>
          <w:p>
            <w:r>
              <w:rPr>
                <w:b/>
              </w:rPr>
              <w:t>33:40</w:t>
            </w:r>
          </w:p>
        </w:tc>
        <w:tc>
          <w:tcPr>
            <w:tcW w:type="dxa" w:w="4680"/>
          </w:tcPr>
          <w:p>
            <w:pPr>
              <w:jc w:val="right"/>
              <w:bidi w:val="1"/>
            </w:pPr>
            <w:r/>
            <w:r>
              <w:rPr>
                <w:rFonts w:ascii="Traditional Arabic" w:hAnsi="Traditional Arabic" w:cs="Traditional Arabic"/>
                <w:b w:val="0"/>
                <w:sz w:val="26"/>
              </w:rPr>
              <w:t>مَّا كَانَ مُحَمَّدٌ أَبَا أَحَدٍ مِّن رِّجَالِكُمْ وَلَٰكِن رَّسُولَ اللَّهِ وَخَاتَمَ النَّبِيِّينَ</w:t>
            </w:r>
          </w:p>
        </w:tc>
      </w:tr>
      <w:tr>
        <w:tc>
          <w:tcPr>
            <w:tcW w:type="dxa" w:w="4680"/>
            <w:shd w:fill="E8F4E8"/>
          </w:tcPr>
          <w:p>
            <w:r>
              <w:rPr>
                <w:b/>
              </w:rPr>
              <w:t>47:2</w:t>
            </w:r>
          </w:p>
        </w:tc>
        <w:tc>
          <w:tcPr>
            <w:tcW w:type="dxa" w:w="4680"/>
          </w:tcPr>
          <w:p>
            <w:pPr>
              <w:jc w:val="right"/>
              <w:bidi w:val="1"/>
            </w:pPr>
            <w:r/>
            <w:r>
              <w:rPr>
                <w:rFonts w:ascii="Traditional Arabic" w:hAnsi="Traditional Arabic" w:cs="Traditional Arabic"/>
                <w:b w:val="0"/>
                <w:sz w:val="26"/>
              </w:rPr>
              <w:t>وَالَّذِينَ آمَنُوا وَعَمِلُوا الصَّالِحَاتِ وَآمَنُوا بِمَا نُزِّلَ عَلَىٰ مُحَمَّدٍ</w:t>
            </w:r>
          </w:p>
        </w:tc>
      </w:tr>
      <w:tr>
        <w:tc>
          <w:tcPr>
            <w:tcW w:type="dxa" w:w="4680"/>
            <w:shd w:fill="E8F4E8"/>
          </w:tcPr>
          <w:p>
            <w:r>
              <w:rPr>
                <w:b/>
              </w:rPr>
              <w:t>48:29</w:t>
            </w:r>
          </w:p>
        </w:tc>
        <w:tc>
          <w:tcPr>
            <w:tcW w:type="dxa" w:w="4680"/>
          </w:tcPr>
          <w:p>
            <w:pPr>
              <w:jc w:val="right"/>
              <w:bidi w:val="1"/>
            </w:pPr>
            <w:r/>
            <w:r>
              <w:rPr>
                <w:rFonts w:ascii="Traditional Arabic" w:hAnsi="Traditional Arabic" w:cs="Traditional Arabic"/>
                <w:b w:val="0"/>
                <w:sz w:val="26"/>
              </w:rPr>
              <w:t>مُّحَمَّدٌ رَّسُولُ اللَّهِ ۚ وَالَّذِينَ مَعَهُ أَشِدَّاءُ عَلَى الْكُفَّارِ</w:t>
            </w:r>
          </w:p>
        </w:tc>
      </w:tr>
    </w:tbl>
    <w:p/>
    <w:p>
      <w:pPr>
        <w:pStyle w:val="Heading2"/>
      </w:pPr>
      <w:r>
        <w:rPr>
          <w:color w:val="2E75B6"/>
        </w:rPr>
        <w:t>3.2 Contextual Pattern</w:t>
      </w:r>
    </w:p>
    <w:p>
      <w:pPr>
        <w:pStyle w:val="ListBullet"/>
      </w:pPr>
      <w:r>
        <w:t>Always accompanied by clarification of his role (رَسُول or النَّبِيِّينَ)</w:t>
      </w:r>
    </w:p>
    <w:p>
      <w:pPr>
        <w:pStyle w:val="ListBullet"/>
      </w:pPr>
      <w:r>
        <w:t>Used when addressing his mortality and humanity</w:t>
      </w:r>
    </w:p>
    <w:p>
      <w:pPr>
        <w:pStyle w:val="ListBullet"/>
      </w:pPr>
      <w:r>
        <w:t>Used to identify the specific historical person, not his function</w:t>
      </w:r>
    </w:p>
    <w:p>
      <w:pPr>
        <w:pStyle w:val="ListBullet"/>
      </w:pPr>
      <w:r>
        <w:t>Never used in commands to the believers about obedience</w:t>
      </w:r>
    </w:p>
    <w:p>
      <w:r>
        <w:br w:type="page"/>
      </w:r>
    </w:p>
    <w:p>
      <w:pPr>
        <w:pStyle w:val="Heading1"/>
      </w:pPr>
      <w:r>
        <w:rPr>
          <w:color w:val="1F4E79"/>
        </w:rPr>
        <w:t>4. الرَّسُول (The Messenger) - Functional Title</w:t>
      </w:r>
    </w:p>
    <w:p>
      <w:pPr>
        <w:pStyle w:val="Heading2"/>
      </w:pPr>
      <w:r>
        <w:rPr>
          <w:color w:val="2E75B6"/>
        </w:rPr>
        <w:t>4.1 Occurrences: Over 300 times</w:t>
      </w:r>
    </w:p>
    <w:p>
      <w:r>
        <w:rPr>
          <w:rFonts w:ascii="Arial" w:hAnsi="Arial"/>
          <w:b w:val="0"/>
          <w:i w:val="0"/>
          <w:sz w:val="24"/>
        </w:rPr>
        <w:t xml:space="preserve">The term الرَّسُول and its variations appear extensively throughout the Quran. This is the </w:t>
      </w:r>
      <w:r>
        <w:rPr>
          <w:rFonts w:ascii="Arial" w:hAnsi="Arial"/>
          <w:b/>
          <w:i w:val="0"/>
          <w:sz w:val="24"/>
        </w:rPr>
        <w:t>PRIMARY</w:t>
      </w:r>
      <w:r>
        <w:rPr>
          <w:rFonts w:ascii="Arial" w:hAnsi="Arial"/>
          <w:b w:val="0"/>
          <w:i w:val="0"/>
          <w:sz w:val="24"/>
        </w:rPr>
        <w:t xml:space="preserve"> term used in legislative contexts.</w:t>
      </w:r>
    </w:p>
    <w:tbl>
      <w:tblPr>
        <w:tblStyle w:val="TableGrid"/>
        <w:tblW w:type="auto" w:w="0"/>
        <w:tblLook w:firstColumn="1" w:firstRow="1" w:lastColumn="0" w:lastRow="0" w:noHBand="0" w:noVBand="1" w:val="04A0"/>
      </w:tblPr>
      <w:tblGrid>
        <w:gridCol w:w="9360"/>
      </w:tblGrid>
      <w:tr>
        <w:tc>
          <w:tcPr>
            <w:tcW w:type="dxa" w:w="9360"/>
            <w:shd w:fill="FFF2F2"/>
          </w:tcPr>
          <w:p>
            <w:pPr>
              <w:jc w:val="center"/>
            </w:pPr>
            <w:r>
              <w:rPr>
                <w:rFonts w:ascii="Arial" w:hAnsi="Arial"/>
                <w:b/>
                <w:i w:val="0"/>
                <w:color w:val="C00000"/>
                <w:sz w:val="28"/>
              </w:rPr>
              <w:t>CRITICAL DISCOVERY</w:t>
            </w:r>
          </w:p>
          <w:p>
            <w:pPr>
              <w:jc w:val="center"/>
            </w:pPr>
            <w:r>
              <w:rPr>
                <w:rFonts w:ascii="Arial" w:hAnsi="Arial"/>
                <w:b/>
                <w:i w:val="0"/>
                <w:sz w:val="24"/>
              </w:rPr>
              <w:t xml:space="preserve">The Quran NEVER says </w:t>
            </w:r>
            <w:r>
              <w:rPr>
                <w:rFonts w:ascii="Traditional Arabic" w:hAnsi="Traditional Arabic" w:cs="Traditional Arabic"/>
                <w:b/>
                <w:sz w:val="28"/>
              </w:rPr>
              <w:t>أَطِيعُوا النَّبِي</w:t>
            </w:r>
            <w:r>
              <w:rPr>
                <w:rFonts w:ascii="Arial" w:hAnsi="Arial"/>
                <w:b/>
                <w:i w:val="0"/>
                <w:sz w:val="24"/>
              </w:rPr>
              <w:t xml:space="preserve"> (obey the Prophet)</w:t>
            </w:r>
          </w:p>
          <w:p>
            <w:pPr>
              <w:jc w:val="center"/>
            </w:pPr>
            <w:r>
              <w:rPr>
                <w:rFonts w:ascii="Arial" w:hAnsi="Arial"/>
                <w:b/>
                <w:i w:val="0"/>
                <w:sz w:val="24"/>
              </w:rPr>
              <w:t xml:space="preserve">It ALWAYS says </w:t>
            </w:r>
            <w:r>
              <w:rPr>
                <w:rFonts w:ascii="Traditional Arabic" w:hAnsi="Traditional Arabic" w:cs="Traditional Arabic"/>
                <w:b/>
                <w:sz w:val="28"/>
              </w:rPr>
              <w:t>أَطِيعُوا الرَّسُولَ</w:t>
            </w:r>
            <w:r>
              <w:rPr>
                <w:rFonts w:ascii="Arial" w:hAnsi="Arial"/>
                <w:b/>
                <w:i w:val="0"/>
                <w:sz w:val="24"/>
              </w:rPr>
              <w:t xml:space="preserve"> (obey the Messenger)</w:t>
            </w:r>
          </w:p>
        </w:tc>
      </w:tr>
    </w:tbl>
    <w:p/>
    <w:p>
      <w:pPr>
        <w:pStyle w:val="Heading2"/>
      </w:pPr>
      <w:r>
        <w:rPr>
          <w:color w:val="2E75B6"/>
        </w:rPr>
        <w:t>4.2 Obedience Verses</w:t>
      </w:r>
    </w:p>
    <w:tbl>
      <w:tblPr>
        <w:tblStyle w:val="TableGrid"/>
        <w:tblW w:type="auto" w:w="0"/>
        <w:tblLook w:firstColumn="1" w:firstRow="1" w:lastColumn="0" w:lastRow="0" w:noHBand="0" w:noVBand="1" w:val="04A0"/>
      </w:tblPr>
      <w:tblGrid>
        <w:gridCol w:w="4680"/>
        <w:gridCol w:w="4680"/>
      </w:tblGrid>
      <w:tr>
        <w:tc>
          <w:tcPr>
            <w:tcW w:type="dxa" w:w="4680"/>
            <w:shd w:fill="FFF4E6"/>
          </w:tcPr>
          <w:p>
            <w:r>
              <w:rPr>
                <w:b/>
              </w:rPr>
              <w:t>Reference</w:t>
            </w:r>
          </w:p>
        </w:tc>
        <w:tc>
          <w:tcPr>
            <w:tcW w:type="dxa" w:w="4680"/>
            <w:shd w:fill="FFF4E6"/>
          </w:tcPr>
          <w:p>
            <w:r>
              <w:rPr>
                <w:b/>
              </w:rPr>
              <w:t>Verse</w:t>
            </w:r>
          </w:p>
        </w:tc>
      </w:tr>
      <w:tr>
        <w:tc>
          <w:tcPr>
            <w:tcW w:type="dxa" w:w="4680"/>
            <w:shd w:fill="FFF4E6"/>
          </w:tcPr>
          <w:p>
            <w:r>
              <w:rPr>
                <w:b/>
              </w:rPr>
              <w:t>4:59</w:t>
            </w:r>
          </w:p>
        </w:tc>
        <w:tc>
          <w:tcPr>
            <w:tcW w:type="dxa" w:w="4680"/>
          </w:tcPr>
          <w:p>
            <w:pPr>
              <w:jc w:val="right"/>
              <w:bidi w:val="1"/>
            </w:pPr>
            <w:r/>
            <w:r>
              <w:rPr>
                <w:rFonts w:ascii="Traditional Arabic" w:hAnsi="Traditional Arabic" w:cs="Traditional Arabic"/>
                <w:b w:val="0"/>
                <w:sz w:val="24"/>
              </w:rPr>
              <w:t>يَا أَيُّهَا الَّذِينَ آمَنُوا أَطِيعُوا اللَّهَ وَأَطِيعُوا الرَّسُولَ وَأُولِي الْأَمْرِ مِنكُمْ</w:t>
            </w:r>
          </w:p>
        </w:tc>
      </w:tr>
      <w:tr>
        <w:tc>
          <w:tcPr>
            <w:tcW w:type="dxa" w:w="4680"/>
            <w:shd w:fill="FFF4E6"/>
          </w:tcPr>
          <w:p>
            <w:r>
              <w:rPr>
                <w:b/>
              </w:rPr>
              <w:t>5:92</w:t>
            </w:r>
          </w:p>
        </w:tc>
        <w:tc>
          <w:tcPr>
            <w:tcW w:type="dxa" w:w="4680"/>
          </w:tcPr>
          <w:p>
            <w:pPr>
              <w:jc w:val="right"/>
              <w:bidi w:val="1"/>
            </w:pPr>
            <w:r/>
            <w:r>
              <w:rPr>
                <w:rFonts w:ascii="Traditional Arabic" w:hAnsi="Traditional Arabic" w:cs="Traditional Arabic"/>
                <w:b w:val="0"/>
                <w:sz w:val="24"/>
              </w:rPr>
              <w:t>وَأَطِيعُوا اللَّهَ وَأَطِيعُوا الرَّسُولَ وَاحْذَرُوا</w:t>
            </w:r>
          </w:p>
        </w:tc>
      </w:tr>
      <w:tr>
        <w:tc>
          <w:tcPr>
            <w:tcW w:type="dxa" w:w="4680"/>
            <w:shd w:fill="FFF4E6"/>
          </w:tcPr>
          <w:p>
            <w:r>
              <w:rPr>
                <w:b/>
              </w:rPr>
              <w:t>24:54</w:t>
            </w:r>
          </w:p>
        </w:tc>
        <w:tc>
          <w:tcPr>
            <w:tcW w:type="dxa" w:w="4680"/>
          </w:tcPr>
          <w:p>
            <w:pPr>
              <w:jc w:val="right"/>
              <w:bidi w:val="1"/>
            </w:pPr>
            <w:r/>
            <w:r>
              <w:rPr>
                <w:rFonts w:ascii="Traditional Arabic" w:hAnsi="Traditional Arabic" w:cs="Traditional Arabic"/>
                <w:b w:val="0"/>
                <w:sz w:val="24"/>
              </w:rPr>
              <w:t>قُلْ أَطِيعُوا اللَّهَ وَأَطِيعُوا الرَّسُولَ ۖ فَإِن تَوَلَّوْا فَإِنَّمَا عَلَيْهِ مَا حُمِّلَ</w:t>
            </w:r>
          </w:p>
        </w:tc>
      </w:tr>
      <w:tr>
        <w:tc>
          <w:tcPr>
            <w:tcW w:type="dxa" w:w="4680"/>
            <w:shd w:fill="FFF4E6"/>
          </w:tcPr>
          <w:p>
            <w:r>
              <w:rPr>
                <w:b/>
              </w:rPr>
              <w:t>47:33</w:t>
            </w:r>
          </w:p>
        </w:tc>
        <w:tc>
          <w:tcPr>
            <w:tcW w:type="dxa" w:w="4680"/>
          </w:tcPr>
          <w:p>
            <w:pPr>
              <w:jc w:val="right"/>
              <w:bidi w:val="1"/>
            </w:pPr>
            <w:r/>
            <w:r>
              <w:rPr>
                <w:rFonts w:ascii="Traditional Arabic" w:hAnsi="Traditional Arabic" w:cs="Traditional Arabic"/>
                <w:b w:val="0"/>
                <w:sz w:val="24"/>
              </w:rPr>
              <w:t>يَا أَيُّهَا الَّذِينَ آمَنُوا أَطِيعُوا اللَّهَ وَأَطِيعُوا الرَّسُولَ وَلَا تُبْطِلُوا أَعْمَالَكُمْ</w:t>
            </w:r>
          </w:p>
        </w:tc>
      </w:tr>
      <w:tr>
        <w:tc>
          <w:tcPr>
            <w:tcW w:type="dxa" w:w="4680"/>
            <w:shd w:fill="FFF4E6"/>
          </w:tcPr>
          <w:p>
            <w:r>
              <w:rPr>
                <w:b/>
              </w:rPr>
              <w:t>64:12</w:t>
            </w:r>
          </w:p>
        </w:tc>
        <w:tc>
          <w:tcPr>
            <w:tcW w:type="dxa" w:w="4680"/>
          </w:tcPr>
          <w:p>
            <w:pPr>
              <w:jc w:val="right"/>
              <w:bidi w:val="1"/>
            </w:pPr>
            <w:r/>
            <w:r>
              <w:rPr>
                <w:rFonts w:ascii="Traditional Arabic" w:hAnsi="Traditional Arabic" w:cs="Traditional Arabic"/>
                <w:b w:val="0"/>
                <w:sz w:val="24"/>
              </w:rPr>
              <w:t>وَأَطِيعُوا اللَّهَ وَأَطِيعُوا الرَّسُولَ ۚ فَإِن تَوَلَّيْتُمْ فَإِنَّمَا عَلَىٰ رَسُولِنَا الْبَلَاغُ الْمُبِينُ</w:t>
            </w:r>
          </w:p>
        </w:tc>
      </w:tr>
    </w:tbl>
    <w:p/>
    <w:p>
      <w:pPr>
        <w:pStyle w:val="Heading2"/>
      </w:pPr>
      <w:r>
        <w:rPr>
          <w:color w:val="2E75B6"/>
        </w:rPr>
        <w:t>4.3 Key Verse Analysis: 4:80</w:t>
      </w:r>
    </w:p>
    <w:p>
      <w:pPr>
        <w:jc w:val="center"/>
        <w:bidi w:val="1"/>
      </w:pPr>
      <w:r>
        <w:rPr>
          <w:rFonts w:ascii="Traditional Arabic" w:hAnsi="Traditional Arabic" w:cs="Traditional Arabic"/>
          <w:b/>
          <w:sz w:val="32"/>
        </w:rPr>
        <w:t>مَّن يُطِعِ الرَّسُولَ فَقَدْ أَطَاعَ اللَّهَ</w:t>
      </w:r>
    </w:p>
    <w:p>
      <w:pPr>
        <w:jc w:val="center"/>
      </w:pPr>
      <w:r>
        <w:rPr>
          <w:rFonts w:ascii="Arial" w:hAnsi="Arial"/>
          <w:b w:val="0"/>
          <w:i/>
          <w:sz w:val="24"/>
        </w:rPr>
        <w:t>"Whoever obeys the Messenger has indeed obeyed Allah" (4:80)</w:t>
      </w:r>
    </w:p>
    <w:p>
      <w:r>
        <w:rPr>
          <w:rFonts w:ascii="Arial" w:hAnsi="Arial"/>
          <w:b w:val="0"/>
          <w:i w:val="0"/>
          <w:sz w:val="24"/>
        </w:rPr>
        <w:t>This verse establishes that obedience to الرَّسُول (the Messenger in his official capacity) equals obedience to Allah. The Message he delivers IS the divine command.</w:t>
      </w:r>
    </w:p>
    <w:p>
      <w:r>
        <w:br w:type="page"/>
      </w:r>
    </w:p>
    <w:p>
      <w:pPr>
        <w:pStyle w:val="Heading1"/>
      </w:pPr>
      <w:r>
        <w:rPr>
          <w:color w:val="1F4E79"/>
        </w:rPr>
        <w:t>5. النَّبِي (The Prophet) - Informational Role</w:t>
      </w:r>
    </w:p>
    <w:p>
      <w:pPr>
        <w:pStyle w:val="Heading2"/>
      </w:pPr>
      <w:r>
        <w:rPr>
          <w:color w:val="2E75B6"/>
        </w:rPr>
        <w:t>5.1 Occurrences: Approximately 28 times as النَّبِي</w:t>
      </w:r>
    </w:p>
    <w:p>
      <w:r>
        <w:rPr>
          <w:rFonts w:ascii="Arial" w:hAnsi="Arial"/>
          <w:b w:val="0"/>
          <w:i w:val="0"/>
          <w:sz w:val="24"/>
        </w:rPr>
        <w:t>النَّبِي is used in distinctly different contexts from الرَّسُول. It emphasizes receiving and conveying information rather than commanding obedience.</w:t>
      </w:r>
    </w:p>
    <w:p>
      <w:pPr>
        <w:pStyle w:val="Heading2"/>
      </w:pPr>
      <w:r>
        <w:rPr>
          <w:color w:val="2E75B6"/>
        </w:rPr>
        <w:t>5.2 Contextual Usage Patterns</w:t>
      </w:r>
    </w:p>
    <w:p>
      <w:r>
        <w:rPr>
          <w:rFonts w:ascii="Arial" w:hAnsi="Arial"/>
          <w:b/>
          <w:i w:val="0"/>
          <w:sz w:val="24"/>
        </w:rPr>
        <w:t xml:space="preserve">1. Personal/domestic matters: </w:t>
      </w:r>
      <w:r>
        <w:rPr>
          <w:rFonts w:ascii="Arial" w:hAnsi="Arial"/>
          <w:b w:val="0"/>
          <w:i w:val="0"/>
          <w:sz w:val="24"/>
        </w:rPr>
        <w:t>"O wives of the Prophet" (33:30), "O Prophet, say to your wives" (33:28)</w:t>
      </w:r>
    </w:p>
    <w:p>
      <w:r>
        <w:rPr>
          <w:rFonts w:ascii="Arial" w:hAnsi="Arial"/>
          <w:b/>
          <w:i w:val="0"/>
          <w:sz w:val="24"/>
        </w:rPr>
        <w:t xml:space="preserve">2. Direct address from Allah: </w:t>
      </w:r>
      <w:r>
        <w:rPr>
          <w:rFonts w:ascii="Arial" w:hAnsi="Arial"/>
          <w:b w:val="0"/>
          <w:i w:val="0"/>
          <w:sz w:val="24"/>
        </w:rPr>
        <w:t>"O Prophet, fear Allah" (33:1), "O Prophet, strive against..." (9:73)</w:t>
      </w:r>
    </w:p>
    <w:p>
      <w:r>
        <w:rPr>
          <w:rFonts w:ascii="Arial" w:hAnsi="Arial"/>
          <w:b/>
          <w:i w:val="0"/>
          <w:sz w:val="24"/>
        </w:rPr>
        <w:t xml:space="preserve">3. Historical/narrative context: </w:t>
      </w:r>
      <w:r>
        <w:rPr>
          <w:rFonts w:ascii="Arial" w:hAnsi="Arial"/>
          <w:b w:val="0"/>
          <w:i w:val="0"/>
          <w:sz w:val="24"/>
        </w:rPr>
        <w:t>"The Prophet has more right over believers..." (33:6)</w:t>
      </w:r>
    </w:p>
    <w:p>
      <w:r>
        <w:rPr>
          <w:rFonts w:ascii="Arial" w:hAnsi="Arial"/>
          <w:b/>
          <w:i w:val="0"/>
          <w:sz w:val="24"/>
        </w:rPr>
        <w:t xml:space="preserve">4. Respect and honor: </w:t>
      </w:r>
      <w:r>
        <w:rPr>
          <w:rFonts w:ascii="Arial" w:hAnsi="Arial"/>
          <w:b w:val="0"/>
          <w:i w:val="0"/>
          <w:sz w:val="24"/>
        </w:rPr>
        <w:t>"Do not raise your voices above the voice of the Prophet" (49:2)</w:t>
      </w:r>
    </w:p>
    <w:p>
      <w:r>
        <w:rPr>
          <w:rFonts w:ascii="Arial" w:hAnsi="Arial"/>
          <w:b/>
          <w:i w:val="0"/>
          <w:sz w:val="24"/>
        </w:rPr>
        <w:t xml:space="preserve">5. Exclusive provisions: </w:t>
      </w:r>
      <w:r>
        <w:rPr>
          <w:rFonts w:ascii="Arial" w:hAnsi="Arial"/>
          <w:b w:val="0"/>
          <w:i w:val="0"/>
          <w:sz w:val="24"/>
        </w:rPr>
        <w:t>Special marriage rules in 33:50</w:t>
      </w:r>
    </w:p>
    <w:p>
      <w:pPr>
        <w:pStyle w:val="Heading2"/>
      </w:pPr>
      <w:r>
        <w:rPr>
          <w:color w:val="2E75B6"/>
        </w:rPr>
        <w:t>5.3 Notable Absence</w:t>
      </w:r>
    </w:p>
    <w:p>
      <w:r>
        <w:rPr>
          <w:rFonts w:ascii="Arial" w:hAnsi="Arial"/>
          <w:b w:val="0"/>
          <w:i w:val="0"/>
          <w:sz w:val="24"/>
        </w:rPr>
        <w:t xml:space="preserve">The phrase "obey the Prophet" (أَطِيعُوا النَّبِي) does </w:t>
      </w:r>
      <w:r>
        <w:rPr>
          <w:rFonts w:ascii="Arial" w:hAnsi="Arial"/>
          <w:b/>
          <w:i w:val="0"/>
          <w:sz w:val="24"/>
        </w:rPr>
        <w:t>NOT</w:t>
      </w:r>
      <w:r>
        <w:rPr>
          <w:rFonts w:ascii="Arial" w:hAnsi="Arial"/>
          <w:b w:val="0"/>
          <w:i w:val="0"/>
          <w:sz w:val="24"/>
        </w:rPr>
        <w:t xml:space="preserve"> exist in the Quran. Commands of obedience are ALWAYS linked to الرَّسُول (the Messenger function), never to النَّبِي (the Prophet function).</w:t>
      </w:r>
    </w:p>
    <w:p>
      <w:r>
        <w:br w:type="page"/>
      </w:r>
    </w:p>
    <w:p>
      <w:pPr>
        <w:pStyle w:val="Heading1"/>
      </w:pPr>
      <w:r>
        <w:rPr>
          <w:color w:val="1F4E79"/>
        </w:rPr>
        <w:t>6. The Crucial Distinction</w:t>
      </w:r>
    </w:p>
    <w:tbl>
      <w:tblPr>
        <w:tblStyle w:val="TableGrid"/>
        <w:tblW w:type="auto" w:w="0"/>
        <w:tblLook w:firstColumn="1" w:firstRow="1" w:lastColumn="0" w:lastRow="0" w:noHBand="0" w:noVBand="1" w:val="04A0"/>
      </w:tblPr>
      <w:tblGrid>
        <w:gridCol w:w="3120"/>
        <w:gridCol w:w="3120"/>
        <w:gridCol w:w="3120"/>
      </w:tblGrid>
      <w:tr>
        <w:tc>
          <w:tcPr>
            <w:tcW w:type="dxa" w:w="3120"/>
            <w:shd w:fill="1F4E79"/>
          </w:tcPr>
          <w:p>
            <w:r>
              <w:rPr>
                <w:b/>
                <w:color w:val="FFFFFF"/>
              </w:rPr>
              <w:t>Term</w:t>
            </w:r>
          </w:p>
        </w:tc>
        <w:tc>
          <w:tcPr>
            <w:tcW w:type="dxa" w:w="3120"/>
            <w:shd w:fill="1F4E79"/>
          </w:tcPr>
          <w:p>
            <w:r>
              <w:rPr>
                <w:b/>
                <w:color w:val="FFFFFF"/>
              </w:rPr>
              <w:t>Function</w:t>
            </w:r>
          </w:p>
        </w:tc>
        <w:tc>
          <w:tcPr>
            <w:tcW w:type="dxa" w:w="3120"/>
            <w:shd w:fill="1F4E79"/>
          </w:tcPr>
          <w:p>
            <w:r>
              <w:rPr>
                <w:b/>
                <w:color w:val="FFFFFF"/>
              </w:rPr>
              <w:t>Obedience Required?</w:t>
            </w:r>
          </w:p>
        </w:tc>
      </w:tr>
      <w:tr>
        <w:tc>
          <w:tcPr>
            <w:tcW w:type="dxa" w:w="3120"/>
          </w:tcPr>
          <w:p>
            <w:pPr>
              <w:jc w:val="center"/>
            </w:pPr>
            <w:r/>
            <w:r>
              <w:rPr>
                <w:rFonts w:ascii="Traditional Arabic" w:hAnsi="Traditional Arabic" w:cs="Traditional Arabic"/>
                <w:b w:val="0"/>
                <w:sz w:val="26"/>
              </w:rPr>
              <w:t>مُحَمَّد</w:t>
            </w:r>
          </w:p>
          <w:p>
            <w:pPr>
              <w:jc w:val="center"/>
            </w:pPr>
            <w:r>
              <w:rPr>
                <w:rFonts w:ascii="Arial" w:hAnsi="Arial"/>
                <w:b w:val="0"/>
                <w:i w:val="0"/>
                <w:sz w:val="20"/>
              </w:rPr>
              <w:t>(Personal name)</w:t>
            </w:r>
          </w:p>
        </w:tc>
        <w:tc>
          <w:tcPr>
            <w:tcW w:type="dxa" w:w="3120"/>
          </w:tcPr>
          <w:p>
            <w:r>
              <w:t>Identity: The individual human being</w:t>
            </w:r>
          </w:p>
        </w:tc>
        <w:tc>
          <w:tcPr>
            <w:tcW w:type="dxa" w:w="3120"/>
          </w:tcPr>
          <w:p>
            <w:pPr>
              <w:jc w:val="center"/>
            </w:pPr>
            <w:r>
              <w:t>Never commanded</w:t>
            </w:r>
          </w:p>
        </w:tc>
      </w:tr>
      <w:tr>
        <w:tc>
          <w:tcPr>
            <w:tcW w:type="dxa" w:w="3120"/>
          </w:tcPr>
          <w:p>
            <w:pPr>
              <w:jc w:val="center"/>
            </w:pPr>
            <w:r/>
            <w:r>
              <w:rPr>
                <w:rFonts w:ascii="Traditional Arabic" w:hAnsi="Traditional Arabic" w:cs="Traditional Arabic"/>
                <w:b w:val="0"/>
                <w:sz w:val="26"/>
              </w:rPr>
              <w:t>الرَّسُول</w:t>
            </w:r>
          </w:p>
          <w:p>
            <w:pPr>
              <w:jc w:val="center"/>
            </w:pPr>
            <w:r>
              <w:rPr>
                <w:rFonts w:ascii="Arial" w:hAnsi="Arial"/>
                <w:b w:val="0"/>
                <w:i w:val="0"/>
                <w:sz w:val="20"/>
              </w:rPr>
              <w:t>(The Messenger)</w:t>
            </w:r>
          </w:p>
        </w:tc>
        <w:tc>
          <w:tcPr>
            <w:tcW w:type="dxa" w:w="3120"/>
          </w:tcPr>
          <w:p>
            <w:r>
              <w:t>Official capacity: Deliverer of divine law</w:t>
            </w:r>
          </w:p>
        </w:tc>
        <w:tc>
          <w:tcPr>
            <w:tcW w:type="dxa" w:w="3120"/>
            <w:shd w:fill="E8F4E8"/>
          </w:tcPr>
          <w:p>
            <w:pPr>
              <w:jc w:val="center"/>
            </w:pPr>
            <w:r>
              <w:rPr>
                <w:b/>
                <w:color w:val="006600"/>
              </w:rPr>
              <w:t>YES - Repeatedly</w:t>
            </w:r>
          </w:p>
        </w:tc>
      </w:tr>
      <w:tr>
        <w:tc>
          <w:tcPr>
            <w:tcW w:type="dxa" w:w="3120"/>
          </w:tcPr>
          <w:p>
            <w:pPr>
              <w:jc w:val="center"/>
            </w:pPr>
            <w:r/>
            <w:r>
              <w:rPr>
                <w:rFonts w:ascii="Traditional Arabic" w:hAnsi="Traditional Arabic" w:cs="Traditional Arabic"/>
                <w:b w:val="0"/>
                <w:sz w:val="26"/>
              </w:rPr>
              <w:t>النَّبِي</w:t>
            </w:r>
          </w:p>
          <w:p>
            <w:pPr>
              <w:jc w:val="center"/>
            </w:pPr>
            <w:r>
              <w:rPr>
                <w:rFonts w:ascii="Arial" w:hAnsi="Arial"/>
                <w:b w:val="0"/>
                <w:i w:val="0"/>
                <w:sz w:val="20"/>
              </w:rPr>
              <w:t>(The Prophet)</w:t>
            </w:r>
          </w:p>
        </w:tc>
        <w:tc>
          <w:tcPr>
            <w:tcW w:type="dxa" w:w="3120"/>
          </w:tcPr>
          <w:p>
            <w:r>
              <w:t>Recipient of revelation: Informed by Allah</w:t>
            </w:r>
          </w:p>
        </w:tc>
        <w:tc>
          <w:tcPr>
            <w:tcW w:type="dxa" w:w="3120"/>
          </w:tcPr>
          <w:p>
            <w:pPr>
              <w:jc w:val="center"/>
            </w:pPr>
            <w:r>
              <w:t>Never commanded</w:t>
            </w:r>
          </w:p>
        </w:tc>
      </w:tr>
    </w:tbl>
    <w:p>
      <w:r>
        <w:br w:type="page"/>
      </w:r>
    </w:p>
    <w:p>
      <w:pPr>
        <w:pStyle w:val="Heading1"/>
      </w:pPr>
      <w:r>
        <w:rPr>
          <w:color w:val="1F4E79"/>
        </w:rPr>
        <w:t>7. Interpreting "Obey Allah and Obey the Messenger"</w:t>
      </w:r>
    </w:p>
    <w:p>
      <w:pPr>
        <w:pStyle w:val="Heading2"/>
      </w:pPr>
      <w:r>
        <w:rPr>
          <w:color w:val="2E75B6"/>
        </w:rPr>
        <w:t>7.1 The Verse Structure</w:t>
      </w:r>
    </w:p>
    <w:p>
      <w:pPr>
        <w:jc w:val="center"/>
        <w:bidi w:val="1"/>
      </w:pPr>
      <w:r>
        <w:rPr>
          <w:rFonts w:ascii="Traditional Arabic" w:hAnsi="Traditional Arabic" w:cs="Traditional Arabic"/>
          <w:b/>
          <w:sz w:val="36"/>
        </w:rPr>
        <w:t>وَأَطِيعُوا اللَّهَ وَأَطِيعُوا الرَّسُولَ</w:t>
      </w:r>
    </w:p>
    <w:p>
      <w:r>
        <w:rPr>
          <w:rFonts w:ascii="Arial" w:hAnsi="Arial"/>
          <w:b w:val="0"/>
          <w:i w:val="0"/>
          <w:sz w:val="24"/>
        </w:rPr>
        <w:t>Notice the repetition of the verb "وَأَطِيعُوا" (and obey). This grammatical structure is significant:</w:t>
      </w:r>
    </w:p>
    <w:p>
      <w:pPr>
        <w:pStyle w:val="ListBullet"/>
      </w:pPr>
      <w:r>
        <w:t>"أَطِيعُوا اللَّهَ" - Obey Allah (the source of legislation)</w:t>
      </w:r>
    </w:p>
    <w:p>
      <w:pPr>
        <w:pStyle w:val="ListBullet"/>
      </w:pPr>
      <w:r>
        <w:t>"وَأَطِيعُوا الرَّسُولَ" - And obey the Messenger (the one who delivers and explains that legislation)</w:t>
      </w:r>
    </w:p>
    <w:p>
      <w:pPr>
        <w:pStyle w:val="Heading2"/>
      </w:pPr>
      <w:r>
        <w:rPr>
          <w:color w:val="2E75B6"/>
        </w:rPr>
        <w:t>7.2 What Does "الرَّسُول" Represent?</w:t>
      </w:r>
    </w:p>
    <w:p>
      <w:r>
        <w:rPr>
          <w:rFonts w:ascii="Arial" w:hAnsi="Arial"/>
          <w:b w:val="0"/>
          <w:i w:val="0"/>
          <w:sz w:val="24"/>
        </w:rPr>
        <w:t>Based on the Quranic evidence, الرَّسُول represents the OFFICIAL FUNCTION of delivering divine message. Key supporting verses:</w:t>
      </w:r>
    </w:p>
    <w:p>
      <w:r>
        <w:rPr>
          <w:rFonts w:ascii="Arial" w:hAnsi="Arial"/>
          <w:b/>
          <w:i w:val="0"/>
          <w:sz w:val="24"/>
        </w:rPr>
        <w:t xml:space="preserve">59:7 - </w:t>
      </w:r>
      <w:r>
        <w:rPr>
          <w:rFonts w:ascii="Traditional Arabic" w:hAnsi="Traditional Arabic" w:cs="Traditional Arabic"/>
          <w:b w:val="0"/>
          <w:sz w:val="24"/>
        </w:rPr>
        <w:t>وَمَا آتَاكُمُ الرَّسُولُ فَخُذُوهُ وَمَا نَهَاكُمْ عَنْهُ فَانتَهُوا</w:t>
      </w:r>
    </w:p>
    <w:p>
      <w:pPr>
        <w:ind w:left="720"/>
      </w:pPr>
      <w:r>
        <w:rPr>
          <w:rFonts w:ascii="Arial" w:hAnsi="Arial"/>
          <w:b w:val="0"/>
          <w:i/>
          <w:sz w:val="24"/>
        </w:rPr>
        <w:t>"Whatever the Messenger gives you, take it; and whatever he forbids you, abstain from it."</w:t>
      </w:r>
    </w:p>
    <w:p>
      <w:r>
        <w:rPr>
          <w:rFonts w:ascii="Arial" w:hAnsi="Arial"/>
          <w:b/>
          <w:i w:val="0"/>
          <w:sz w:val="24"/>
        </w:rPr>
        <w:t xml:space="preserve">24:54 &amp; 64:12 - </w:t>
      </w:r>
      <w:r>
        <w:rPr>
          <w:rFonts w:ascii="Traditional Arabic" w:hAnsi="Traditional Arabic" w:cs="Traditional Arabic"/>
          <w:b w:val="0"/>
          <w:sz w:val="24"/>
        </w:rPr>
        <w:t>فَإِنَّمَا عَلَى الرَّسُولِ الْبَلَاغُ الْمُبِينُ</w:t>
      </w:r>
    </w:p>
    <w:p>
      <w:pPr>
        <w:ind w:left="720"/>
      </w:pPr>
      <w:r>
        <w:rPr>
          <w:rFonts w:ascii="Arial" w:hAnsi="Arial"/>
          <w:b w:val="0"/>
          <w:i/>
          <w:sz w:val="24"/>
        </w:rPr>
        <w:t>"The duty of the Messenger is only to convey clearly."</w:t>
      </w:r>
    </w:p>
    <w:p>
      <w:r>
        <w:rPr>
          <w:rFonts w:ascii="Arial" w:hAnsi="Arial"/>
          <w:b/>
          <w:i w:val="0"/>
          <w:sz w:val="24"/>
        </w:rPr>
        <w:t xml:space="preserve">5:99 - </w:t>
      </w:r>
      <w:r>
        <w:rPr>
          <w:rFonts w:ascii="Traditional Arabic" w:hAnsi="Traditional Arabic" w:cs="Traditional Arabic"/>
          <w:b w:val="0"/>
          <w:sz w:val="24"/>
        </w:rPr>
        <w:t>مَّا عَلَى الرَّسُولِ إِلَّا الْبَلَاغُ</w:t>
      </w:r>
    </w:p>
    <w:p>
      <w:pPr>
        <w:ind w:left="720"/>
      </w:pPr>
      <w:r>
        <w:rPr>
          <w:rFonts w:ascii="Arial" w:hAnsi="Arial"/>
          <w:b w:val="0"/>
          <w:i/>
          <w:sz w:val="24"/>
        </w:rPr>
        <w:t>"The Messenger's duty is only to convey."</w:t>
      </w:r>
    </w:p>
    <w:p>
      <w:pPr>
        <w:pStyle w:val="Heading2"/>
      </w:pPr>
      <w:r>
        <w:rPr>
          <w:color w:val="2E75B6"/>
        </w:rPr>
        <w:t>7.3 Interpretive Framework</w:t>
      </w:r>
    </w:p>
    <w:p>
      <w:r>
        <w:rPr>
          <w:rFonts w:ascii="Arial" w:hAnsi="Arial"/>
          <w:b w:val="0"/>
          <w:i w:val="0"/>
          <w:sz w:val="24"/>
        </w:rPr>
        <w:t>The Quranic word choice leads to the following understanding:</w:t>
      </w:r>
    </w:p>
    <w:p>
      <w:r>
        <w:rPr>
          <w:rFonts w:ascii="Arial" w:hAnsi="Arial"/>
          <w:b/>
          <w:i w:val="0"/>
          <w:sz w:val="24"/>
        </w:rPr>
        <w:t xml:space="preserve">1. Obedience is tied to the MESSAGE, not the person. </w:t>
      </w:r>
      <w:r>
        <w:rPr>
          <w:rFonts w:ascii="Arial" w:hAnsi="Arial"/>
          <w:b w:val="0"/>
          <w:i w:val="0"/>
          <w:sz w:val="24"/>
        </w:rPr>
        <w:t>The Quran commands obedience to "the Messenger" (الرَّسُول) - the one carrying and delivering the divine message - not to "Muhammad" the individual or "the Prophet" in his personal capacity.</w:t>
      </w:r>
    </w:p>
    <w:p>
      <w:r>
        <w:rPr>
          <w:rFonts w:ascii="Arial" w:hAnsi="Arial"/>
          <w:b/>
          <w:i w:val="0"/>
          <w:sz w:val="24"/>
        </w:rPr>
        <w:t xml:space="preserve">2. The Messenger's role is defined as CONVEYANCE. </w:t>
      </w:r>
      <w:r>
        <w:rPr>
          <w:rFonts w:ascii="Arial" w:hAnsi="Arial"/>
          <w:b w:val="0"/>
          <w:i w:val="0"/>
          <w:sz w:val="24"/>
        </w:rPr>
        <w:t>Multiple verses emphasize his duty is "al-balāgh al-mubīn" (clear conveyance). What he conveys from Allah must be obeyed.</w:t>
      </w:r>
    </w:p>
    <w:p>
      <w:r>
        <w:rPr>
          <w:rFonts w:ascii="Arial" w:hAnsi="Arial"/>
          <w:b/>
          <w:i w:val="0"/>
          <w:sz w:val="24"/>
        </w:rPr>
        <w:t xml:space="preserve">3. Obeying the Messenger = Obeying Allah. </w:t>
      </w:r>
      <w:r>
        <w:rPr>
          <w:rFonts w:ascii="Arial" w:hAnsi="Arial"/>
          <w:b w:val="0"/>
          <w:i w:val="0"/>
          <w:sz w:val="24"/>
        </w:rPr>
        <w:t>Verse 4:80 makes this explicit. This is because what the Messenger delivers in his capacity as Messenger IS divine revelation.</w:t>
      </w:r>
    </w:p>
    <w:p>
      <w:r>
        <w:rPr>
          <w:rFonts w:ascii="Arial" w:hAnsi="Arial"/>
          <w:b/>
          <w:i w:val="0"/>
          <w:sz w:val="24"/>
        </w:rPr>
        <w:t xml:space="preserve">4. The Quran itself is the preserved MESSAGE. </w:t>
      </w:r>
      <w:r>
        <w:rPr>
          <w:rFonts w:ascii="Arial" w:hAnsi="Arial"/>
          <w:b w:val="0"/>
          <w:i w:val="0"/>
          <w:sz w:val="24"/>
        </w:rPr>
        <w:t>Since the Messenger's function was to deliver the Message, and the Quran is that preserved Message, obedience to "the Messenger" today means following the Quran - what the Messenger brought.</w:t>
      </w:r>
    </w:p>
    <w:p>
      <w:r>
        <w:br w:type="page"/>
      </w:r>
    </w:p>
    <w:p>
      <w:pPr>
        <w:pStyle w:val="Heading1"/>
      </w:pPr>
      <w:r>
        <w:rPr>
          <w:color w:val="1F4E79"/>
        </w:rPr>
        <w:t>8. Conclusion</w:t>
      </w:r>
    </w:p>
    <w:p>
      <w:r>
        <w:rPr>
          <w:rFonts w:ascii="Arial" w:hAnsi="Arial"/>
          <w:b w:val="0"/>
          <w:i w:val="0"/>
          <w:sz w:val="24"/>
        </w:rPr>
        <w:t>The Quran's precise word choice between مُحَمَّد, الرَّسُول, and النَّبِي reveals a deliberate distinction:</w:t>
      </w:r>
    </w:p>
    <w:p>
      <w:pPr>
        <w:pStyle w:val="ListBullet"/>
      </w:pPr>
      <w:r>
        <w:rPr>
          <w:rFonts w:ascii="Traditional Arabic" w:hAnsi="Traditional Arabic" w:cs="Traditional Arabic"/>
          <w:b/>
          <w:sz w:val="24"/>
        </w:rPr>
        <w:t xml:space="preserve">مُحَمَّد </w:t>
      </w:r>
      <w:r>
        <w:rPr>
          <w:rFonts w:ascii="Arial" w:hAnsi="Arial"/>
          <w:b w:val="0"/>
          <w:i w:val="0"/>
          <w:sz w:val="24"/>
        </w:rPr>
        <w:t>(4 occurrences) refers to the historical person, always paired with clarification of his role</w:t>
      </w:r>
    </w:p>
    <w:p>
      <w:pPr>
        <w:pStyle w:val="ListBullet"/>
      </w:pPr>
      <w:r>
        <w:rPr>
          <w:rFonts w:ascii="Traditional Arabic" w:hAnsi="Traditional Arabic" w:cs="Traditional Arabic"/>
          <w:b/>
          <w:sz w:val="24"/>
        </w:rPr>
        <w:t xml:space="preserve">الرَّسُول </w:t>
      </w:r>
      <w:r>
        <w:rPr>
          <w:rFonts w:ascii="Arial" w:hAnsi="Arial"/>
          <w:b w:val="0"/>
          <w:i w:val="0"/>
          <w:sz w:val="24"/>
        </w:rPr>
        <w:t>(300+ occurrences) is the ONLY term used in obedience commands, representing his official function as deliverer of divine law</w:t>
      </w:r>
    </w:p>
    <w:p>
      <w:pPr>
        <w:pStyle w:val="ListBullet"/>
      </w:pPr>
      <w:r>
        <w:rPr>
          <w:rFonts w:ascii="Traditional Arabic" w:hAnsi="Traditional Arabic" w:cs="Traditional Arabic"/>
          <w:b/>
          <w:sz w:val="24"/>
        </w:rPr>
        <w:t xml:space="preserve">النَّبِي </w:t>
      </w:r>
      <w:r>
        <w:rPr>
          <w:rFonts w:ascii="Arial" w:hAnsi="Arial"/>
          <w:b w:val="0"/>
          <w:i w:val="0"/>
          <w:sz w:val="24"/>
        </w:rPr>
        <w:t>(28 occurrences) is used for personal address, domestic matters, and narrative contexts - NEVER for commands of obedience</w:t>
      </w:r>
    </w:p>
    <w:p>
      <w:r>
        <w:rPr>
          <w:rFonts w:ascii="Arial" w:hAnsi="Arial"/>
          <w:b w:val="0"/>
          <w:i w:val="0"/>
          <w:sz w:val="24"/>
        </w:rPr>
        <w:t>For Muslims interpreting "وَأَطِيعُوا اللَّهَ وَأَطِيعُوا الرَّسُولَ", the Quranic evidence suggests:</w:t>
      </w:r>
    </w:p>
    <w:tbl>
      <w:tblPr>
        <w:tblStyle w:val="TableGrid"/>
        <w:tblW w:type="auto" w:w="0"/>
        <w:tblLook w:firstColumn="1" w:firstRow="1" w:lastColumn="0" w:lastRow="0" w:noHBand="0" w:noVBand="1" w:val="04A0"/>
      </w:tblPr>
      <w:tblGrid>
        <w:gridCol w:w="9360"/>
      </w:tblGrid>
      <w:tr>
        <w:tc>
          <w:tcPr>
            <w:tcW w:type="dxa" w:w="9360"/>
            <w:shd w:fill="E8F0F8"/>
          </w:tcPr>
          <w:p>
            <w:r>
              <w:rPr>
                <w:rFonts w:ascii="Arial" w:hAnsi="Arial"/>
                <w:b w:val="0"/>
                <w:i w:val="0"/>
                <w:sz w:val="24"/>
              </w:rPr>
              <w:t>Obedience is to the MESSAGE that the Messenger delivered - the Quran itself. The command "obey the Messenger" is a command to follow what he brought from Allah, which has been preserved in the Quran. This is why the Quran consistently uses الرَّسُول in legislative contexts and NEVER uses النَّبِي or مُحَمَّد when commanding obedience.</w:t>
            </w:r>
          </w:p>
          <w:p>
            <w:r>
              <w:rPr>
                <w:rFonts w:ascii="Arial" w:hAnsi="Arial"/>
                <w:b w:val="0"/>
                <w:i/>
                <w:sz w:val="24"/>
              </w:rPr>
              <w:t>The Quran's linguistic precision ensures that obedience is directed toward the divine message, not toward personality, opinion, or human tradition.</w:t>
            </w:r>
          </w:p>
        </w:tc>
      </w:tr>
    </w:tbl>
    <w:p/>
    <w:p>
      <w:pPr>
        <w:jc w:val="center"/>
      </w:pPr>
      <w:r>
        <w:rPr>
          <w:rFonts w:ascii="Traditional Arabic" w:hAnsi="Traditional Arabic" w:cs="Traditional Arabic"/>
          <w:b w:val="0"/>
          <w:sz w:val="28"/>
        </w:rPr>
        <w:t>وَاللَّهُ أَعْلَمُ</w:t>
      </w:r>
    </w:p>
    <w:p>
      <w:pPr>
        <w:jc w:val="center"/>
      </w:pPr>
      <w:r>
        <w:rPr>
          <w:rFonts w:ascii="Arial" w:hAnsi="Arial"/>
          <w:b w:val="0"/>
          <w:i/>
          <w:color w:val="666666"/>
          <w:sz w:val="24"/>
        </w:rPr>
        <w:t>And Allah knows best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