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Updated 30 October 2026 · atomicapp.dev</w:t>
      </w:r>
    </w:p>
    <w:p>
      <w:pPr>
        <w:pStyle w:val="CaptionedFigure"/>
      </w:pPr>
      <w:r>
        <w:drawing>
          <wp:inline>
            <wp:extent cx="3838575" cy="2878931"/>
            <wp:effectExtent b="0" l="0" r="0" t="0"/>
            <wp:docPr descr="09-applications" title="" id="10" name="Picture"/>
            <a:graphic>
              <a:graphicData uri="http://schemas.openxmlformats.org/drawingml/2006/picture">
                <pic:pic>
                  <pic:nvPicPr>
                    <pic:cNvPr descr="09-application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Applications · a workspace containing three sample projects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allowance</w:t>
            </w:r>
          </w:p>
        </w:tc>
        <w:tc>
          <w:tcPr/>
          <w:p>
            <w:pPr>
              <w:pStyle w:val="Compact"/>
            </w:pPr>
            <w:r>
              <w:t xml:space="preserve">250 credits once, used at up to 50 a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Paid-plan features</w:t>
            </w:r>
          </w:p>
        </w:tc>
        <w:tc>
          <w:tcPr/>
          <w:p>
            <w:pPr>
              <w:pStyle w:val="Compact"/>
            </w:pPr>
            <w:r>
              <w:t xml:space="preserve">Source downloads, searchable preview logs and collaboration: Builder /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17 product views · 3 launch-film formats · 3 matching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3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3"/>
    <w:bookmarkStart w:id="14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4"/>
    <w:bookmarkStart w:id="18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7-usage" title="" id="16" name="Picture"/>
            <a:graphic>
              <a:graphicData uri="http://schemas.openxmlformats.org/drawingml/2006/picture">
                <pic:pic>
                  <pic:nvPicPr>
                    <pic:cNvPr descr="17-usag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Usage · recent sample building sessions, credits and duration</w:t>
      </w:r>
    </w:p>
    <w:bookmarkEnd w:id="18"/>
    <w:bookmarkStart w:id="19" w:name="names-and-image-context"/>
    <w:p>
      <w:pPr>
        <w:pStyle w:val="Heading2"/>
      </w:pPr>
      <w:r>
        <w:t xml:space="preserve">Names and image context</w:t>
      </w:r>
    </w:p>
    <w:p>
      <w:pPr>
        <w:pStyle w:val="FirstParagraph"/>
      </w:pPr>
      <w:r>
        <w:t xml:space="preserve">Write “Atomic” for the product, “Abstract Machines” for the company and “Atom” for the backend. Product views use local sample applications and data. Billing values are illustrative; use the confirmed plan prices above for editorial copy.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hyperlink" Id="rId12" Target="https://atomicapp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2026-10-30T15:53:56Z</dcterms:created>
  <dcterms:modified xsi:type="dcterms:W3CDTF">2026-10-30T15:53:56Z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