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Updated 30 October 2026 · atomicapp.dev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5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 plain-language idea through Canvas editing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  <w:r>
        <w:br/>
      </w:r>
      <w:hyperlink r:id="rId16">
        <w:r>
          <w:rPr>
            <w:rStyle w:val="Hyperlink"/>
          </w:rPr>
          <w:t xml:space="preserve">atomicapp.dev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8" name="Picture"/>
            <a:graphic>
              <a:graphicData uri="http://schemas.openxmlformats.org/drawingml/2006/picture">
                <pic:pic>
                  <pic:nvPicPr>
                    <pic:cNvPr descr="dusan-borovcani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20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2" name="Picture"/>
            <a:graphic>
              <a:graphicData uri="http://schemas.openxmlformats.org/drawingml/2006/picture">
                <pic:pic>
                  <pic:nvPicPr>
                    <pic:cNvPr descr="george-sale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4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5"/>
    <w:bookmarkStart w:id="26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6"/>
    <w:bookmarkStart w:id="28" w:name="pair-portraits-with-the-product-story"/>
    <w:p>
      <w:pPr>
        <w:pStyle w:val="Heading2"/>
      </w:pPr>
      <w:r>
        <w:t xml:space="preserve">Pair portraits with the product story</w:t>
      </w:r>
    </w:p>
    <w:p>
      <w:pPr>
        <w:pStyle w:val="FirstParagraph"/>
      </w:pPr>
      <w:r>
        <w:t xml:space="preserve">Use the builder as the lead product visual, then Canvas editing, version history, publishing and request monitoring to show the full workflow. The current 35-second launch film and matching covers are available in the press room. Portraits remain the supplied originals.</w:t>
      </w:r>
    </w:p>
    <w:p>
      <w:pPr>
        <w:pStyle w:val="BodyText"/>
      </w:pPr>
      <w:hyperlink r:id="rId16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Press room and complete media kit</w:t>
        </w:r>
      </w:hyperlink>
    </w:p>
    <w:bookmarkEnd w:id="28"/>
    <w:bookmarkEnd w:id="2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2026-10-30T15:43:56Z</dcterms:created>
  <dcterms:modified xsi:type="dcterms:W3CDTF">2026-10-30T15:43:56Z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