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October 2026</w:t>
      </w:r>
    </w:p>
    <w:bookmarkStart w:id="9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9"/>
    <w:bookmarkStart w:id="10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You can start by describing what you want to build. Atomic provides a preview and tools for refining it through conversation and visual editing. You should still review and test the workflows before sharing the application.</w:t>
      </w:r>
    </w:p>
    <w:bookmarkEnd w:id="10"/>
    <w:bookmarkStart w:id="11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Typical starting points include booking apps, online shops, client portals and internal tools. Templates provide examples that can be previewed and adapted. The commerce starter workflow records order requests; it does not by itself collect payments.</w:t>
      </w:r>
    </w:p>
    <w:bookmarkEnd w:id="11"/>
    <w:bookmarkStart w:id="12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The Canvas lets builders navigate screens and states, select elements, adjust styling and leave contextual comments. Whole-app theme controls include colours, shape, spacing and fonts.</w:t>
      </w:r>
    </w:p>
    <w:bookmarkEnd w:id="12"/>
    <w:bookmarkStart w:id="16" w:name="can-i-work-with-other-people"/>
    <w:p>
      <w:pPr>
        <w:pStyle w:val="Heading2"/>
      </w:pPr>
      <w:r>
        <w:t xml:space="preserve">Can I work with other people?</w:t>
      </w:r>
    </w:p>
    <w:p>
      <w:pPr>
        <w:pStyle w:val="FirstParagraph"/>
      </w:pPr>
      <w:r>
        <w:t xml:space="preserve">Atomic supports shared workspaces and app collaborators. Workspace builders and the people who use a finished app have separate accounts and access flows.</w:t>
      </w:r>
    </w:p>
    <w:p>
      <w:r>
        <w:br w:type="page"/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1-source" title="" id="14" name="Picture"/>
            <a:graphic>
              <a:graphicData uri="http://schemas.openxmlformats.org/drawingml/2006/picture">
                <pic:pic>
                  <pic:nvPicPr>
                    <pic:cNvPr descr="11-source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Inspect the generated source · local sample application</w:t>
      </w:r>
    </w:p>
    <w:bookmarkEnd w:id="16"/>
    <w:bookmarkStart w:id="17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Yes. Atomic exposes the generated source and supports source downloads and verified version history. A source archive does not include app users, business data or hosting infrastructure, and is not a complete portable deployment package.</w:t>
      </w:r>
    </w:p>
    <w:bookmarkEnd w:id="17"/>
    <w:bookmarkStart w:id="21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Atomic’s configured automated checks, including build and browser smoke checks. It is not a guarantee that every business workflow is correct or that an application has passed an independent security audit.</w:t>
      </w:r>
    </w:p>
    <w:p>
      <w:r>
        <w:br w:type="page"/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2-versions" title="" id="19" name="Picture"/>
            <a:graphic>
              <a:graphicData uri="http://schemas.openxmlformats.org/drawingml/2006/picture">
                <pic:pic>
                  <pic:nvPicPr>
                    <pic:cNvPr descr="12-versions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earlier checkpoints · compiled local demonstration revisions</w:t>
      </w:r>
    </w:p>
    <w:bookmarkEnd w:id="21"/>
    <w:bookmarkStart w:id="22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Atomic provides source history and publication history. Restoring source and rolling back an application release concern code; they do not restore business data. Publication rollback also depends on compatibility with applied data migrations.</w:t>
      </w:r>
    </w:p>
    <w:bookmarkEnd w:id="22"/>
    <w:bookmarkStart w:id="23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used for application identities, permissions and data, is open source. This should not be read as a claim that the Atomic builder itself is open source.</w:t>
      </w:r>
    </w:p>
    <w:bookmarkEnd w:id="23"/>
    <w:bookmarkStart w:id="24" w:name="X28737b7ea14c5f460269cdbba711bc36f38a9bc"/>
    <w:p>
      <w:pPr>
        <w:pStyle w:val="Heading2"/>
      </w:pPr>
      <w:r>
        <w:t xml:space="preserve">When does it launch, and what will it cost?</w:t>
      </w:r>
    </w:p>
    <w:p>
      <w:pPr>
        <w:pStyle w:val="FirstParagraph"/>
      </w:pPr>
      <w:r>
        <w:t xml:space="preserve">Atomic launches Tuesday, 3 November 2026. Launch plans: Free ($0), Builder at $25/month, and Pro at $50/month.</w:t>
      </w:r>
    </w:p>
    <w:bookmarkEnd w:id="24"/>
    <w:bookmarkStart w:id="25" w:name="how-do-i-arrange-an-interview-or-demo"/>
    <w:p>
      <w:pPr>
        <w:pStyle w:val="Heading2"/>
      </w:pPr>
      <w:r>
        <w:t xml:space="preserve">How do I arrange an interview or demo?</w:t>
      </w:r>
    </w:p>
    <w:p>
      <w:pPr>
        <w:pStyle w:val="FirstParagraph"/>
      </w:pPr>
      <w:r>
        <w:t xml:space="preserve">Contact Drasko Draskovic at drasko@absmach.eu. General enquiries can also go to info@absmach.eu.</w:t>
      </w:r>
    </w:p>
    <w:bookmarkEnd w:id="25"/>
    <w:bookmarkEnd w:id="2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8" Target="media/rId1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2026-10-29T22:31:36Z</dcterms:created>
  <dcterms:modified xsi:type="dcterms:W3CDTF">2026-10-29T22:31:36Z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