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hoose-the-right-asset."/>
    <w:p>
      <w:pPr>
        <w:pStyle w:val="Heading1"/>
      </w:pPr>
      <w:r>
        <w:t xml:space="preserve">Choose the right asset.</w:t>
      </w:r>
    </w:p>
    <w:p>
      <w:pPr>
        <w:pStyle w:val="FirstParagraph"/>
      </w:pPr>
      <w:r>
        <w:t xml:space="preserve">Video &amp; social assets · Atomic / Abstract Machines · October 2026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10-second square teaser</w:t>
            </w:r>
          </w:p>
        </w:tc>
        <w:tc>
          <w:tcPr/>
          <w:p>
            <w:pPr>
              <w:pStyle w:val="Compact"/>
            </w:pPr>
            <w:r>
              <w:t xml:space="preserve">05-video/atomic-teaser-square.mp4</w:t>
            </w:r>
            <w:r>
              <w:br/>
            </w:r>
            <w:r>
              <w:t xml:space="preserve">1080 × 1080 · 30 fps · H.264/AAC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10-second vertical teaser</w:t>
            </w:r>
          </w:p>
        </w:tc>
        <w:tc>
          <w:tcPr/>
          <w:p>
            <w:pPr>
              <w:pStyle w:val="Compact"/>
            </w:pPr>
            <w:r>
              <w:t xml:space="preserve">05-video/atomic-teaser-vertical.mp4</w:t>
            </w:r>
            <w:r>
              <w:br/>
            </w:r>
            <w:r>
              <w:t xml:space="preserve">1080 × 1920 · 30 fps · H.264/AAC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35-second product demo</w:t>
            </w:r>
          </w:p>
        </w:tc>
        <w:tc>
          <w:tcPr/>
          <w:p>
            <w:pPr>
              <w:pStyle w:val="Compact"/>
            </w:pPr>
            <w:r>
              <w:t xml:space="preserve">05-video/atomic-product-demo.mp4</w:t>
            </w:r>
            <w:r>
              <w:br/>
            </w:r>
            <w:r>
              <w:t xml:space="preserve">1920 × 1080 · 30 fps · H.264/AAC</w:t>
            </w:r>
          </w:p>
        </w:tc>
      </w:tr>
    </w:tbl>
    <w:bookmarkStart w:id="9" w:name="teaser"/>
    <w:p>
      <w:pPr>
        <w:pStyle w:val="Heading2"/>
      </w:pPr>
      <w:r>
        <w:t xml:space="preserve">Teaser</w:t>
      </w:r>
    </w:p>
    <w:p>
      <w:pPr>
        <w:pStyle w:val="FirstParagraph"/>
      </w:pPr>
      <w:r>
        <w:t xml:space="preserve">Imagine it. Build it. Coming soon. The teaser ends with Tuesday, 3 November, and works without narration. Square and vertical versions use the same approved ElevenLabs music and timing.</w:t>
      </w:r>
    </w:p>
    <w:bookmarkEnd w:id="9"/>
    <w:bookmarkStart w:id="10" w:name="product-demo"/>
    <w:p>
      <w:pPr>
        <w:pStyle w:val="Heading2"/>
      </w:pPr>
      <w:r>
        <w:t xml:space="preserve">Product demo</w:t>
      </w:r>
    </w:p>
    <w:p>
      <w:pPr>
        <w:pStyle w:val="FirstParagraph"/>
      </w:pPr>
      <w:r>
        <w:t xml:space="preserve">The longer demo covers describing an idea, choosing a template, editing on the Canvas, contextual comments, source access and publication. Its browser sequences show a local sample app. The closing card gives the launch date. Narration and music use the approved ElevenLabs audio.</w:t>
      </w:r>
    </w:p>
    <w:bookmarkEnd w:id="10"/>
    <w:bookmarkStart w:id="11" w:name="cover-images"/>
    <w:p>
      <w:pPr>
        <w:pStyle w:val="Heading2"/>
      </w:pPr>
      <w:r>
        <w:t xml:space="preserve">Cover images</w:t>
      </w:r>
    </w:p>
    <w:p>
      <w:pPr>
        <w:pStyle w:val="FirstParagraph"/>
      </w:pPr>
      <w:r>
        <w:t xml:space="preserve">The 06-social folder contains square and vertical launch covers matching the teasers. The vertical layout leaves space around the main message for viewing controls.</w:t>
      </w:r>
    </w:p>
    <w:bookmarkEnd w:id="11"/>
    <w:bookmarkStart w:id="12" w:name="captions-and-context"/>
    <w:p>
      <w:pPr>
        <w:pStyle w:val="Heading2"/>
      </w:pPr>
      <w:r>
        <w:t xml:space="preserve">Captions and context</w:t>
      </w:r>
    </w:p>
    <w:p>
      <w:pPr>
        <w:pStyle w:val="FirstParagraph"/>
      </w:pPr>
      <w:r>
        <w:t xml:space="preserve">The longer demo includes an SRT subtitle file and a plain-text transcript. The teasers carry their message on screen. Sample apps and businesses demonstrate workflows; they are not customer endorsements.</w:t>
      </w:r>
    </w:p>
    <w:bookmarkEnd w:id="12"/>
    <w:bookmarkStart w:id="15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These materials announce the 3 November 2026 launch. They include no product website address. For interviews, walkthroughs or access details, use the press contact.</w:t>
      </w:r>
    </w:p>
    <w:p>
      <w:pPr>
        <w:pStyle w:val="BodyText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3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4">
        <w:r>
          <w:rPr>
            <w:rStyle w:val="Hyperlink"/>
          </w:rPr>
          <w:t xml:space="preserve">info@absmach.eu</w:t>
        </w:r>
      </w:hyperlink>
    </w:p>
    <w:bookmarkEnd w:id="15"/>
    <w:bookmarkEnd w:id="16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2026-10-29T22:31:41Z</dcterms:created>
  <dcterms:modified xsi:type="dcterms:W3CDTF">2026-10-29T22:31:41Z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