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omic-at-a-glance."/>
    <w:p>
      <w:pPr>
        <w:pStyle w:val="Heading1"/>
      </w:pPr>
      <w:r>
        <w:t xml:space="preserve">Atomic, at a glance.</w:t>
      </w:r>
    </w:p>
    <w:p>
      <w:pPr>
        <w:pStyle w:val="FirstParagraph"/>
      </w:pPr>
      <w:r>
        <w:t xml:space="preserve">Facts &amp; reusable copy · Atomic / Abstract Machines · Updated 30 October 2026 · atomicapp.dev</w:t>
      </w:r>
    </w:p>
    <w:p>
      <w:pPr>
        <w:pStyle w:val="CaptionedFigure"/>
      </w:pPr>
      <w:r>
        <w:drawing>
          <wp:inline>
            <wp:extent cx="3838575" cy="2878931"/>
            <wp:effectExtent b="0" l="0" r="0" t="0"/>
            <wp:docPr descr="01-home" title="" id="10" name="Picture"/>
            <a:graphic>
              <a:graphicData uri="http://schemas.openxmlformats.org/drawingml/2006/picture">
                <pic:pic>
                  <pic:nvPicPr>
                    <pic:cNvPr descr="01-hom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Lead product image · the Atomic home screen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Atomic · AI web-application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3 November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Free ($0), Builder at $25/month, and Pro at $50/month.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Founders, freelancers and small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Bookings, shops, client portals and internal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15 product views · 3 launch-film formats · 3 matching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contact</w:t>
            </w:r>
          </w:p>
        </w:tc>
        <w:tc>
          <w:tcPr/>
          <w:p>
            <w:pPr>
              <w:pStyle w:val="Compact"/>
            </w:pPr>
            <w:r>
              <w:t xml:space="preserve">Drasko Draskovic · drasko@absmach.eu</w:t>
            </w:r>
          </w:p>
        </w:tc>
      </w:tr>
    </w:tbl>
    <w:p>
      <w:r>
        <w:br w:type="page"/>
      </w:r>
    </w:p>
    <w:bookmarkStart w:id="13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Atomic is an AI app builder from Abstract Machines that turns plain-language ideas into web applications, with visual editing, previews, source access and publishing.</w:t>
      </w:r>
    </w:p>
    <w:bookmarkEnd w:id="13"/>
    <w:bookmarkStart w:id="14" w:name="short-description"/>
    <w:p>
      <w:pPr>
        <w:pStyle w:val="Heading2"/>
      </w:pPr>
      <w:r>
        <w:t xml:space="preserve">Short description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4"/>
    <w:bookmarkStart w:id="18" w:name="company-boilerplate"/>
    <w:p>
      <w:pPr>
        <w:pStyle w:val="Heading2"/>
      </w:pPr>
      <w:r>
        <w:t xml:space="preserve">Company boilerplate</w:t>
      </w:r>
    </w:p>
    <w:p>
      <w:pPr>
        <w:pStyle w:val="FirstParagraph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02-templates" title="" id="16" name="Picture"/>
            <a:graphic>
              <a:graphicData uri="http://schemas.openxmlformats.org/drawingml/2006/picture">
                <pic:pic>
                  <pic:nvPicPr>
                    <pic:cNvPr descr="02-templates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Template catalogue · photo-based sample applications</w:t>
      </w:r>
    </w:p>
    <w:bookmarkEnd w:id="18"/>
    <w:bookmarkStart w:id="19" w:name="names-and-image-context"/>
    <w:p>
      <w:pPr>
        <w:pStyle w:val="Heading2"/>
      </w:pPr>
      <w:r>
        <w:t xml:space="preserve">Names and image context</w:t>
      </w:r>
    </w:p>
    <w:p>
      <w:pPr>
        <w:pStyle w:val="FirstParagraph"/>
      </w:pPr>
      <w:r>
        <w:t xml:space="preserve">Write “Atomic” for the product, “Abstract Machines” for the company and “Atom” for the backend. Product views use local sample applications and data. Billing values are illustrative; use the confirmed plan prices above for editorial copy.</w:t>
      </w:r>
    </w:p>
    <w:bookmarkEnd w:id="19"/>
    <w:bookmarkEnd w:id="2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5" Target="media/rId15.jpg" /><Relationship Type="http://schemas.openxmlformats.org/officeDocument/2006/relationships/hyperlink" Id="rId12" Target="https://atomicapp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tomicapp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2026-10-30T13:18:30Z</dcterms:created>
  <dcterms:modified xsi:type="dcterms:W3CDTF">2026-10-30T13:18:30Z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